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F795F" w14:textId="02C04313" w:rsidR="00952E4D" w:rsidRPr="0035187E" w:rsidRDefault="002E4804" w:rsidP="0035187E">
      <w:pPr>
        <w:pStyle w:val="Zkladntext"/>
        <w:tabs>
          <w:tab w:val="left" w:pos="5529"/>
        </w:tabs>
        <w:rPr>
          <w:rFonts w:ascii="Times New Roman" w:hAnsi="Times New Roman" w:cs="Times New Roman"/>
          <w:b/>
          <w:bCs/>
        </w:rPr>
      </w:pPr>
      <w:r w:rsidRPr="0035187E">
        <w:rPr>
          <w:rFonts w:ascii="Times New Roman" w:hAnsi="Times New Roman" w:cs="Times New Roman"/>
          <w:b/>
          <w:caps/>
        </w:rPr>
        <w:t>Vypořádání připomínek k materiálu s názvem:</w:t>
      </w:r>
      <w:r w:rsidR="005D5146" w:rsidRPr="0035187E">
        <w:rPr>
          <w:rFonts w:ascii="Times New Roman" w:hAnsi="Times New Roman" w:cs="Times New Roman"/>
          <w:b/>
          <w:bCs/>
        </w:rPr>
        <w:t xml:space="preserve"> </w:t>
      </w:r>
      <w:r w:rsidR="00952E4D" w:rsidRPr="0035187E">
        <w:rPr>
          <w:rFonts w:ascii="Times New Roman" w:hAnsi="Times New Roman" w:cs="Times New Roman"/>
          <w:b/>
          <w:bCs/>
        </w:rPr>
        <w:tab/>
      </w:r>
      <w:r w:rsidR="00952E4D" w:rsidRPr="0035187E">
        <w:rPr>
          <w:rFonts w:ascii="Times New Roman" w:hAnsi="Times New Roman" w:cs="Times New Roman"/>
          <w:b/>
          <w:bCs/>
        </w:rPr>
        <w:tab/>
      </w:r>
    </w:p>
    <w:p w14:paraId="56800A9A" w14:textId="77777777" w:rsidR="00C9771B" w:rsidRPr="0035187E" w:rsidRDefault="00C9771B" w:rsidP="0035187E">
      <w:pPr>
        <w:jc w:val="both"/>
        <w:rPr>
          <w:rFonts w:ascii="Times New Roman" w:hAnsi="Times New Roman" w:cs="Times New Roman"/>
          <w:b/>
        </w:rPr>
      </w:pPr>
    </w:p>
    <w:p w14:paraId="3FE5885D" w14:textId="602565B1" w:rsidR="0044231B" w:rsidRPr="0035187E" w:rsidRDefault="009656AB" w:rsidP="0035187E">
      <w:pPr>
        <w:jc w:val="both"/>
        <w:rPr>
          <w:rFonts w:ascii="Times New Roman" w:hAnsi="Times New Roman" w:cs="Times New Roman"/>
          <w:b/>
        </w:rPr>
      </w:pPr>
      <w:r w:rsidRPr="0035187E">
        <w:rPr>
          <w:rFonts w:ascii="Times New Roman" w:hAnsi="Times New Roman" w:cs="Times New Roman"/>
          <w:b/>
        </w:rPr>
        <w:t>Návrh zákona o evidenci tržeb a o změně některých dalších zákonů</w:t>
      </w:r>
    </w:p>
    <w:p w14:paraId="61332D6C" w14:textId="77777777" w:rsidR="00315929" w:rsidRPr="0035187E" w:rsidRDefault="00315929" w:rsidP="0035187E">
      <w:pPr>
        <w:jc w:val="both"/>
        <w:rPr>
          <w:rFonts w:ascii="Times New Roman" w:hAnsi="Times New Roman" w:cs="Times New Roman"/>
          <w:b/>
        </w:rPr>
      </w:pPr>
    </w:p>
    <w:p w14:paraId="01BEA256" w14:textId="50B4E6F7" w:rsidR="00B81330" w:rsidRPr="0035187E" w:rsidRDefault="00B81330" w:rsidP="0035187E">
      <w:pPr>
        <w:jc w:val="both"/>
        <w:rPr>
          <w:rFonts w:ascii="Times New Roman" w:hAnsi="Times New Roman" w:cs="Times New Roman"/>
        </w:rPr>
      </w:pPr>
      <w:r w:rsidRPr="0035187E">
        <w:rPr>
          <w:rFonts w:ascii="Times New Roman" w:hAnsi="Times New Roman" w:cs="Times New Roman"/>
        </w:rPr>
        <w:t xml:space="preserve">Dle Jednacího řádu vlády byl materiál rozeslán do meziresortního připomínkového řízení dopisem </w:t>
      </w:r>
      <w:r w:rsidR="000C6667" w:rsidRPr="0035187E">
        <w:rPr>
          <w:rFonts w:ascii="Times New Roman" w:hAnsi="Times New Roman" w:cs="Times New Roman"/>
        </w:rPr>
        <w:t>ministr</w:t>
      </w:r>
      <w:r w:rsidR="00F060CF" w:rsidRPr="0035187E">
        <w:rPr>
          <w:rFonts w:ascii="Times New Roman" w:hAnsi="Times New Roman" w:cs="Times New Roman"/>
        </w:rPr>
        <w:t>a</w:t>
      </w:r>
      <w:r w:rsidR="000C6667" w:rsidRPr="0035187E">
        <w:rPr>
          <w:rFonts w:ascii="Times New Roman" w:hAnsi="Times New Roman" w:cs="Times New Roman"/>
        </w:rPr>
        <w:t xml:space="preserve"> financí</w:t>
      </w:r>
      <w:r w:rsidRPr="0035187E">
        <w:rPr>
          <w:rFonts w:ascii="Times New Roman" w:hAnsi="Times New Roman" w:cs="Times New Roman"/>
        </w:rPr>
        <w:t xml:space="preserve"> dne </w:t>
      </w:r>
      <w:r w:rsidR="009656AB" w:rsidRPr="0035187E">
        <w:rPr>
          <w:rFonts w:ascii="Times New Roman" w:hAnsi="Times New Roman" w:cs="Times New Roman"/>
        </w:rPr>
        <w:t>19</w:t>
      </w:r>
      <w:r w:rsidR="00315929" w:rsidRPr="0035187E">
        <w:rPr>
          <w:rFonts w:ascii="Times New Roman" w:hAnsi="Times New Roman" w:cs="Times New Roman"/>
        </w:rPr>
        <w:t xml:space="preserve">. </w:t>
      </w:r>
      <w:r w:rsidR="009656AB" w:rsidRPr="0035187E">
        <w:rPr>
          <w:rFonts w:ascii="Times New Roman" w:hAnsi="Times New Roman" w:cs="Times New Roman"/>
        </w:rPr>
        <w:t>února</w:t>
      </w:r>
      <w:r w:rsidR="00315929" w:rsidRPr="0035187E">
        <w:rPr>
          <w:rFonts w:ascii="Times New Roman" w:hAnsi="Times New Roman" w:cs="Times New Roman"/>
        </w:rPr>
        <w:t xml:space="preserve"> 202</w:t>
      </w:r>
      <w:r w:rsidR="009656AB" w:rsidRPr="0035187E">
        <w:rPr>
          <w:rFonts w:ascii="Times New Roman" w:hAnsi="Times New Roman" w:cs="Times New Roman"/>
        </w:rPr>
        <w:t>6</w:t>
      </w:r>
      <w:r w:rsidRPr="0035187E">
        <w:rPr>
          <w:rFonts w:ascii="Times New Roman" w:hAnsi="Times New Roman" w:cs="Times New Roman"/>
        </w:rPr>
        <w:t xml:space="preserve">, </w:t>
      </w:r>
      <w:r w:rsidR="0039551B" w:rsidRPr="0035187E">
        <w:rPr>
          <w:rFonts w:ascii="Times New Roman" w:hAnsi="Times New Roman" w:cs="Times New Roman"/>
        </w:rPr>
        <w:t>s</w:t>
      </w:r>
      <w:r w:rsidR="009852D8" w:rsidRPr="0035187E">
        <w:rPr>
          <w:rFonts w:ascii="Times New Roman" w:hAnsi="Times New Roman" w:cs="Times New Roman"/>
        </w:rPr>
        <w:t xml:space="preserve"> termínem dodání stanovisek do </w:t>
      </w:r>
      <w:r w:rsidR="009656AB" w:rsidRPr="0035187E">
        <w:rPr>
          <w:rFonts w:ascii="Times New Roman" w:hAnsi="Times New Roman" w:cs="Times New Roman"/>
        </w:rPr>
        <w:t>19</w:t>
      </w:r>
      <w:r w:rsidR="00315929" w:rsidRPr="0035187E">
        <w:rPr>
          <w:rFonts w:ascii="Times New Roman" w:hAnsi="Times New Roman" w:cs="Times New Roman"/>
        </w:rPr>
        <w:t xml:space="preserve">. </w:t>
      </w:r>
      <w:r w:rsidR="009656AB" w:rsidRPr="0035187E">
        <w:rPr>
          <w:rFonts w:ascii="Times New Roman" w:hAnsi="Times New Roman" w:cs="Times New Roman"/>
        </w:rPr>
        <w:t>března</w:t>
      </w:r>
      <w:r w:rsidR="00315929" w:rsidRPr="0035187E">
        <w:rPr>
          <w:rFonts w:ascii="Times New Roman" w:hAnsi="Times New Roman" w:cs="Times New Roman"/>
        </w:rPr>
        <w:t xml:space="preserve"> 202</w:t>
      </w:r>
      <w:r w:rsidR="009656AB" w:rsidRPr="0035187E">
        <w:rPr>
          <w:rFonts w:ascii="Times New Roman" w:hAnsi="Times New Roman" w:cs="Times New Roman"/>
        </w:rPr>
        <w:t>6</w:t>
      </w:r>
      <w:r w:rsidRPr="0035187E">
        <w:rPr>
          <w:rFonts w:ascii="Times New Roman" w:hAnsi="Times New Roman" w:cs="Times New Roman"/>
        </w:rPr>
        <w:t>. Vyhodnocení tohoto řízení je uvedeno v následující tabulce:</w:t>
      </w:r>
    </w:p>
    <w:p w14:paraId="09665F7D" w14:textId="77777777" w:rsidR="002E4804" w:rsidRPr="0035187E" w:rsidRDefault="002E4804" w:rsidP="0035187E">
      <w:pPr>
        <w:rPr>
          <w:rFonts w:ascii="Times New Roman" w:hAnsi="Times New Roman" w:cs="Times New Roman"/>
        </w:rPr>
      </w:pPr>
    </w:p>
    <w:tbl>
      <w:tblPr>
        <w:tblW w:w="499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8"/>
        <w:gridCol w:w="1792"/>
        <w:gridCol w:w="516"/>
        <w:gridCol w:w="519"/>
        <w:gridCol w:w="7376"/>
        <w:gridCol w:w="4465"/>
      </w:tblGrid>
      <w:tr w:rsidR="0035187E" w:rsidRPr="0035187E" w14:paraId="2A704B8A" w14:textId="77777777" w:rsidTr="0035187E">
        <w:tc>
          <w:tcPr>
            <w:tcW w:w="227" w:type="pct"/>
            <w:shd w:val="clear" w:color="auto" w:fill="auto"/>
            <w:vAlign w:val="center"/>
          </w:tcPr>
          <w:p w14:paraId="3769F244" w14:textId="77777777" w:rsidR="00D805CF" w:rsidRPr="0035187E" w:rsidRDefault="00D805CF" w:rsidP="0035187E">
            <w:pPr>
              <w:ind w:left="-142" w:right="-59"/>
              <w:jc w:val="center"/>
              <w:rPr>
                <w:rFonts w:ascii="Times New Roman" w:hAnsi="Times New Roman" w:cs="Times New Roman"/>
                <w:b/>
                <w:bCs/>
                <w:sz w:val="22"/>
                <w:szCs w:val="20"/>
              </w:rPr>
            </w:pPr>
            <w:r w:rsidRPr="0035187E">
              <w:rPr>
                <w:rFonts w:ascii="Times New Roman" w:hAnsi="Times New Roman" w:cs="Times New Roman"/>
                <w:b/>
                <w:bCs/>
                <w:sz w:val="22"/>
                <w:szCs w:val="20"/>
              </w:rPr>
              <w:t>Č. res.</w:t>
            </w:r>
          </w:p>
        </w:tc>
        <w:tc>
          <w:tcPr>
            <w:tcW w:w="583" w:type="pct"/>
            <w:shd w:val="clear" w:color="auto" w:fill="auto"/>
            <w:vAlign w:val="center"/>
          </w:tcPr>
          <w:p w14:paraId="767FD97B" w14:textId="77777777" w:rsidR="00D805CF" w:rsidRPr="0035187E" w:rsidRDefault="00D805CF" w:rsidP="0035187E">
            <w:pPr>
              <w:jc w:val="center"/>
              <w:rPr>
                <w:rFonts w:ascii="Times New Roman" w:hAnsi="Times New Roman" w:cs="Times New Roman"/>
                <w:sz w:val="22"/>
                <w:szCs w:val="20"/>
              </w:rPr>
            </w:pPr>
            <w:r w:rsidRPr="0035187E">
              <w:rPr>
                <w:rFonts w:ascii="Times New Roman" w:hAnsi="Times New Roman" w:cs="Times New Roman"/>
                <w:b/>
                <w:bCs/>
                <w:sz w:val="22"/>
                <w:szCs w:val="20"/>
              </w:rPr>
              <w:t>Resort</w:t>
            </w:r>
          </w:p>
        </w:tc>
        <w:tc>
          <w:tcPr>
            <w:tcW w:w="168" w:type="pct"/>
            <w:shd w:val="clear" w:color="auto" w:fill="auto"/>
            <w:vAlign w:val="center"/>
          </w:tcPr>
          <w:p w14:paraId="21C73CD8" w14:textId="77777777" w:rsidR="00D805CF" w:rsidRPr="0035187E" w:rsidRDefault="00D805CF" w:rsidP="0035187E">
            <w:pPr>
              <w:ind w:left="-28" w:right="-58" w:firstLine="15"/>
              <w:jc w:val="center"/>
              <w:rPr>
                <w:rFonts w:ascii="Times New Roman" w:hAnsi="Times New Roman" w:cs="Times New Roman"/>
                <w:b/>
                <w:bCs/>
                <w:sz w:val="22"/>
                <w:szCs w:val="20"/>
              </w:rPr>
            </w:pPr>
            <w:r w:rsidRPr="0035187E">
              <w:rPr>
                <w:rFonts w:ascii="Times New Roman" w:hAnsi="Times New Roman" w:cs="Times New Roman"/>
                <w:b/>
                <w:bCs/>
                <w:sz w:val="22"/>
                <w:szCs w:val="20"/>
              </w:rPr>
              <w:t>Č. př.</w:t>
            </w:r>
          </w:p>
        </w:tc>
        <w:tc>
          <w:tcPr>
            <w:tcW w:w="169" w:type="pct"/>
            <w:shd w:val="clear" w:color="auto" w:fill="auto"/>
            <w:vAlign w:val="center"/>
          </w:tcPr>
          <w:p w14:paraId="7375F95E" w14:textId="77777777" w:rsidR="00D805CF" w:rsidRPr="0035187E" w:rsidRDefault="00D805CF" w:rsidP="0035187E">
            <w:pPr>
              <w:jc w:val="center"/>
              <w:rPr>
                <w:rFonts w:ascii="Times New Roman" w:hAnsi="Times New Roman" w:cs="Times New Roman"/>
                <w:b/>
                <w:bCs/>
                <w:sz w:val="22"/>
                <w:szCs w:val="20"/>
              </w:rPr>
            </w:pPr>
            <w:r w:rsidRPr="0035187E">
              <w:rPr>
                <w:rFonts w:ascii="Times New Roman" w:hAnsi="Times New Roman" w:cs="Times New Roman"/>
                <w:b/>
                <w:bCs/>
                <w:sz w:val="22"/>
                <w:szCs w:val="20"/>
              </w:rPr>
              <w:t>Z/D</w:t>
            </w:r>
          </w:p>
        </w:tc>
        <w:tc>
          <w:tcPr>
            <w:tcW w:w="2400" w:type="pct"/>
            <w:shd w:val="clear" w:color="auto" w:fill="auto"/>
            <w:vAlign w:val="center"/>
          </w:tcPr>
          <w:p w14:paraId="0FEC6F42" w14:textId="77777777" w:rsidR="00D805CF" w:rsidRPr="0035187E" w:rsidRDefault="00D805CF" w:rsidP="0035187E">
            <w:pPr>
              <w:jc w:val="center"/>
              <w:rPr>
                <w:rFonts w:ascii="Times New Roman" w:hAnsi="Times New Roman" w:cs="Times New Roman"/>
                <w:b/>
                <w:bCs/>
                <w:sz w:val="22"/>
                <w:szCs w:val="20"/>
              </w:rPr>
            </w:pPr>
            <w:r w:rsidRPr="0035187E">
              <w:rPr>
                <w:rFonts w:ascii="Times New Roman" w:hAnsi="Times New Roman" w:cs="Times New Roman"/>
                <w:b/>
                <w:bCs/>
                <w:sz w:val="22"/>
                <w:szCs w:val="20"/>
              </w:rPr>
              <w:t>Připomínky</w:t>
            </w:r>
          </w:p>
        </w:tc>
        <w:tc>
          <w:tcPr>
            <w:tcW w:w="1453" w:type="pct"/>
            <w:shd w:val="clear" w:color="auto" w:fill="auto"/>
            <w:vAlign w:val="center"/>
          </w:tcPr>
          <w:p w14:paraId="7C74DDDC" w14:textId="77777777" w:rsidR="00D805CF" w:rsidRPr="0035187E" w:rsidRDefault="00D805CF" w:rsidP="0035187E">
            <w:pPr>
              <w:jc w:val="center"/>
              <w:rPr>
                <w:rFonts w:ascii="Times New Roman" w:hAnsi="Times New Roman" w:cs="Times New Roman"/>
                <w:b/>
                <w:bCs/>
                <w:sz w:val="22"/>
                <w:szCs w:val="20"/>
              </w:rPr>
            </w:pPr>
            <w:r w:rsidRPr="0035187E">
              <w:rPr>
                <w:rFonts w:ascii="Times New Roman" w:hAnsi="Times New Roman" w:cs="Times New Roman"/>
                <w:b/>
                <w:bCs/>
                <w:sz w:val="22"/>
                <w:szCs w:val="20"/>
              </w:rPr>
              <w:t>Vypořádání</w:t>
            </w:r>
          </w:p>
        </w:tc>
      </w:tr>
      <w:tr w:rsidR="0035187E" w:rsidRPr="0035187E" w14:paraId="020C75D5"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AED05E8" w14:textId="4B5A2C7B" w:rsidR="00D7096D" w:rsidRPr="0035187E" w:rsidRDefault="00D7096D" w:rsidP="0035187E">
            <w:pPr>
              <w:jc w:val="center"/>
              <w:rPr>
                <w:rFonts w:ascii="Times New Roman" w:hAnsi="Times New Roman" w:cs="Times New Roman"/>
                <w:sz w:val="20"/>
                <w:szCs w:val="20"/>
              </w:rPr>
            </w:pPr>
            <w:r w:rsidRPr="0035187E">
              <w:rPr>
                <w:rFonts w:ascii="Times New Roman" w:hAnsi="Times New Roman" w:cs="Times New Roman"/>
                <w:sz w:val="20"/>
                <w:szCs w:val="20"/>
              </w:rPr>
              <w:t>2.</w:t>
            </w:r>
          </w:p>
        </w:tc>
        <w:tc>
          <w:tcPr>
            <w:tcW w:w="583" w:type="pct"/>
            <w:tcBorders>
              <w:top w:val="single" w:sz="4" w:space="0" w:color="auto"/>
              <w:left w:val="single" w:sz="4" w:space="0" w:color="auto"/>
              <w:right w:val="single" w:sz="4" w:space="0" w:color="auto"/>
            </w:tcBorders>
            <w:shd w:val="clear" w:color="auto" w:fill="auto"/>
          </w:tcPr>
          <w:p w14:paraId="52086E38" w14:textId="59F25DC4" w:rsidR="00D7096D" w:rsidRPr="0035187E" w:rsidRDefault="00D7096D"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kultury</w:t>
            </w:r>
          </w:p>
        </w:tc>
        <w:tc>
          <w:tcPr>
            <w:tcW w:w="168" w:type="pct"/>
            <w:tcBorders>
              <w:top w:val="single" w:sz="4" w:space="0" w:color="auto"/>
              <w:left w:val="single" w:sz="4" w:space="0" w:color="auto"/>
              <w:right w:val="single" w:sz="4" w:space="0" w:color="auto"/>
            </w:tcBorders>
            <w:shd w:val="clear" w:color="auto" w:fill="auto"/>
          </w:tcPr>
          <w:p w14:paraId="28794B7D" w14:textId="18072135" w:rsidR="00D7096D" w:rsidRPr="0035187E" w:rsidRDefault="00A33161"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5051B886" w14:textId="6491A7CC" w:rsidR="00D7096D" w:rsidRPr="0035187E" w:rsidRDefault="00A33161"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EDC9894" w14:textId="6C69358F" w:rsidR="00A33161" w:rsidRPr="0035187E" w:rsidRDefault="00A33161" w:rsidP="0035187E">
            <w:pPr>
              <w:pStyle w:val="Odstavecseseznamem"/>
              <w:numPr>
                <w:ilvl w:val="0"/>
                <w:numId w:val="58"/>
              </w:numPr>
              <w:jc w:val="both"/>
              <w:rPr>
                <w:rFonts w:ascii="Times New Roman" w:eastAsia="Calibri" w:hAnsi="Times New Roman"/>
                <w:b/>
                <w:sz w:val="20"/>
                <w:szCs w:val="20"/>
                <w:u w:val="single"/>
              </w:rPr>
            </w:pPr>
            <w:r w:rsidRPr="0035187E">
              <w:rPr>
                <w:rFonts w:ascii="Times New Roman" w:eastAsia="Calibri" w:hAnsi="Times New Roman"/>
                <w:b/>
                <w:sz w:val="20"/>
                <w:szCs w:val="20"/>
                <w:u w:val="single"/>
              </w:rPr>
              <w:t xml:space="preserve">K části druhé </w:t>
            </w:r>
          </w:p>
          <w:p w14:paraId="5FD63962" w14:textId="77777777" w:rsidR="00A33161" w:rsidRPr="0035187E" w:rsidRDefault="00A33161" w:rsidP="0035187E">
            <w:pPr>
              <w:contextualSpacing/>
              <w:jc w:val="both"/>
              <w:rPr>
                <w:rFonts w:ascii="Times New Roman" w:eastAsia="Calibri" w:hAnsi="Times New Roman" w:cs="Times New Roman"/>
                <w:sz w:val="20"/>
                <w:szCs w:val="20"/>
                <w:lang w:eastAsia="en-US"/>
              </w:rPr>
            </w:pPr>
          </w:p>
          <w:p w14:paraId="386459B7" w14:textId="77777777" w:rsidR="00A33161" w:rsidRPr="0035187E" w:rsidRDefault="00A33161" w:rsidP="0035187E">
            <w:pPr>
              <w:numPr>
                <w:ilvl w:val="0"/>
                <w:numId w:val="56"/>
              </w:numPr>
              <w:ind w:left="0" w:firstLine="0"/>
              <w:contextualSpacing/>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Navrhujeme novelu zákona č. 586/1992 Sb., o daních z příjmů, doplnit o ustanovení, která by umožňovala osvobození příjmů v podobě ocenění v oblasti kultury podle jiných právních předpisů (např. nařízení vlády č. 5/2003 Sb., o oceněních v oblasti kultury, udělovaných Ministerstvem kultury) od daně z příjmů. Ocenění v oblasti kultury byla původně na základě zákona č. </w:t>
            </w:r>
            <w:r w:rsidRPr="0035187E">
              <w:rPr>
                <w:rFonts w:ascii="Times New Roman" w:eastAsia="Calibri" w:hAnsi="Times New Roman" w:cs="Times New Roman"/>
                <w:bCs/>
                <w:sz w:val="20"/>
                <w:szCs w:val="20"/>
                <w:lang w:eastAsia="en-US"/>
              </w:rPr>
              <w:t>203/2006 Sb.,</w:t>
            </w:r>
            <w:r w:rsidRPr="0035187E">
              <w:rPr>
                <w:rFonts w:ascii="Times New Roman" w:eastAsia="Calibri" w:hAnsi="Times New Roman" w:cs="Times New Roman"/>
                <w:bCs/>
                <w:iCs/>
                <w:sz w:val="20"/>
                <w:szCs w:val="20"/>
                <w:lang w:eastAsia="en-US"/>
              </w:rPr>
              <w:t xml:space="preserve"> o některých druzích podpory kultury a o změně některých souvisejících zákonů, od daně osvobozena. V důsledku zákona č. 349/2023 Sb. však bylo toto osvobození zrušeno. Znovuzavedením osvobození </w:t>
            </w:r>
            <w:r w:rsidRPr="0035187E">
              <w:rPr>
                <w:rFonts w:ascii="Times New Roman" w:eastAsia="Calibri" w:hAnsi="Times New Roman" w:cs="Times New Roman"/>
                <w:sz w:val="20"/>
                <w:szCs w:val="20"/>
                <w:lang w:eastAsia="en-US"/>
              </w:rPr>
              <w:t xml:space="preserve">ocenění by tak stát zdůraznil svou podporu kultuře jako celku i jednotlivým oceněným poskytovatelům veřejných kulturních služeb, a to jak u fyzických, tak u právnických osob. Navrhujeme proto jako nové samostatné novelizační body doplnit ustanovení § 4 odst. 1 a § 19 odst. 1 o další písmena např. takto: </w:t>
            </w:r>
          </w:p>
          <w:p w14:paraId="7CD297A5" w14:textId="77777777" w:rsidR="00A33161" w:rsidRPr="0035187E" w:rsidRDefault="00A33161" w:rsidP="0035187E">
            <w:pPr>
              <w:contextualSpacing/>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X.V § 4 se na konci odstavce 1 tečka nahrazuje čárkou a doplňuje se písmeno zl), které zní: </w:t>
            </w:r>
          </w:p>
          <w:p w14:paraId="361090CC" w14:textId="77777777" w:rsidR="00A33161" w:rsidRPr="0035187E" w:rsidRDefault="00A33161" w:rsidP="0035187E">
            <w:pPr>
              <w:contextualSpacing/>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„zl) příjem v podobě ocenění v oblasti kultury podle jiných právních předpisů.“.</w:t>
            </w:r>
          </w:p>
          <w:p w14:paraId="348FC5B1" w14:textId="77777777" w:rsidR="00A33161" w:rsidRPr="0035187E" w:rsidRDefault="00A33161" w:rsidP="0035187E">
            <w:pPr>
              <w:contextualSpacing/>
              <w:jc w:val="both"/>
              <w:rPr>
                <w:rFonts w:ascii="Times New Roman" w:eastAsia="Calibri" w:hAnsi="Times New Roman" w:cs="Times New Roman"/>
                <w:sz w:val="20"/>
                <w:szCs w:val="20"/>
                <w:lang w:eastAsia="en-US"/>
              </w:rPr>
            </w:pPr>
          </w:p>
          <w:p w14:paraId="0A9FDA24" w14:textId="77777777" w:rsidR="00A33161" w:rsidRPr="0035187E" w:rsidRDefault="00A33161" w:rsidP="0035187E">
            <w:pPr>
              <w:contextualSpacing/>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Y.V § 19 se na konci odstavce 1 tečka nahrazuje čárkou a doplňuje se písmeno </w:t>
            </w:r>
            <w:proofErr w:type="spellStart"/>
            <w:r w:rsidRPr="0035187E">
              <w:rPr>
                <w:rFonts w:ascii="Times New Roman" w:eastAsia="Calibri" w:hAnsi="Times New Roman" w:cs="Times New Roman"/>
                <w:sz w:val="20"/>
                <w:szCs w:val="20"/>
                <w:lang w:eastAsia="en-US"/>
              </w:rPr>
              <w:t>zm</w:t>
            </w:r>
            <w:proofErr w:type="spellEnd"/>
            <w:r w:rsidRPr="0035187E">
              <w:rPr>
                <w:rFonts w:ascii="Times New Roman" w:eastAsia="Calibri" w:hAnsi="Times New Roman" w:cs="Times New Roman"/>
                <w:sz w:val="20"/>
                <w:szCs w:val="20"/>
                <w:lang w:eastAsia="en-US"/>
              </w:rPr>
              <w:t>), které zní:</w:t>
            </w:r>
          </w:p>
          <w:p w14:paraId="31804B74" w14:textId="77777777" w:rsidR="00A33161" w:rsidRPr="0035187E" w:rsidRDefault="00A33161" w:rsidP="0035187E">
            <w:pPr>
              <w:contextualSpacing/>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w:t>
            </w:r>
            <w:proofErr w:type="spellStart"/>
            <w:r w:rsidRPr="0035187E">
              <w:rPr>
                <w:rFonts w:ascii="Times New Roman" w:eastAsia="Calibri" w:hAnsi="Times New Roman" w:cs="Times New Roman"/>
                <w:sz w:val="20"/>
                <w:szCs w:val="20"/>
                <w:lang w:eastAsia="en-US"/>
              </w:rPr>
              <w:t>zm</w:t>
            </w:r>
            <w:proofErr w:type="spellEnd"/>
            <w:r w:rsidRPr="0035187E">
              <w:rPr>
                <w:rFonts w:ascii="Times New Roman" w:eastAsia="Calibri" w:hAnsi="Times New Roman" w:cs="Times New Roman"/>
                <w:sz w:val="20"/>
                <w:szCs w:val="20"/>
                <w:lang w:eastAsia="en-US"/>
              </w:rPr>
              <w:t>) příjem v podobě ocenění v oblasti kultury podle jiných právních předpisů.“.</w:t>
            </w:r>
          </w:p>
          <w:p w14:paraId="21DB79B5" w14:textId="77777777" w:rsidR="00A33161" w:rsidRPr="0035187E" w:rsidRDefault="00A33161" w:rsidP="0035187E">
            <w:pPr>
              <w:contextualSpacing/>
              <w:jc w:val="both"/>
              <w:rPr>
                <w:rFonts w:ascii="Times New Roman" w:eastAsia="Calibri" w:hAnsi="Times New Roman" w:cs="Times New Roman"/>
                <w:sz w:val="20"/>
                <w:szCs w:val="20"/>
                <w:lang w:eastAsia="en-US"/>
              </w:rPr>
            </w:pPr>
          </w:p>
          <w:p w14:paraId="7BD8E30D" w14:textId="77777777" w:rsidR="00A33161" w:rsidRPr="0035187E" w:rsidRDefault="00A33161" w:rsidP="0035187E">
            <w:pPr>
              <w:ind w:firstLine="360"/>
              <w:contextualSpacing/>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Promítnutí připomínky ve výňatku z platného znění zákona č. 586/1992 Sb., o daních z příjmů:</w:t>
            </w:r>
          </w:p>
          <w:p w14:paraId="605A670E" w14:textId="77777777" w:rsidR="00A33161" w:rsidRPr="0035187E" w:rsidRDefault="00A33161" w:rsidP="0035187E">
            <w:pPr>
              <w:jc w:val="both"/>
              <w:rPr>
                <w:rFonts w:ascii="Times New Roman" w:hAnsi="Times New Roman" w:cs="Times New Roman"/>
                <w:b/>
                <w:sz w:val="20"/>
                <w:szCs w:val="20"/>
              </w:rPr>
            </w:pPr>
          </w:p>
          <w:p w14:paraId="07306559" w14:textId="77777777" w:rsidR="00A33161" w:rsidRPr="0035187E" w:rsidRDefault="00A33161" w:rsidP="0035187E">
            <w:pPr>
              <w:jc w:val="center"/>
              <w:rPr>
                <w:rFonts w:ascii="Times New Roman" w:hAnsi="Times New Roman" w:cs="Times New Roman"/>
                <w:b/>
                <w:sz w:val="20"/>
                <w:szCs w:val="20"/>
              </w:rPr>
            </w:pPr>
            <w:r w:rsidRPr="0035187E">
              <w:rPr>
                <w:rFonts w:ascii="Times New Roman" w:hAnsi="Times New Roman" w:cs="Times New Roman"/>
                <w:b/>
                <w:sz w:val="20"/>
                <w:szCs w:val="20"/>
              </w:rPr>
              <w:t>§ 4</w:t>
            </w:r>
          </w:p>
          <w:p w14:paraId="66ACB1F7" w14:textId="77777777" w:rsidR="00A33161" w:rsidRPr="0035187E" w:rsidRDefault="00A33161" w:rsidP="0035187E">
            <w:pPr>
              <w:jc w:val="center"/>
              <w:rPr>
                <w:rFonts w:ascii="Times New Roman" w:hAnsi="Times New Roman" w:cs="Times New Roman"/>
                <w:b/>
                <w:sz w:val="20"/>
                <w:szCs w:val="20"/>
              </w:rPr>
            </w:pPr>
            <w:r w:rsidRPr="0035187E">
              <w:rPr>
                <w:rFonts w:ascii="Times New Roman" w:hAnsi="Times New Roman" w:cs="Times New Roman"/>
                <w:b/>
                <w:sz w:val="20"/>
                <w:szCs w:val="20"/>
              </w:rPr>
              <w:t>Osvobození od daně</w:t>
            </w:r>
          </w:p>
          <w:p w14:paraId="0A343823" w14:textId="77777777" w:rsidR="00A33161" w:rsidRPr="0035187E" w:rsidRDefault="00A33161" w:rsidP="0035187E">
            <w:pPr>
              <w:jc w:val="center"/>
              <w:rPr>
                <w:rFonts w:ascii="Times New Roman" w:hAnsi="Times New Roman" w:cs="Times New Roman"/>
                <w:i/>
                <w:sz w:val="20"/>
                <w:szCs w:val="20"/>
              </w:rPr>
            </w:pPr>
            <w:r w:rsidRPr="0035187E">
              <w:rPr>
                <w:rFonts w:ascii="Times New Roman" w:hAnsi="Times New Roman" w:cs="Times New Roman"/>
                <w:i/>
                <w:sz w:val="20"/>
                <w:szCs w:val="20"/>
              </w:rPr>
              <w:t>(fyzické osoby)</w:t>
            </w:r>
          </w:p>
          <w:p w14:paraId="105A3D4E" w14:textId="77777777" w:rsidR="00A33161" w:rsidRPr="0035187E" w:rsidRDefault="00A33161" w:rsidP="0035187E">
            <w:pPr>
              <w:jc w:val="both"/>
              <w:rPr>
                <w:rFonts w:ascii="Times New Roman" w:hAnsi="Times New Roman" w:cs="Times New Roman"/>
                <w:sz w:val="20"/>
                <w:szCs w:val="20"/>
              </w:rPr>
            </w:pPr>
            <w:r w:rsidRPr="0035187E">
              <w:rPr>
                <w:rFonts w:ascii="Times New Roman" w:hAnsi="Times New Roman" w:cs="Times New Roman"/>
                <w:sz w:val="20"/>
                <w:szCs w:val="20"/>
              </w:rPr>
              <w:t>(1) Od daně se osvobozuje</w:t>
            </w:r>
          </w:p>
          <w:p w14:paraId="70EEA1B7" w14:textId="77777777" w:rsidR="00A33161" w:rsidRPr="0035187E" w:rsidRDefault="00A33161" w:rsidP="0035187E">
            <w:pPr>
              <w:jc w:val="both"/>
              <w:rPr>
                <w:rFonts w:ascii="Times New Roman" w:eastAsia="Calibri" w:hAnsi="Times New Roman" w:cs="Times New Roman"/>
                <w:sz w:val="20"/>
                <w:szCs w:val="20"/>
                <w:lang w:val="it-IT" w:eastAsia="en-US"/>
              </w:rPr>
            </w:pPr>
            <w:r w:rsidRPr="0035187E">
              <w:rPr>
                <w:rFonts w:ascii="Times New Roman" w:eastAsia="Calibri" w:hAnsi="Times New Roman" w:cs="Times New Roman"/>
                <w:sz w:val="20"/>
                <w:szCs w:val="20"/>
                <w:lang w:val="it-IT" w:eastAsia="en-US"/>
              </w:rPr>
              <w:t>a) příjem z prodeje …,</w:t>
            </w:r>
          </w:p>
          <w:p w14:paraId="0DBED528" w14:textId="77777777" w:rsidR="00A33161" w:rsidRPr="0035187E" w:rsidRDefault="00A33161" w:rsidP="0035187E">
            <w:pPr>
              <w:jc w:val="both"/>
              <w:rPr>
                <w:rFonts w:ascii="Times New Roman" w:eastAsia="Calibri" w:hAnsi="Times New Roman" w:cs="Times New Roman"/>
                <w:sz w:val="20"/>
                <w:szCs w:val="20"/>
                <w:lang w:val="it-IT" w:eastAsia="en-US"/>
              </w:rPr>
            </w:pPr>
            <w:r w:rsidRPr="0035187E">
              <w:rPr>
                <w:rFonts w:ascii="Times New Roman" w:eastAsia="Calibri" w:hAnsi="Times New Roman" w:cs="Times New Roman"/>
                <w:sz w:val="20"/>
                <w:szCs w:val="20"/>
                <w:lang w:val="it-IT" w:eastAsia="en-US"/>
              </w:rPr>
              <w:t>b) …. až zj) …,</w:t>
            </w:r>
          </w:p>
          <w:p w14:paraId="6D0413C1" w14:textId="77777777" w:rsidR="00A33161" w:rsidRPr="0035187E" w:rsidRDefault="00A33161" w:rsidP="0035187E">
            <w:pPr>
              <w:jc w:val="both"/>
              <w:rPr>
                <w:rFonts w:ascii="Times New Roman" w:eastAsia="Calibri" w:hAnsi="Times New Roman" w:cs="Times New Roman"/>
                <w:sz w:val="20"/>
                <w:szCs w:val="20"/>
                <w:lang w:val="it-IT" w:eastAsia="en-US"/>
              </w:rPr>
            </w:pPr>
            <w:r w:rsidRPr="0035187E">
              <w:rPr>
                <w:rFonts w:ascii="Times New Roman" w:eastAsia="Calibri" w:hAnsi="Times New Roman" w:cs="Times New Roman"/>
                <w:sz w:val="20"/>
                <w:szCs w:val="20"/>
                <w:lang w:val="it-IT" w:eastAsia="en-US"/>
              </w:rPr>
              <w:t>zk) příjem z úplatného převodu …,</w:t>
            </w:r>
          </w:p>
          <w:p w14:paraId="5076C41B" w14:textId="77777777" w:rsidR="00A33161" w:rsidRPr="0035187E" w:rsidRDefault="00A33161" w:rsidP="0035187E">
            <w:pPr>
              <w:jc w:val="both"/>
              <w:rPr>
                <w:rFonts w:ascii="Times New Roman" w:eastAsia="Calibri" w:hAnsi="Times New Roman" w:cs="Times New Roman"/>
                <w:b/>
                <w:sz w:val="20"/>
                <w:szCs w:val="20"/>
                <w:lang w:val="it-IT" w:eastAsia="en-US"/>
              </w:rPr>
            </w:pPr>
            <w:r w:rsidRPr="0035187E">
              <w:rPr>
                <w:rFonts w:ascii="Times New Roman" w:eastAsia="Calibri" w:hAnsi="Times New Roman" w:cs="Times New Roman"/>
                <w:b/>
                <w:sz w:val="20"/>
                <w:szCs w:val="20"/>
                <w:lang w:val="it-IT" w:eastAsia="en-US"/>
              </w:rPr>
              <w:t>zl) příjem v podobě ocenění v oblasti kultury podle jiných právních předpisů.</w:t>
            </w:r>
          </w:p>
          <w:p w14:paraId="774E1659" w14:textId="77777777" w:rsidR="00A33161" w:rsidRPr="0035187E" w:rsidRDefault="00A33161" w:rsidP="0035187E">
            <w:pPr>
              <w:ind w:hanging="284"/>
              <w:jc w:val="both"/>
              <w:rPr>
                <w:rFonts w:ascii="Times New Roman" w:eastAsia="Calibri" w:hAnsi="Times New Roman" w:cs="Times New Roman"/>
                <w:b/>
                <w:sz w:val="20"/>
                <w:szCs w:val="20"/>
                <w:lang w:val="it-IT" w:eastAsia="en-US"/>
              </w:rPr>
            </w:pPr>
          </w:p>
          <w:p w14:paraId="09BC4CAC" w14:textId="77777777" w:rsidR="00A33161" w:rsidRPr="0035187E" w:rsidRDefault="00A33161" w:rsidP="0035187E">
            <w:pPr>
              <w:ind w:hanging="284"/>
              <w:jc w:val="both"/>
              <w:rPr>
                <w:rFonts w:ascii="Times New Roman" w:eastAsia="Calibri" w:hAnsi="Times New Roman" w:cs="Times New Roman"/>
                <w:b/>
                <w:sz w:val="20"/>
                <w:szCs w:val="20"/>
                <w:lang w:val="it-IT" w:eastAsia="en-US"/>
              </w:rPr>
            </w:pPr>
          </w:p>
          <w:p w14:paraId="097762AA" w14:textId="77777777" w:rsidR="00A33161" w:rsidRPr="0035187E" w:rsidRDefault="00A33161" w:rsidP="0035187E">
            <w:pPr>
              <w:jc w:val="center"/>
              <w:rPr>
                <w:rFonts w:ascii="Times New Roman" w:eastAsia="Calibri" w:hAnsi="Times New Roman" w:cs="Times New Roman"/>
                <w:b/>
                <w:sz w:val="20"/>
                <w:szCs w:val="20"/>
                <w:lang w:eastAsia="en-US"/>
              </w:rPr>
            </w:pPr>
            <w:r w:rsidRPr="0035187E">
              <w:rPr>
                <w:rFonts w:ascii="Times New Roman" w:eastAsia="Calibri" w:hAnsi="Times New Roman" w:cs="Times New Roman"/>
                <w:b/>
                <w:sz w:val="20"/>
                <w:szCs w:val="20"/>
                <w:lang w:eastAsia="en-US"/>
              </w:rPr>
              <w:lastRenderedPageBreak/>
              <w:t>§ 19</w:t>
            </w:r>
          </w:p>
          <w:p w14:paraId="4410D8C4" w14:textId="12C378B3" w:rsidR="00A33161" w:rsidRPr="0035187E" w:rsidRDefault="00A33161" w:rsidP="0035187E">
            <w:pPr>
              <w:jc w:val="center"/>
              <w:rPr>
                <w:rFonts w:ascii="Times New Roman" w:eastAsia="Calibri" w:hAnsi="Times New Roman" w:cs="Times New Roman"/>
                <w:b/>
                <w:sz w:val="20"/>
                <w:szCs w:val="20"/>
                <w:lang w:eastAsia="en-US"/>
              </w:rPr>
            </w:pPr>
            <w:r w:rsidRPr="0035187E">
              <w:rPr>
                <w:rFonts w:ascii="Times New Roman" w:eastAsia="Calibri" w:hAnsi="Times New Roman" w:cs="Times New Roman"/>
                <w:b/>
                <w:sz w:val="20"/>
                <w:szCs w:val="20"/>
                <w:lang w:eastAsia="en-US"/>
              </w:rPr>
              <w:t>Osvobození od daně</w:t>
            </w:r>
          </w:p>
          <w:p w14:paraId="5558BC35" w14:textId="77777777" w:rsidR="00A33161" w:rsidRPr="0035187E" w:rsidRDefault="00A33161" w:rsidP="0035187E">
            <w:pPr>
              <w:jc w:val="center"/>
              <w:rPr>
                <w:rFonts w:ascii="Times New Roman" w:eastAsia="Calibri" w:hAnsi="Times New Roman" w:cs="Times New Roman"/>
                <w:i/>
                <w:sz w:val="20"/>
                <w:szCs w:val="20"/>
                <w:lang w:eastAsia="en-US"/>
              </w:rPr>
            </w:pPr>
            <w:r w:rsidRPr="0035187E">
              <w:rPr>
                <w:rFonts w:ascii="Times New Roman" w:eastAsia="Calibri" w:hAnsi="Times New Roman" w:cs="Times New Roman"/>
                <w:i/>
                <w:sz w:val="20"/>
                <w:szCs w:val="20"/>
                <w:lang w:eastAsia="en-US"/>
              </w:rPr>
              <w:t>(právnické osoby)</w:t>
            </w:r>
          </w:p>
          <w:p w14:paraId="48391166" w14:textId="77777777" w:rsidR="00A33161" w:rsidRPr="0035187E" w:rsidRDefault="00A33161" w:rsidP="0035187E">
            <w:pPr>
              <w:ind w:hanging="284"/>
              <w:jc w:val="both"/>
              <w:rPr>
                <w:rFonts w:ascii="Times New Roman" w:eastAsia="Calibri" w:hAnsi="Times New Roman" w:cs="Times New Roman"/>
                <w:sz w:val="20"/>
                <w:szCs w:val="20"/>
                <w:lang w:eastAsia="en-US"/>
              </w:rPr>
            </w:pPr>
          </w:p>
          <w:p w14:paraId="505D4F38" w14:textId="77777777" w:rsidR="00A33161" w:rsidRPr="0035187E" w:rsidRDefault="00A33161" w:rsidP="0035187E">
            <w:pPr>
              <w:jc w:val="both"/>
              <w:rPr>
                <w:rFonts w:ascii="Times New Roman" w:eastAsia="Calibri" w:hAnsi="Times New Roman" w:cs="Times New Roman"/>
                <w:sz w:val="20"/>
                <w:szCs w:val="20"/>
                <w:shd w:val="clear" w:color="auto" w:fill="FFFFFF"/>
                <w:lang w:eastAsia="en-US"/>
              </w:rPr>
            </w:pPr>
            <w:r w:rsidRPr="0035187E">
              <w:rPr>
                <w:rFonts w:ascii="Times New Roman" w:hAnsi="Times New Roman" w:cs="Times New Roman"/>
                <w:sz w:val="20"/>
                <w:szCs w:val="20"/>
              </w:rPr>
              <w:t xml:space="preserve">(1) </w:t>
            </w:r>
            <w:r w:rsidRPr="0035187E">
              <w:rPr>
                <w:rFonts w:ascii="Times New Roman" w:eastAsia="Calibri" w:hAnsi="Times New Roman" w:cs="Times New Roman"/>
                <w:sz w:val="20"/>
                <w:szCs w:val="20"/>
                <w:shd w:val="clear" w:color="auto" w:fill="FFFFFF"/>
                <w:lang w:eastAsia="en-US"/>
              </w:rPr>
              <w:t>Od daně jsou osvobozeny</w:t>
            </w:r>
          </w:p>
          <w:p w14:paraId="26B4F707" w14:textId="77777777" w:rsidR="00A33161" w:rsidRPr="0035187E" w:rsidRDefault="00A33161" w:rsidP="0035187E">
            <w:pPr>
              <w:numPr>
                <w:ilvl w:val="0"/>
                <w:numId w:val="57"/>
              </w:numPr>
              <w:ind w:left="0" w:firstLine="0"/>
              <w:contextualSpacing/>
              <w:jc w:val="both"/>
              <w:rPr>
                <w:rFonts w:ascii="Times New Roman" w:eastAsia="Calibri" w:hAnsi="Times New Roman" w:cs="Times New Roman"/>
                <w:sz w:val="20"/>
                <w:szCs w:val="20"/>
                <w:lang w:val="en-US" w:eastAsia="en-US"/>
              </w:rPr>
            </w:pPr>
            <w:proofErr w:type="spellStart"/>
            <w:r w:rsidRPr="0035187E">
              <w:rPr>
                <w:rFonts w:ascii="Times New Roman" w:eastAsia="Calibri" w:hAnsi="Times New Roman" w:cs="Times New Roman"/>
                <w:sz w:val="20"/>
                <w:szCs w:val="20"/>
                <w:lang w:val="en-US" w:eastAsia="en-US"/>
              </w:rPr>
              <w:t>členský</w:t>
            </w:r>
            <w:proofErr w:type="spellEnd"/>
            <w:r w:rsidRPr="0035187E">
              <w:rPr>
                <w:rFonts w:ascii="Times New Roman" w:eastAsia="Calibri" w:hAnsi="Times New Roman" w:cs="Times New Roman"/>
                <w:sz w:val="20"/>
                <w:szCs w:val="20"/>
                <w:lang w:val="en-US" w:eastAsia="en-US"/>
              </w:rPr>
              <w:t xml:space="preserve"> </w:t>
            </w:r>
            <w:proofErr w:type="spellStart"/>
            <w:r w:rsidRPr="0035187E">
              <w:rPr>
                <w:rFonts w:ascii="Times New Roman" w:eastAsia="Calibri" w:hAnsi="Times New Roman" w:cs="Times New Roman"/>
                <w:sz w:val="20"/>
                <w:szCs w:val="20"/>
                <w:lang w:val="en-US" w:eastAsia="en-US"/>
              </w:rPr>
              <w:t>příspěvek</w:t>
            </w:r>
            <w:proofErr w:type="spellEnd"/>
            <w:r w:rsidRPr="0035187E">
              <w:rPr>
                <w:rFonts w:ascii="Times New Roman" w:eastAsia="Calibri" w:hAnsi="Times New Roman" w:cs="Times New Roman"/>
                <w:sz w:val="20"/>
                <w:szCs w:val="20"/>
                <w:lang w:val="en-US" w:eastAsia="en-US"/>
              </w:rPr>
              <w:t xml:space="preserve"> </w:t>
            </w:r>
            <w:proofErr w:type="spellStart"/>
            <w:r w:rsidRPr="0035187E">
              <w:rPr>
                <w:rFonts w:ascii="Times New Roman" w:eastAsia="Calibri" w:hAnsi="Times New Roman" w:cs="Times New Roman"/>
                <w:sz w:val="20"/>
                <w:szCs w:val="20"/>
                <w:lang w:val="en-US" w:eastAsia="en-US"/>
              </w:rPr>
              <w:t>podle</w:t>
            </w:r>
            <w:proofErr w:type="spellEnd"/>
            <w:r w:rsidRPr="0035187E">
              <w:rPr>
                <w:rFonts w:ascii="Times New Roman" w:eastAsia="Calibri" w:hAnsi="Times New Roman" w:cs="Times New Roman"/>
                <w:sz w:val="20"/>
                <w:szCs w:val="20"/>
                <w:lang w:val="en-US" w:eastAsia="en-US"/>
              </w:rPr>
              <w:t xml:space="preserve"> …,</w:t>
            </w:r>
          </w:p>
          <w:p w14:paraId="07759FAA" w14:textId="77777777" w:rsidR="00A33161" w:rsidRPr="0035187E" w:rsidRDefault="00A33161" w:rsidP="0035187E">
            <w:pPr>
              <w:numPr>
                <w:ilvl w:val="0"/>
                <w:numId w:val="57"/>
              </w:numPr>
              <w:ind w:left="0" w:firstLine="0"/>
              <w:contextualSpacing/>
              <w:jc w:val="both"/>
              <w:rPr>
                <w:rFonts w:ascii="Times New Roman" w:eastAsia="Calibri" w:hAnsi="Times New Roman" w:cs="Times New Roman"/>
                <w:sz w:val="20"/>
                <w:szCs w:val="20"/>
                <w:lang w:val="en-US" w:eastAsia="en-US"/>
              </w:rPr>
            </w:pPr>
            <w:r w:rsidRPr="0035187E">
              <w:rPr>
                <w:rFonts w:ascii="Times New Roman" w:eastAsia="Calibri" w:hAnsi="Times New Roman" w:cs="Times New Roman"/>
                <w:sz w:val="20"/>
                <w:szCs w:val="20"/>
                <w:lang w:val="en-US" w:eastAsia="en-US"/>
              </w:rPr>
              <w:t xml:space="preserve">… </w:t>
            </w:r>
            <w:proofErr w:type="spellStart"/>
            <w:r w:rsidRPr="0035187E">
              <w:rPr>
                <w:rFonts w:ascii="Times New Roman" w:eastAsia="Calibri" w:hAnsi="Times New Roman" w:cs="Times New Roman"/>
                <w:sz w:val="20"/>
                <w:szCs w:val="20"/>
                <w:lang w:val="en-US" w:eastAsia="en-US"/>
              </w:rPr>
              <w:t>až</w:t>
            </w:r>
            <w:proofErr w:type="spellEnd"/>
            <w:r w:rsidRPr="0035187E">
              <w:rPr>
                <w:rFonts w:ascii="Times New Roman" w:eastAsia="Calibri" w:hAnsi="Times New Roman" w:cs="Times New Roman"/>
                <w:sz w:val="20"/>
                <w:szCs w:val="20"/>
                <w:lang w:val="en-US" w:eastAsia="en-US"/>
              </w:rPr>
              <w:t xml:space="preserve"> </w:t>
            </w:r>
            <w:proofErr w:type="spellStart"/>
            <w:proofErr w:type="gramStart"/>
            <w:r w:rsidRPr="0035187E">
              <w:rPr>
                <w:rFonts w:ascii="Times New Roman" w:eastAsia="Calibri" w:hAnsi="Times New Roman" w:cs="Times New Roman"/>
                <w:sz w:val="20"/>
                <w:szCs w:val="20"/>
                <w:lang w:val="en-US" w:eastAsia="en-US"/>
              </w:rPr>
              <w:t>zk</w:t>
            </w:r>
            <w:proofErr w:type="spellEnd"/>
            <w:r w:rsidRPr="0035187E">
              <w:rPr>
                <w:rFonts w:ascii="Times New Roman" w:eastAsia="Calibri" w:hAnsi="Times New Roman" w:cs="Times New Roman"/>
                <w:sz w:val="20"/>
                <w:szCs w:val="20"/>
                <w:lang w:val="en-US" w:eastAsia="en-US"/>
              </w:rPr>
              <w:t>)…</w:t>
            </w:r>
            <w:proofErr w:type="gramEnd"/>
            <w:r w:rsidRPr="0035187E">
              <w:rPr>
                <w:rFonts w:ascii="Times New Roman" w:eastAsia="Calibri" w:hAnsi="Times New Roman" w:cs="Times New Roman"/>
                <w:sz w:val="20"/>
                <w:szCs w:val="20"/>
                <w:lang w:val="en-US" w:eastAsia="en-US"/>
              </w:rPr>
              <w:t xml:space="preserve">, </w:t>
            </w:r>
          </w:p>
          <w:p w14:paraId="467AE13F" w14:textId="77777777" w:rsidR="00A33161" w:rsidRPr="0035187E" w:rsidRDefault="00A33161" w:rsidP="0035187E">
            <w:pPr>
              <w:jc w:val="both"/>
              <w:rPr>
                <w:rFonts w:ascii="Times New Roman" w:eastAsia="Calibri" w:hAnsi="Times New Roman" w:cs="Times New Roman"/>
                <w:sz w:val="20"/>
                <w:szCs w:val="20"/>
                <w:lang w:val="en-US" w:eastAsia="en-US"/>
              </w:rPr>
            </w:pPr>
            <w:proofErr w:type="spellStart"/>
            <w:r w:rsidRPr="0035187E">
              <w:rPr>
                <w:rFonts w:ascii="Times New Roman" w:eastAsia="Calibri" w:hAnsi="Times New Roman" w:cs="Times New Roman"/>
                <w:sz w:val="20"/>
                <w:szCs w:val="20"/>
                <w:lang w:val="en-US" w:eastAsia="en-US"/>
              </w:rPr>
              <w:t>zl</w:t>
            </w:r>
            <w:proofErr w:type="spellEnd"/>
            <w:r w:rsidRPr="0035187E">
              <w:rPr>
                <w:rFonts w:ascii="Times New Roman" w:eastAsia="Calibri" w:hAnsi="Times New Roman" w:cs="Times New Roman"/>
                <w:sz w:val="20"/>
                <w:szCs w:val="20"/>
                <w:lang w:val="en-US" w:eastAsia="en-US"/>
              </w:rPr>
              <w:t xml:space="preserve">) </w:t>
            </w:r>
            <w:proofErr w:type="spellStart"/>
            <w:r w:rsidRPr="0035187E">
              <w:rPr>
                <w:rFonts w:ascii="Times New Roman" w:eastAsia="Calibri" w:hAnsi="Times New Roman" w:cs="Times New Roman"/>
                <w:sz w:val="20"/>
                <w:szCs w:val="20"/>
                <w:lang w:val="en-US" w:eastAsia="en-US"/>
              </w:rPr>
              <w:t>výnosy</w:t>
            </w:r>
            <w:proofErr w:type="spellEnd"/>
            <w:r w:rsidRPr="0035187E">
              <w:rPr>
                <w:rFonts w:ascii="Times New Roman" w:eastAsia="Calibri" w:hAnsi="Times New Roman" w:cs="Times New Roman"/>
                <w:sz w:val="20"/>
                <w:szCs w:val="20"/>
                <w:lang w:val="en-US" w:eastAsia="en-US"/>
              </w:rPr>
              <w:t xml:space="preserve"> z </w:t>
            </w:r>
            <w:proofErr w:type="spellStart"/>
            <w:r w:rsidRPr="0035187E">
              <w:rPr>
                <w:rFonts w:ascii="Times New Roman" w:eastAsia="Calibri" w:hAnsi="Times New Roman" w:cs="Times New Roman"/>
                <w:sz w:val="20"/>
                <w:szCs w:val="20"/>
                <w:lang w:val="en-US" w:eastAsia="en-US"/>
              </w:rPr>
              <w:t>prostředků</w:t>
            </w:r>
            <w:proofErr w:type="spellEnd"/>
            <w:r w:rsidRPr="0035187E">
              <w:rPr>
                <w:rFonts w:ascii="Times New Roman" w:eastAsia="Calibri" w:hAnsi="Times New Roman" w:cs="Times New Roman"/>
                <w:sz w:val="20"/>
                <w:szCs w:val="20"/>
                <w:lang w:val="en-US" w:eastAsia="en-US"/>
              </w:rPr>
              <w:t xml:space="preserve"> </w:t>
            </w:r>
            <w:proofErr w:type="spellStart"/>
            <w:r w:rsidRPr="0035187E">
              <w:rPr>
                <w:rFonts w:ascii="Times New Roman" w:eastAsia="Calibri" w:hAnsi="Times New Roman" w:cs="Times New Roman"/>
                <w:sz w:val="20"/>
                <w:szCs w:val="20"/>
                <w:lang w:val="en-US" w:eastAsia="en-US"/>
              </w:rPr>
              <w:t>rezerv</w:t>
            </w:r>
            <w:proofErr w:type="spellEnd"/>
            <w:r w:rsidRPr="0035187E">
              <w:rPr>
                <w:rFonts w:ascii="Times New Roman" w:eastAsia="Calibri" w:hAnsi="Times New Roman" w:cs="Times New Roman"/>
                <w:sz w:val="20"/>
                <w:szCs w:val="20"/>
                <w:lang w:val="en-US" w:eastAsia="en-US"/>
              </w:rPr>
              <w:t>…,</w:t>
            </w:r>
          </w:p>
          <w:p w14:paraId="73201955" w14:textId="77777777" w:rsidR="00A33161" w:rsidRPr="0035187E" w:rsidRDefault="00A33161" w:rsidP="0035187E">
            <w:pPr>
              <w:jc w:val="both"/>
              <w:rPr>
                <w:rFonts w:ascii="Times New Roman" w:eastAsia="Calibri" w:hAnsi="Times New Roman" w:cs="Times New Roman"/>
                <w:b/>
                <w:sz w:val="20"/>
                <w:szCs w:val="20"/>
                <w:lang w:val="en-US" w:eastAsia="en-US"/>
              </w:rPr>
            </w:pPr>
            <w:proofErr w:type="spellStart"/>
            <w:r w:rsidRPr="0035187E">
              <w:rPr>
                <w:rFonts w:ascii="Times New Roman" w:eastAsia="Calibri" w:hAnsi="Times New Roman" w:cs="Times New Roman"/>
                <w:b/>
                <w:sz w:val="20"/>
                <w:szCs w:val="20"/>
                <w:lang w:val="en-US" w:eastAsia="en-US"/>
              </w:rPr>
              <w:t>zm</w:t>
            </w:r>
            <w:proofErr w:type="spellEnd"/>
            <w:r w:rsidRPr="0035187E">
              <w:rPr>
                <w:rFonts w:ascii="Times New Roman" w:eastAsia="Calibri" w:hAnsi="Times New Roman" w:cs="Times New Roman"/>
                <w:b/>
                <w:sz w:val="20"/>
                <w:szCs w:val="20"/>
                <w:lang w:val="en-US" w:eastAsia="en-US"/>
              </w:rPr>
              <w:t xml:space="preserve">) </w:t>
            </w:r>
            <w:proofErr w:type="spellStart"/>
            <w:r w:rsidRPr="0035187E">
              <w:rPr>
                <w:rFonts w:ascii="Times New Roman" w:eastAsia="Calibri" w:hAnsi="Times New Roman" w:cs="Times New Roman"/>
                <w:b/>
                <w:sz w:val="20"/>
                <w:szCs w:val="20"/>
                <w:lang w:val="en-US" w:eastAsia="en-US"/>
              </w:rPr>
              <w:t>příjem</w:t>
            </w:r>
            <w:proofErr w:type="spellEnd"/>
            <w:r w:rsidRPr="0035187E">
              <w:rPr>
                <w:rFonts w:ascii="Times New Roman" w:eastAsia="Calibri" w:hAnsi="Times New Roman" w:cs="Times New Roman"/>
                <w:b/>
                <w:sz w:val="20"/>
                <w:szCs w:val="20"/>
                <w:lang w:val="en-US" w:eastAsia="en-US"/>
              </w:rPr>
              <w:t xml:space="preserve"> v </w:t>
            </w:r>
            <w:proofErr w:type="spellStart"/>
            <w:r w:rsidRPr="0035187E">
              <w:rPr>
                <w:rFonts w:ascii="Times New Roman" w:eastAsia="Calibri" w:hAnsi="Times New Roman" w:cs="Times New Roman"/>
                <w:b/>
                <w:sz w:val="20"/>
                <w:szCs w:val="20"/>
                <w:lang w:val="en-US" w:eastAsia="en-US"/>
              </w:rPr>
              <w:t>podobě</w:t>
            </w:r>
            <w:proofErr w:type="spellEnd"/>
            <w:r w:rsidRPr="0035187E">
              <w:rPr>
                <w:rFonts w:ascii="Times New Roman" w:eastAsia="Calibri" w:hAnsi="Times New Roman" w:cs="Times New Roman"/>
                <w:b/>
                <w:sz w:val="20"/>
                <w:szCs w:val="20"/>
                <w:lang w:val="en-US" w:eastAsia="en-US"/>
              </w:rPr>
              <w:t xml:space="preserve"> </w:t>
            </w:r>
            <w:proofErr w:type="spellStart"/>
            <w:r w:rsidRPr="0035187E">
              <w:rPr>
                <w:rFonts w:ascii="Times New Roman" w:eastAsia="Calibri" w:hAnsi="Times New Roman" w:cs="Times New Roman"/>
                <w:b/>
                <w:sz w:val="20"/>
                <w:szCs w:val="20"/>
                <w:lang w:val="en-US" w:eastAsia="en-US"/>
              </w:rPr>
              <w:t>ocenění</w:t>
            </w:r>
            <w:proofErr w:type="spellEnd"/>
            <w:r w:rsidRPr="0035187E">
              <w:rPr>
                <w:rFonts w:ascii="Times New Roman" w:eastAsia="Calibri" w:hAnsi="Times New Roman" w:cs="Times New Roman"/>
                <w:b/>
                <w:sz w:val="20"/>
                <w:szCs w:val="20"/>
                <w:lang w:val="en-US" w:eastAsia="en-US"/>
              </w:rPr>
              <w:t xml:space="preserve"> v </w:t>
            </w:r>
            <w:proofErr w:type="spellStart"/>
            <w:r w:rsidRPr="0035187E">
              <w:rPr>
                <w:rFonts w:ascii="Times New Roman" w:eastAsia="Calibri" w:hAnsi="Times New Roman" w:cs="Times New Roman"/>
                <w:b/>
                <w:sz w:val="20"/>
                <w:szCs w:val="20"/>
                <w:lang w:val="en-US" w:eastAsia="en-US"/>
              </w:rPr>
              <w:t>oblasti</w:t>
            </w:r>
            <w:proofErr w:type="spellEnd"/>
            <w:r w:rsidRPr="0035187E">
              <w:rPr>
                <w:rFonts w:ascii="Times New Roman" w:eastAsia="Calibri" w:hAnsi="Times New Roman" w:cs="Times New Roman"/>
                <w:b/>
                <w:sz w:val="20"/>
                <w:szCs w:val="20"/>
                <w:lang w:val="en-US" w:eastAsia="en-US"/>
              </w:rPr>
              <w:t xml:space="preserve"> </w:t>
            </w:r>
            <w:proofErr w:type="spellStart"/>
            <w:r w:rsidRPr="0035187E">
              <w:rPr>
                <w:rFonts w:ascii="Times New Roman" w:eastAsia="Calibri" w:hAnsi="Times New Roman" w:cs="Times New Roman"/>
                <w:b/>
                <w:sz w:val="20"/>
                <w:szCs w:val="20"/>
                <w:lang w:val="en-US" w:eastAsia="en-US"/>
              </w:rPr>
              <w:t>kultury</w:t>
            </w:r>
            <w:proofErr w:type="spellEnd"/>
            <w:r w:rsidRPr="0035187E">
              <w:rPr>
                <w:rFonts w:ascii="Times New Roman" w:eastAsia="Calibri" w:hAnsi="Times New Roman" w:cs="Times New Roman"/>
                <w:b/>
                <w:sz w:val="20"/>
                <w:szCs w:val="20"/>
                <w:lang w:val="en-US" w:eastAsia="en-US"/>
              </w:rPr>
              <w:t xml:space="preserve"> </w:t>
            </w:r>
            <w:proofErr w:type="spellStart"/>
            <w:r w:rsidRPr="0035187E">
              <w:rPr>
                <w:rFonts w:ascii="Times New Roman" w:eastAsia="Calibri" w:hAnsi="Times New Roman" w:cs="Times New Roman"/>
                <w:b/>
                <w:sz w:val="20"/>
                <w:szCs w:val="20"/>
                <w:lang w:val="en-US" w:eastAsia="en-US"/>
              </w:rPr>
              <w:t>podle</w:t>
            </w:r>
            <w:proofErr w:type="spellEnd"/>
            <w:r w:rsidRPr="0035187E">
              <w:rPr>
                <w:rFonts w:ascii="Times New Roman" w:eastAsia="Calibri" w:hAnsi="Times New Roman" w:cs="Times New Roman"/>
                <w:b/>
                <w:sz w:val="20"/>
                <w:szCs w:val="20"/>
                <w:lang w:val="en-US" w:eastAsia="en-US"/>
              </w:rPr>
              <w:t xml:space="preserve"> </w:t>
            </w:r>
            <w:proofErr w:type="spellStart"/>
            <w:r w:rsidRPr="0035187E">
              <w:rPr>
                <w:rFonts w:ascii="Times New Roman" w:eastAsia="Calibri" w:hAnsi="Times New Roman" w:cs="Times New Roman"/>
                <w:b/>
                <w:sz w:val="20"/>
                <w:szCs w:val="20"/>
                <w:lang w:val="en-US" w:eastAsia="en-US"/>
              </w:rPr>
              <w:t>jiných</w:t>
            </w:r>
            <w:proofErr w:type="spellEnd"/>
            <w:r w:rsidRPr="0035187E">
              <w:rPr>
                <w:rFonts w:ascii="Times New Roman" w:eastAsia="Calibri" w:hAnsi="Times New Roman" w:cs="Times New Roman"/>
                <w:b/>
                <w:sz w:val="20"/>
                <w:szCs w:val="20"/>
                <w:lang w:val="en-US" w:eastAsia="en-US"/>
              </w:rPr>
              <w:t xml:space="preserve"> </w:t>
            </w:r>
            <w:proofErr w:type="spellStart"/>
            <w:r w:rsidRPr="0035187E">
              <w:rPr>
                <w:rFonts w:ascii="Times New Roman" w:eastAsia="Calibri" w:hAnsi="Times New Roman" w:cs="Times New Roman"/>
                <w:b/>
                <w:sz w:val="20"/>
                <w:szCs w:val="20"/>
                <w:lang w:val="en-US" w:eastAsia="en-US"/>
              </w:rPr>
              <w:t>právních</w:t>
            </w:r>
            <w:proofErr w:type="spellEnd"/>
            <w:r w:rsidRPr="0035187E">
              <w:rPr>
                <w:rFonts w:ascii="Times New Roman" w:eastAsia="Calibri" w:hAnsi="Times New Roman" w:cs="Times New Roman"/>
                <w:b/>
                <w:sz w:val="20"/>
                <w:szCs w:val="20"/>
                <w:lang w:val="en-US" w:eastAsia="en-US"/>
              </w:rPr>
              <w:t xml:space="preserve"> </w:t>
            </w:r>
            <w:proofErr w:type="spellStart"/>
            <w:r w:rsidRPr="0035187E">
              <w:rPr>
                <w:rFonts w:ascii="Times New Roman" w:eastAsia="Calibri" w:hAnsi="Times New Roman" w:cs="Times New Roman"/>
                <w:b/>
                <w:sz w:val="20"/>
                <w:szCs w:val="20"/>
                <w:lang w:val="en-US" w:eastAsia="en-US"/>
              </w:rPr>
              <w:t>předpisů</w:t>
            </w:r>
            <w:proofErr w:type="spellEnd"/>
            <w:r w:rsidRPr="0035187E">
              <w:rPr>
                <w:rFonts w:ascii="Times New Roman" w:eastAsia="Calibri" w:hAnsi="Times New Roman" w:cs="Times New Roman"/>
                <w:b/>
                <w:sz w:val="20"/>
                <w:szCs w:val="20"/>
                <w:lang w:val="en-US" w:eastAsia="en-US"/>
              </w:rPr>
              <w:t>.</w:t>
            </w:r>
          </w:p>
          <w:p w14:paraId="3178BDDA" w14:textId="77777777" w:rsidR="00A33161" w:rsidRPr="0035187E" w:rsidRDefault="00A33161" w:rsidP="0035187E">
            <w:pPr>
              <w:jc w:val="both"/>
              <w:rPr>
                <w:rFonts w:ascii="Times New Roman" w:eastAsia="Calibri" w:hAnsi="Times New Roman" w:cs="Times New Roman"/>
                <w:b/>
                <w:sz w:val="20"/>
                <w:szCs w:val="20"/>
                <w:lang w:val="en-US" w:eastAsia="en-US"/>
              </w:rPr>
            </w:pPr>
          </w:p>
          <w:p w14:paraId="6A20DCC5" w14:textId="3E04DF44" w:rsidR="00D7096D" w:rsidRPr="0035187E" w:rsidRDefault="00A33161" w:rsidP="0035187E">
            <w:pPr>
              <w:jc w:val="both"/>
              <w:rPr>
                <w:rFonts w:ascii="Times New Roman" w:hAnsi="Times New Roman" w:cs="Times New Roman"/>
                <w:sz w:val="20"/>
                <w:szCs w:val="20"/>
              </w:rPr>
            </w:pPr>
            <w:r w:rsidRPr="0035187E">
              <w:rPr>
                <w:rFonts w:ascii="Times New Roman" w:eastAsia="Calibri" w:hAnsi="Times New Roman" w:cs="Times New Roman"/>
                <w:b/>
                <w:sz w:val="20"/>
                <w:szCs w:val="20"/>
                <w:lang w:val="en-US" w:eastAsia="en-US"/>
              </w:rPr>
              <w:t xml:space="preserve">Tato </w:t>
            </w:r>
            <w:proofErr w:type="spellStart"/>
            <w:r w:rsidRPr="0035187E">
              <w:rPr>
                <w:rFonts w:ascii="Times New Roman" w:eastAsia="Calibri" w:hAnsi="Times New Roman" w:cs="Times New Roman"/>
                <w:b/>
                <w:sz w:val="20"/>
                <w:szCs w:val="20"/>
                <w:lang w:val="en-US" w:eastAsia="en-US"/>
              </w:rPr>
              <w:t>připomínka</w:t>
            </w:r>
            <w:proofErr w:type="spellEnd"/>
            <w:r w:rsidRPr="0035187E">
              <w:rPr>
                <w:rFonts w:ascii="Times New Roman" w:eastAsia="Calibri" w:hAnsi="Times New Roman" w:cs="Times New Roman"/>
                <w:b/>
                <w:sz w:val="20"/>
                <w:szCs w:val="20"/>
                <w:lang w:val="en-US" w:eastAsia="en-US"/>
              </w:rPr>
              <w:t xml:space="preserve"> je </w:t>
            </w:r>
            <w:proofErr w:type="spellStart"/>
            <w:r w:rsidRPr="0035187E">
              <w:rPr>
                <w:rFonts w:ascii="Times New Roman" w:eastAsia="Calibri" w:hAnsi="Times New Roman" w:cs="Times New Roman"/>
                <w:b/>
                <w:sz w:val="20"/>
                <w:szCs w:val="20"/>
                <w:lang w:val="en-US" w:eastAsia="en-US"/>
              </w:rPr>
              <w:t>zásadní</w:t>
            </w:r>
            <w:proofErr w:type="spellEnd"/>
            <w:r w:rsidRPr="0035187E">
              <w:rPr>
                <w:rFonts w:ascii="Times New Roman" w:eastAsia="Calibri" w:hAnsi="Times New Roman" w:cs="Times New Roman"/>
                <w:b/>
                <w:sz w:val="20"/>
                <w:szCs w:val="20"/>
                <w:lang w:val="en-US" w:eastAsia="en-US"/>
              </w:rPr>
              <w:t>.</w:t>
            </w:r>
          </w:p>
        </w:tc>
        <w:tc>
          <w:tcPr>
            <w:tcW w:w="1453" w:type="pct"/>
            <w:tcBorders>
              <w:top w:val="single" w:sz="4" w:space="0" w:color="auto"/>
              <w:left w:val="single" w:sz="4" w:space="0" w:color="auto"/>
              <w:right w:val="single" w:sz="4" w:space="0" w:color="auto"/>
            </w:tcBorders>
            <w:shd w:val="clear" w:color="auto" w:fill="auto"/>
          </w:tcPr>
          <w:p w14:paraId="09C8FA67" w14:textId="77777777" w:rsidR="0080059D" w:rsidRPr="0035187E" w:rsidRDefault="0080059D"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Nevyhověno.</w:t>
            </w:r>
          </w:p>
          <w:p w14:paraId="7E3AFC3C" w14:textId="77777777" w:rsidR="0080059D" w:rsidRPr="0035187E" w:rsidRDefault="0080059D" w:rsidP="0035187E">
            <w:pPr>
              <w:jc w:val="both"/>
              <w:rPr>
                <w:rFonts w:ascii="Times New Roman" w:hAnsi="Times New Roman" w:cs="Times New Roman"/>
                <w:sz w:val="20"/>
                <w:szCs w:val="20"/>
              </w:rPr>
            </w:pPr>
            <w:r w:rsidRPr="0035187E">
              <w:rPr>
                <w:rFonts w:ascii="Times New Roman" w:hAnsi="Times New Roman" w:cs="Times New Roman"/>
                <w:sz w:val="20"/>
                <w:szCs w:val="20"/>
              </w:rPr>
              <w:t>Podnět přesahuje rámec navrhované úpravy zákona o evidenci tržeb.</w:t>
            </w:r>
          </w:p>
          <w:p w14:paraId="37EB7A31" w14:textId="77777777" w:rsidR="0080059D" w:rsidRPr="0035187E" w:rsidRDefault="0080059D"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Znovuzavedení předmětného osvobození do § 4 ZDP by bylo nesystémovým znovuzavedením daňové výjimky pro dotčenou skupinu poplatníků.  </w:t>
            </w:r>
          </w:p>
          <w:p w14:paraId="32A52EB7" w14:textId="77777777" w:rsidR="00EC1E31" w:rsidRPr="0035187E" w:rsidRDefault="0080059D" w:rsidP="0035187E">
            <w:pPr>
              <w:jc w:val="both"/>
              <w:rPr>
                <w:rFonts w:ascii="Times New Roman" w:hAnsi="Times New Roman" w:cs="Times New Roman"/>
                <w:sz w:val="20"/>
                <w:szCs w:val="20"/>
              </w:rPr>
            </w:pPr>
            <w:r w:rsidRPr="0035187E">
              <w:rPr>
                <w:rFonts w:ascii="Times New Roman" w:hAnsi="Times New Roman" w:cs="Times New Roman"/>
                <w:sz w:val="20"/>
                <w:szCs w:val="20"/>
              </w:rPr>
              <w:t>V současné době příjmy z ocenění v oblasti kultury spadají do režimu ostatních příjmů podle § 10 zákona o daních z příjmů, konkrétně § 10 odst. 1 písm. r) zákona o daních z příjmů. Pokud jejich výše za zdaňovací období nepřesáhne částku 50 000 Kč, jedná se o příjmy osvobozené od daně ve smyslu § 10 odst. 3 písm. a) tohoto zákona. Tyto příjmy tak i nadále požívají daňové výhody.</w:t>
            </w:r>
          </w:p>
          <w:p w14:paraId="0740D1D6" w14:textId="77777777" w:rsidR="00EC1E31" w:rsidRPr="0035187E" w:rsidRDefault="00EC1E31" w:rsidP="0035187E">
            <w:pPr>
              <w:jc w:val="both"/>
              <w:rPr>
                <w:rFonts w:ascii="Times New Roman" w:hAnsi="Times New Roman" w:cs="Times New Roman"/>
                <w:sz w:val="20"/>
                <w:szCs w:val="20"/>
              </w:rPr>
            </w:pPr>
          </w:p>
          <w:p w14:paraId="09C26795" w14:textId="46B58B90" w:rsidR="00D7096D" w:rsidRPr="0035187E" w:rsidRDefault="00EC1E31"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Připomínkové místo nezaslalo reakci</w:t>
            </w:r>
            <w:r w:rsidR="001109A9" w:rsidRPr="0035187E">
              <w:rPr>
                <w:rFonts w:ascii="Times New Roman" w:hAnsi="Times New Roman" w:cs="Times New Roman"/>
                <w:i/>
                <w:iCs/>
                <w:sz w:val="20"/>
                <w:szCs w:val="20"/>
              </w:rPr>
              <w:t xml:space="preserve"> k písemnému vypořádání</w:t>
            </w:r>
            <w:r w:rsidRPr="0035187E">
              <w:rPr>
                <w:rFonts w:ascii="Times New Roman" w:hAnsi="Times New Roman" w:cs="Times New Roman"/>
                <w:i/>
                <w:iCs/>
                <w:sz w:val="20"/>
                <w:szCs w:val="20"/>
              </w:rPr>
              <w:t>.</w:t>
            </w:r>
            <w:r w:rsidR="0080059D" w:rsidRPr="0035187E">
              <w:rPr>
                <w:rFonts w:ascii="Times New Roman" w:hAnsi="Times New Roman" w:cs="Times New Roman"/>
                <w:i/>
                <w:iCs/>
                <w:sz w:val="20"/>
                <w:szCs w:val="20"/>
              </w:rPr>
              <w:t xml:space="preserve">  </w:t>
            </w:r>
          </w:p>
        </w:tc>
      </w:tr>
      <w:tr w:rsidR="0035187E" w:rsidRPr="0035187E" w14:paraId="5D39E953"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B00E4B6" w14:textId="73A963F8" w:rsidR="00A33161" w:rsidRPr="0035187E" w:rsidRDefault="00A33161" w:rsidP="0035187E">
            <w:pPr>
              <w:jc w:val="center"/>
              <w:rPr>
                <w:rFonts w:ascii="Times New Roman" w:hAnsi="Times New Roman" w:cs="Times New Roman"/>
                <w:sz w:val="20"/>
                <w:szCs w:val="20"/>
              </w:rPr>
            </w:pPr>
            <w:r w:rsidRPr="0035187E">
              <w:rPr>
                <w:rFonts w:ascii="Times New Roman" w:hAnsi="Times New Roman" w:cs="Times New Roman"/>
                <w:sz w:val="20"/>
                <w:szCs w:val="20"/>
              </w:rPr>
              <w:t>2.</w:t>
            </w:r>
          </w:p>
        </w:tc>
        <w:tc>
          <w:tcPr>
            <w:tcW w:w="583" w:type="pct"/>
            <w:tcBorders>
              <w:top w:val="single" w:sz="4" w:space="0" w:color="auto"/>
              <w:left w:val="single" w:sz="4" w:space="0" w:color="auto"/>
              <w:right w:val="single" w:sz="4" w:space="0" w:color="auto"/>
            </w:tcBorders>
            <w:shd w:val="clear" w:color="auto" w:fill="auto"/>
          </w:tcPr>
          <w:p w14:paraId="2C52F528" w14:textId="446D25CB" w:rsidR="00A33161" w:rsidRPr="0035187E" w:rsidRDefault="00A33161"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kultury</w:t>
            </w:r>
          </w:p>
        </w:tc>
        <w:tc>
          <w:tcPr>
            <w:tcW w:w="168" w:type="pct"/>
            <w:tcBorders>
              <w:top w:val="single" w:sz="4" w:space="0" w:color="auto"/>
              <w:left w:val="single" w:sz="4" w:space="0" w:color="auto"/>
              <w:right w:val="single" w:sz="4" w:space="0" w:color="auto"/>
            </w:tcBorders>
            <w:shd w:val="clear" w:color="auto" w:fill="auto"/>
          </w:tcPr>
          <w:p w14:paraId="0593CD9C" w14:textId="066018D8" w:rsidR="00A33161" w:rsidRPr="0035187E" w:rsidRDefault="00A33161" w:rsidP="0035187E">
            <w:pPr>
              <w:jc w:val="center"/>
              <w:rPr>
                <w:rFonts w:ascii="Times New Roman" w:hAnsi="Times New Roman" w:cs="Times New Roman"/>
                <w:sz w:val="20"/>
                <w:szCs w:val="20"/>
              </w:rPr>
            </w:pPr>
            <w:r w:rsidRPr="0035187E">
              <w:rPr>
                <w:rFonts w:ascii="Times New Roman" w:hAnsi="Times New Roman" w:cs="Times New Roman"/>
                <w:sz w:val="20"/>
                <w:szCs w:val="20"/>
              </w:rPr>
              <w:t>2.</w:t>
            </w:r>
          </w:p>
        </w:tc>
        <w:tc>
          <w:tcPr>
            <w:tcW w:w="169" w:type="pct"/>
            <w:tcBorders>
              <w:top w:val="single" w:sz="4" w:space="0" w:color="auto"/>
              <w:left w:val="single" w:sz="4" w:space="0" w:color="auto"/>
              <w:right w:val="single" w:sz="4" w:space="0" w:color="auto"/>
            </w:tcBorders>
            <w:shd w:val="clear" w:color="auto" w:fill="auto"/>
          </w:tcPr>
          <w:p w14:paraId="1243977E" w14:textId="2FA5DCAE" w:rsidR="00A33161" w:rsidRPr="0035187E" w:rsidRDefault="00A33161"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528AD4B" w14:textId="77777777" w:rsidR="00A33161" w:rsidRPr="0035187E" w:rsidRDefault="00A33161" w:rsidP="0035187E">
            <w:pPr>
              <w:numPr>
                <w:ilvl w:val="0"/>
                <w:numId w:val="56"/>
              </w:numPr>
              <w:ind w:left="0" w:firstLine="0"/>
              <w:contextualSpacing/>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Dále se jakožto další druh podpory kultury navrhuje osvobodit dary, resp. bezúplatné příjmy fyzických osob v souvislosti s jimi poskytovanými veřejnými kulturními službami od daně z příjmů. Tato úprava již také v zákoně o daních z příjmů byla uvedena a byla jedním z nástrojů podpory živé kultury a literatury, péče o národní kulturní dědictví, udržování a rozvíjení lidových tradic, řemesel a folklóru, zakotvených zákonem č. </w:t>
            </w:r>
            <w:r w:rsidRPr="0035187E">
              <w:rPr>
                <w:rFonts w:ascii="Times New Roman" w:eastAsia="Calibri" w:hAnsi="Times New Roman" w:cs="Times New Roman"/>
                <w:bCs/>
                <w:sz w:val="20"/>
                <w:szCs w:val="20"/>
                <w:lang w:eastAsia="en-US"/>
              </w:rPr>
              <w:t>203/2006 Sb.,</w:t>
            </w:r>
            <w:r w:rsidRPr="0035187E">
              <w:rPr>
                <w:rFonts w:ascii="Times New Roman" w:eastAsia="Calibri" w:hAnsi="Times New Roman" w:cs="Times New Roman"/>
                <w:bCs/>
                <w:iCs/>
                <w:sz w:val="20"/>
                <w:szCs w:val="20"/>
                <w:lang w:eastAsia="en-US"/>
              </w:rPr>
              <w:t xml:space="preserve"> o některých druzích podpory kultury a o změně některých souvisejících zákonů, který veřejné kulturní služby přímo vymezil. </w:t>
            </w:r>
          </w:p>
          <w:p w14:paraId="148CF7BB" w14:textId="77777777" w:rsidR="00A33161" w:rsidRPr="0035187E" w:rsidRDefault="00A33161" w:rsidP="0035187E">
            <w:pPr>
              <w:contextualSpacing/>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Za tímto účelem navrhujeme do § 4a na konci odstavce 1 doplnit nové písmeno q), které by znělo:</w:t>
            </w:r>
          </w:p>
          <w:p w14:paraId="7F088078" w14:textId="77777777" w:rsidR="00A33161" w:rsidRPr="0035187E" w:rsidRDefault="00A33161" w:rsidP="0035187E">
            <w:pPr>
              <w:contextualSpacing/>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 „q) v </w:t>
            </w:r>
            <w:hyperlink r:id="rId8" w:anchor="lema3" w:history="1">
              <w:r w:rsidRPr="0035187E">
                <w:rPr>
                  <w:rFonts w:ascii="Times New Roman" w:eastAsia="Calibri" w:hAnsi="Times New Roman" w:cs="Times New Roman"/>
                  <w:sz w:val="20"/>
                  <w:szCs w:val="20"/>
                  <w:lang w:eastAsia="en-US"/>
                </w:rPr>
                <w:t>podobě</w:t>
              </w:r>
            </w:hyperlink>
            <w:r w:rsidRPr="0035187E">
              <w:rPr>
                <w:rFonts w:ascii="Times New Roman" w:eastAsia="Calibri" w:hAnsi="Times New Roman" w:cs="Times New Roman"/>
                <w:sz w:val="20"/>
                <w:szCs w:val="20"/>
                <w:lang w:eastAsia="en-US"/>
              </w:rPr>
              <w:t> </w:t>
            </w:r>
            <w:bookmarkStart w:id="0" w:name="lema3"/>
            <w:bookmarkEnd w:id="0"/>
            <w:r w:rsidRPr="0035187E">
              <w:rPr>
                <w:rFonts w:ascii="Times New Roman" w:eastAsia="Calibri" w:hAnsi="Times New Roman" w:cs="Times New Roman"/>
                <w:sz w:val="20"/>
                <w:szCs w:val="20"/>
                <w:lang w:eastAsia="en-US"/>
              </w:rPr>
              <w:fldChar w:fldCharType="begin"/>
            </w:r>
            <w:r w:rsidRPr="0035187E">
              <w:rPr>
                <w:rFonts w:ascii="Times New Roman" w:eastAsia="Calibri" w:hAnsi="Times New Roman" w:cs="Times New Roman"/>
                <w:sz w:val="20"/>
                <w:szCs w:val="20"/>
                <w:lang w:eastAsia="en-US"/>
              </w:rPr>
              <w:instrText xml:space="preserve"> HYPERLINK "https://www.aspi.cz/products/lawText/1/40374/1/2?vtextu=v%20podob%C4%9B%20pln%C4%9Bn%C3%AD&amp;timeslice=31.12.2023" \l "lema4" </w:instrText>
            </w:r>
            <w:r w:rsidRPr="0035187E">
              <w:rPr>
                <w:rFonts w:ascii="Times New Roman" w:eastAsia="Calibri" w:hAnsi="Times New Roman" w:cs="Times New Roman"/>
                <w:sz w:val="20"/>
                <w:szCs w:val="20"/>
                <w:lang w:eastAsia="en-US"/>
              </w:rPr>
            </w:r>
            <w:r w:rsidRPr="0035187E">
              <w:rPr>
                <w:rFonts w:ascii="Times New Roman" w:eastAsia="Calibri" w:hAnsi="Times New Roman" w:cs="Times New Roman"/>
                <w:sz w:val="20"/>
                <w:szCs w:val="20"/>
                <w:lang w:eastAsia="en-US"/>
              </w:rPr>
              <w:fldChar w:fldCharType="separate"/>
            </w:r>
            <w:r w:rsidRPr="0035187E">
              <w:rPr>
                <w:rFonts w:ascii="Times New Roman" w:eastAsia="Calibri" w:hAnsi="Times New Roman" w:cs="Times New Roman"/>
                <w:sz w:val="20"/>
                <w:szCs w:val="20"/>
                <w:lang w:eastAsia="en-US"/>
              </w:rPr>
              <w:t>plnění</w:t>
            </w:r>
            <w:r w:rsidRPr="0035187E">
              <w:rPr>
                <w:rFonts w:ascii="Times New Roman" w:eastAsia="Calibri" w:hAnsi="Times New Roman" w:cs="Times New Roman"/>
                <w:sz w:val="20"/>
                <w:szCs w:val="20"/>
                <w:lang w:eastAsia="en-US"/>
              </w:rPr>
              <w:fldChar w:fldCharType="end"/>
            </w:r>
            <w:r w:rsidRPr="0035187E">
              <w:rPr>
                <w:rFonts w:ascii="Times New Roman" w:eastAsia="Calibri" w:hAnsi="Times New Roman" w:cs="Times New Roman"/>
                <w:sz w:val="20"/>
                <w:szCs w:val="20"/>
                <w:lang w:eastAsia="en-US"/>
              </w:rPr>
              <w:t> poskytnutého fyzickým osobám pro poskytování veřejných kulturních služeb.“.</w:t>
            </w:r>
          </w:p>
          <w:p w14:paraId="04357D00" w14:textId="77777777" w:rsidR="00A33161" w:rsidRPr="0035187E" w:rsidRDefault="00A33161" w:rsidP="0035187E">
            <w:pPr>
              <w:ind w:firstLine="360"/>
              <w:contextualSpacing/>
              <w:jc w:val="both"/>
              <w:rPr>
                <w:rFonts w:ascii="Times New Roman" w:eastAsia="Calibri" w:hAnsi="Times New Roman" w:cs="Times New Roman"/>
                <w:sz w:val="20"/>
                <w:szCs w:val="20"/>
                <w:lang w:eastAsia="en-US"/>
              </w:rPr>
            </w:pPr>
          </w:p>
          <w:p w14:paraId="130910CA" w14:textId="77777777" w:rsidR="00A33161" w:rsidRPr="0035187E" w:rsidRDefault="00A33161" w:rsidP="0035187E">
            <w:pPr>
              <w:ind w:firstLine="360"/>
              <w:contextualSpacing/>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Promítnutí připomínky ve výňatku z platného znění zákona č. 586/1992 Sb., o daních z příjmů:</w:t>
            </w:r>
          </w:p>
          <w:p w14:paraId="5DD5DA2A" w14:textId="77777777" w:rsidR="00A33161" w:rsidRPr="0035187E" w:rsidRDefault="00A33161" w:rsidP="0035187E">
            <w:pPr>
              <w:ind w:hanging="491"/>
              <w:contextualSpacing/>
              <w:jc w:val="both"/>
              <w:rPr>
                <w:rFonts w:ascii="Times New Roman" w:eastAsia="Calibri" w:hAnsi="Times New Roman" w:cs="Times New Roman"/>
                <w:sz w:val="20"/>
                <w:szCs w:val="20"/>
                <w:lang w:eastAsia="en-US"/>
              </w:rPr>
            </w:pPr>
          </w:p>
          <w:p w14:paraId="701F73B8" w14:textId="77777777" w:rsidR="00A33161" w:rsidRPr="0035187E" w:rsidRDefault="00A33161" w:rsidP="0035187E">
            <w:pPr>
              <w:keepNext/>
              <w:keepLines/>
              <w:jc w:val="center"/>
              <w:outlineLvl w:val="4"/>
              <w:rPr>
                <w:rFonts w:ascii="Times New Roman" w:hAnsi="Times New Roman" w:cs="Times New Roman"/>
                <w:b/>
                <w:bCs/>
                <w:iCs/>
                <w:sz w:val="20"/>
                <w:szCs w:val="20"/>
                <w:lang w:eastAsia="en-US"/>
              </w:rPr>
            </w:pPr>
            <w:r w:rsidRPr="0035187E">
              <w:rPr>
                <w:rFonts w:ascii="Times New Roman" w:hAnsi="Times New Roman" w:cs="Times New Roman"/>
                <w:b/>
                <w:bCs/>
                <w:iCs/>
                <w:sz w:val="20"/>
                <w:szCs w:val="20"/>
                <w:lang w:eastAsia="en-US"/>
              </w:rPr>
              <w:t>§ 4a</w:t>
            </w:r>
            <w:bookmarkStart w:id="1" w:name="c_33377"/>
            <w:bookmarkEnd w:id="1"/>
          </w:p>
          <w:p w14:paraId="01A73A5B" w14:textId="77777777" w:rsidR="00A33161" w:rsidRPr="0035187E" w:rsidRDefault="00A33161" w:rsidP="0035187E">
            <w:pPr>
              <w:keepNext/>
              <w:keepLines/>
              <w:contextualSpacing/>
              <w:jc w:val="center"/>
              <w:outlineLvl w:val="4"/>
              <w:rPr>
                <w:rFonts w:ascii="Times New Roman" w:hAnsi="Times New Roman" w:cs="Times New Roman"/>
                <w:b/>
                <w:sz w:val="20"/>
                <w:szCs w:val="20"/>
                <w:lang w:eastAsia="en-US"/>
              </w:rPr>
            </w:pPr>
            <w:bookmarkStart w:id="2" w:name="osvobození-bezúplatných-příjmů"/>
            <w:r w:rsidRPr="0035187E">
              <w:rPr>
                <w:rFonts w:ascii="Times New Roman" w:hAnsi="Times New Roman" w:cs="Times New Roman"/>
                <w:b/>
                <w:sz w:val="20"/>
                <w:szCs w:val="20"/>
                <w:lang w:eastAsia="en-US"/>
              </w:rPr>
              <w:t>Osvobození bezúplatných příjmů</w:t>
            </w:r>
            <w:bookmarkEnd w:id="2"/>
          </w:p>
          <w:p w14:paraId="077666BD" w14:textId="77777777" w:rsidR="00A33161" w:rsidRPr="0035187E" w:rsidRDefault="00A33161"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iCs/>
                <w:sz w:val="20"/>
                <w:szCs w:val="20"/>
              </w:rPr>
              <w:t>Od daně z příjmů fyzických osob se osvobozuje</w:t>
            </w:r>
            <w:r w:rsidRPr="0035187E">
              <w:rPr>
                <w:rFonts w:ascii="Times New Roman" w:eastAsia="Calibri" w:hAnsi="Times New Roman" w:cs="Times New Roman"/>
                <w:sz w:val="20"/>
                <w:szCs w:val="20"/>
                <w:lang w:eastAsia="en-US"/>
              </w:rPr>
              <w:t xml:space="preserve"> bezúplatný příjem</w:t>
            </w:r>
          </w:p>
          <w:p w14:paraId="6450248B" w14:textId="77777777" w:rsidR="00A33161" w:rsidRPr="0035187E" w:rsidRDefault="00A33161"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a) z nabytí dědictví nebo odkazu,</w:t>
            </w:r>
          </w:p>
          <w:p w14:paraId="7196E390" w14:textId="77777777" w:rsidR="00A33161" w:rsidRPr="0035187E" w:rsidRDefault="00A33161"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b) obmyšleného z majetku, který</w:t>
            </w:r>
          </w:p>
          <w:p w14:paraId="44A50598" w14:textId="77777777" w:rsidR="00A33161" w:rsidRPr="0035187E" w:rsidRDefault="00A33161" w:rsidP="0035187E">
            <w:pPr>
              <w:jc w:val="both"/>
              <w:rPr>
                <w:rFonts w:ascii="Times New Roman" w:eastAsia="Calibri" w:hAnsi="Times New Roman" w:cs="Times New Roman"/>
                <w:sz w:val="20"/>
                <w:szCs w:val="20"/>
                <w:lang w:val="pt-BR" w:eastAsia="en-US"/>
              </w:rPr>
            </w:pPr>
            <w:r w:rsidRPr="0035187E">
              <w:rPr>
                <w:rFonts w:ascii="Times New Roman" w:eastAsia="Calibri" w:hAnsi="Times New Roman" w:cs="Times New Roman"/>
                <w:sz w:val="20"/>
                <w:szCs w:val="20"/>
                <w:lang w:val="pt-BR" w:eastAsia="en-US"/>
              </w:rPr>
              <w:t>1. byl do svěřenského fondu vyčleněn pořízením pro případ smrti nebo</w:t>
            </w:r>
          </w:p>
          <w:p w14:paraId="09D482D8" w14:textId="77777777" w:rsidR="00A33161" w:rsidRPr="0035187E" w:rsidRDefault="00A33161" w:rsidP="0035187E">
            <w:pPr>
              <w:jc w:val="both"/>
              <w:rPr>
                <w:rFonts w:ascii="Times New Roman" w:eastAsia="Calibri" w:hAnsi="Times New Roman" w:cs="Times New Roman"/>
                <w:sz w:val="20"/>
                <w:szCs w:val="20"/>
                <w:lang w:val="pt-BR" w:eastAsia="en-US"/>
              </w:rPr>
            </w:pPr>
            <w:r w:rsidRPr="0035187E">
              <w:rPr>
                <w:rFonts w:ascii="Times New Roman" w:eastAsia="Calibri" w:hAnsi="Times New Roman" w:cs="Times New Roman"/>
                <w:sz w:val="20"/>
                <w:szCs w:val="20"/>
                <w:lang w:val="pt-BR" w:eastAsia="en-US"/>
              </w:rPr>
              <w:t>2. zvýšil majetek svěřenského fondu pořízením pro případ smrti,</w:t>
            </w:r>
          </w:p>
          <w:p w14:paraId="38AC5E27" w14:textId="77777777" w:rsidR="00A33161" w:rsidRPr="0035187E" w:rsidRDefault="00A33161" w:rsidP="0035187E">
            <w:pPr>
              <w:jc w:val="both"/>
              <w:rPr>
                <w:rFonts w:ascii="Times New Roman" w:eastAsia="Calibri" w:hAnsi="Times New Roman" w:cs="Times New Roman"/>
                <w:sz w:val="20"/>
                <w:szCs w:val="20"/>
                <w:lang w:val="it-IT" w:eastAsia="en-US"/>
              </w:rPr>
            </w:pPr>
            <w:r w:rsidRPr="0035187E">
              <w:rPr>
                <w:rFonts w:ascii="Times New Roman" w:eastAsia="Calibri" w:hAnsi="Times New Roman" w:cs="Times New Roman"/>
                <w:sz w:val="20"/>
                <w:szCs w:val="20"/>
                <w:lang w:val="it-IT" w:eastAsia="en-US"/>
              </w:rPr>
              <w:t xml:space="preserve">c)…až o) …., </w:t>
            </w:r>
          </w:p>
          <w:p w14:paraId="47A4D529" w14:textId="77777777" w:rsidR="00A33161" w:rsidRPr="0035187E" w:rsidRDefault="00A33161" w:rsidP="0035187E">
            <w:pPr>
              <w:jc w:val="both"/>
              <w:rPr>
                <w:rFonts w:ascii="Times New Roman" w:eastAsia="Calibri" w:hAnsi="Times New Roman" w:cs="Times New Roman"/>
                <w:sz w:val="20"/>
                <w:szCs w:val="20"/>
                <w:lang w:val="it-IT" w:eastAsia="en-US"/>
              </w:rPr>
            </w:pPr>
            <w:r w:rsidRPr="0035187E">
              <w:rPr>
                <w:rFonts w:ascii="Times New Roman" w:eastAsia="Calibri" w:hAnsi="Times New Roman" w:cs="Times New Roman"/>
                <w:sz w:val="20"/>
                <w:szCs w:val="20"/>
                <w:lang w:val="it-IT" w:eastAsia="en-US"/>
              </w:rPr>
              <w:t>p) z nabytí nemovité věci …,</w:t>
            </w:r>
          </w:p>
          <w:p w14:paraId="19925B51" w14:textId="77777777" w:rsidR="00A33161" w:rsidRPr="0035187E" w:rsidRDefault="00A33161" w:rsidP="0035187E">
            <w:pPr>
              <w:jc w:val="both"/>
              <w:rPr>
                <w:rFonts w:ascii="Times New Roman" w:eastAsia="Calibri" w:hAnsi="Times New Roman" w:cs="Times New Roman"/>
                <w:b/>
                <w:sz w:val="20"/>
                <w:szCs w:val="20"/>
                <w:lang w:val="it-IT" w:eastAsia="en-US"/>
              </w:rPr>
            </w:pPr>
            <w:r w:rsidRPr="0035187E">
              <w:rPr>
                <w:rFonts w:ascii="Times New Roman" w:eastAsia="Calibri" w:hAnsi="Times New Roman" w:cs="Times New Roman"/>
                <w:b/>
                <w:sz w:val="20"/>
                <w:szCs w:val="20"/>
                <w:lang w:val="it-IT" w:eastAsia="en-US"/>
              </w:rPr>
              <w:t xml:space="preserve">q) v </w:t>
            </w:r>
            <w:r w:rsidR="00377D44">
              <w:fldChar w:fldCharType="begin"/>
            </w:r>
            <w:r w:rsidR="00377D44">
              <w:instrText>HYPERLINK "https://www.aspi.cz/products/lawText/1/40374/1/2?vtextu=v%20podob%C4%9B%20pln%C4%9Bn%C3%AD&amp;timeslice=31.12.2023" \l "lema3"</w:instrText>
            </w:r>
            <w:r w:rsidR="00377D44">
              <w:fldChar w:fldCharType="separate"/>
            </w:r>
            <w:r w:rsidRPr="0035187E">
              <w:rPr>
                <w:rFonts w:ascii="Times New Roman" w:eastAsia="Calibri" w:hAnsi="Times New Roman" w:cs="Times New Roman"/>
                <w:b/>
                <w:sz w:val="20"/>
                <w:szCs w:val="20"/>
                <w:lang w:val="it-IT" w:eastAsia="en-US"/>
              </w:rPr>
              <w:t>podobě</w:t>
            </w:r>
            <w:r w:rsidR="00377D44">
              <w:rPr>
                <w:rFonts w:ascii="Times New Roman" w:eastAsia="Calibri" w:hAnsi="Times New Roman" w:cs="Times New Roman"/>
                <w:b/>
                <w:sz w:val="20"/>
                <w:szCs w:val="20"/>
                <w:lang w:val="it-IT" w:eastAsia="en-US"/>
              </w:rPr>
              <w:fldChar w:fldCharType="end"/>
            </w:r>
            <w:r w:rsidRPr="0035187E">
              <w:rPr>
                <w:rFonts w:ascii="Times New Roman" w:eastAsia="Calibri" w:hAnsi="Times New Roman" w:cs="Times New Roman"/>
                <w:b/>
                <w:sz w:val="20"/>
                <w:szCs w:val="20"/>
                <w:lang w:val="it-IT" w:eastAsia="en-US"/>
              </w:rPr>
              <w:t> </w:t>
            </w:r>
            <w:hyperlink r:id="rId9" w:anchor="lema4" w:history="1">
              <w:r w:rsidRPr="0035187E">
                <w:rPr>
                  <w:rFonts w:ascii="Times New Roman" w:eastAsia="Calibri" w:hAnsi="Times New Roman" w:cs="Times New Roman"/>
                  <w:b/>
                  <w:sz w:val="20"/>
                  <w:szCs w:val="20"/>
                  <w:lang w:val="it-IT" w:eastAsia="en-US"/>
                </w:rPr>
                <w:t>plnění</w:t>
              </w:r>
            </w:hyperlink>
            <w:r w:rsidRPr="0035187E">
              <w:rPr>
                <w:rFonts w:ascii="Times New Roman" w:eastAsia="Calibri" w:hAnsi="Times New Roman" w:cs="Times New Roman"/>
                <w:b/>
                <w:sz w:val="20"/>
                <w:szCs w:val="20"/>
                <w:lang w:val="it-IT" w:eastAsia="en-US"/>
              </w:rPr>
              <w:t> poskytnutého fyzickým osobám pro poskytování veřejných kulturních služeb.</w:t>
            </w:r>
          </w:p>
          <w:p w14:paraId="1EC5E89A" w14:textId="77777777" w:rsidR="00A33161" w:rsidRPr="0035187E" w:rsidRDefault="00A33161" w:rsidP="0035187E">
            <w:pPr>
              <w:ind w:hanging="284"/>
              <w:jc w:val="both"/>
              <w:rPr>
                <w:rFonts w:ascii="Times New Roman" w:eastAsia="Calibri" w:hAnsi="Times New Roman" w:cs="Times New Roman"/>
                <w:b/>
                <w:sz w:val="20"/>
                <w:szCs w:val="20"/>
                <w:lang w:val="it-IT" w:eastAsia="en-US"/>
              </w:rPr>
            </w:pPr>
          </w:p>
          <w:p w14:paraId="46176AA1" w14:textId="7F67A202" w:rsidR="00A33161" w:rsidRPr="0035187E" w:rsidRDefault="00A33161" w:rsidP="0035187E">
            <w:pPr>
              <w:jc w:val="both"/>
              <w:rPr>
                <w:rFonts w:ascii="Times New Roman" w:hAnsi="Times New Roman" w:cs="Times New Roman"/>
                <w:sz w:val="20"/>
                <w:szCs w:val="20"/>
              </w:rPr>
            </w:pPr>
            <w:r w:rsidRPr="0035187E">
              <w:rPr>
                <w:rFonts w:ascii="Times New Roman" w:eastAsia="Calibri" w:hAnsi="Times New Roman" w:cs="Times New Roman"/>
                <w:b/>
                <w:sz w:val="20"/>
                <w:szCs w:val="20"/>
                <w:lang w:val="en-US" w:eastAsia="en-US"/>
              </w:rPr>
              <w:t xml:space="preserve">Tato </w:t>
            </w:r>
            <w:proofErr w:type="spellStart"/>
            <w:r w:rsidRPr="0035187E">
              <w:rPr>
                <w:rFonts w:ascii="Times New Roman" w:eastAsia="Calibri" w:hAnsi="Times New Roman" w:cs="Times New Roman"/>
                <w:b/>
                <w:sz w:val="20"/>
                <w:szCs w:val="20"/>
                <w:lang w:val="en-US" w:eastAsia="en-US"/>
              </w:rPr>
              <w:t>připomínka</w:t>
            </w:r>
            <w:proofErr w:type="spellEnd"/>
            <w:r w:rsidRPr="0035187E">
              <w:rPr>
                <w:rFonts w:ascii="Times New Roman" w:eastAsia="Calibri" w:hAnsi="Times New Roman" w:cs="Times New Roman"/>
                <w:b/>
                <w:sz w:val="20"/>
                <w:szCs w:val="20"/>
                <w:lang w:val="en-US" w:eastAsia="en-US"/>
              </w:rPr>
              <w:t xml:space="preserve"> je </w:t>
            </w:r>
            <w:proofErr w:type="spellStart"/>
            <w:r w:rsidRPr="0035187E">
              <w:rPr>
                <w:rFonts w:ascii="Times New Roman" w:eastAsia="Calibri" w:hAnsi="Times New Roman" w:cs="Times New Roman"/>
                <w:b/>
                <w:sz w:val="20"/>
                <w:szCs w:val="20"/>
                <w:lang w:val="en-US" w:eastAsia="en-US"/>
              </w:rPr>
              <w:t>zásadní</w:t>
            </w:r>
            <w:proofErr w:type="spellEnd"/>
            <w:r w:rsidRPr="0035187E">
              <w:rPr>
                <w:rFonts w:ascii="Times New Roman" w:eastAsia="Calibri" w:hAnsi="Times New Roman" w:cs="Times New Roman"/>
                <w:b/>
                <w:sz w:val="20"/>
                <w:szCs w:val="20"/>
                <w:lang w:val="en-US" w:eastAsia="en-US"/>
              </w:rPr>
              <w:t>.</w:t>
            </w:r>
          </w:p>
        </w:tc>
        <w:tc>
          <w:tcPr>
            <w:tcW w:w="1453" w:type="pct"/>
            <w:tcBorders>
              <w:top w:val="single" w:sz="4" w:space="0" w:color="auto"/>
              <w:left w:val="single" w:sz="4" w:space="0" w:color="auto"/>
              <w:right w:val="single" w:sz="4" w:space="0" w:color="auto"/>
            </w:tcBorders>
            <w:shd w:val="clear" w:color="auto" w:fill="auto"/>
          </w:tcPr>
          <w:p w14:paraId="237F0FD5" w14:textId="77777777" w:rsidR="0080059D" w:rsidRPr="0035187E" w:rsidRDefault="0080059D"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Nevyhověno.</w:t>
            </w:r>
          </w:p>
          <w:p w14:paraId="5C8F2629" w14:textId="77777777" w:rsidR="0080059D" w:rsidRPr="0035187E" w:rsidRDefault="0080059D" w:rsidP="0035187E">
            <w:pPr>
              <w:jc w:val="both"/>
              <w:rPr>
                <w:rFonts w:ascii="Times New Roman" w:hAnsi="Times New Roman" w:cs="Times New Roman"/>
                <w:sz w:val="20"/>
                <w:szCs w:val="20"/>
              </w:rPr>
            </w:pPr>
            <w:r w:rsidRPr="0035187E">
              <w:rPr>
                <w:rFonts w:ascii="Times New Roman" w:hAnsi="Times New Roman" w:cs="Times New Roman"/>
                <w:sz w:val="20"/>
                <w:szCs w:val="20"/>
              </w:rPr>
              <w:t>Podnět přesahuje rámec navrhované úpravy zákona o evidenci tržeb.</w:t>
            </w:r>
          </w:p>
          <w:p w14:paraId="75B68845" w14:textId="77777777" w:rsidR="00A33161" w:rsidRPr="0035187E" w:rsidRDefault="0080059D" w:rsidP="0035187E">
            <w:pPr>
              <w:jc w:val="both"/>
              <w:rPr>
                <w:rFonts w:ascii="Times New Roman" w:hAnsi="Times New Roman" w:cs="Times New Roman"/>
                <w:sz w:val="20"/>
                <w:szCs w:val="20"/>
              </w:rPr>
            </w:pPr>
            <w:r w:rsidRPr="0035187E">
              <w:rPr>
                <w:rFonts w:ascii="Times New Roman" w:hAnsi="Times New Roman" w:cs="Times New Roman"/>
                <w:sz w:val="20"/>
                <w:szCs w:val="20"/>
              </w:rPr>
              <w:t>Znovuzavedení předmětného osvobození do § 4a ZDP by bylo nesystémovým znovuzavedením daňové výjimky pro dotčenou skupinu poplatníků. Možnost osvobození těchto příjmů byla v rámci novely ZDP provedené konsolidačním balíčkem s účinností od 1. 1. 2024 přesunuta v rámci komplexního řešení do ostatních příjmů podle § 10 ZDP, ve kterém je úprava, v jejímž důsledku mohou být uvedené bezúplatné příjmy osvobozené, pokud tyto příjmy nabyté od jednoho poplatníka v úhrnu nepřesáhnou částku 50 000 Kč za zdaňovací období (viz § 10 odst. 3 písm. c) bod 5 ZDP). Tyto příjmy tak i nadále požívají daňové výhody.</w:t>
            </w:r>
          </w:p>
          <w:p w14:paraId="438F06A8" w14:textId="77777777" w:rsidR="00EC1E31" w:rsidRPr="0035187E" w:rsidRDefault="00EC1E31" w:rsidP="0035187E">
            <w:pPr>
              <w:jc w:val="both"/>
              <w:rPr>
                <w:rFonts w:ascii="Times New Roman" w:hAnsi="Times New Roman" w:cs="Times New Roman"/>
                <w:sz w:val="20"/>
                <w:szCs w:val="20"/>
              </w:rPr>
            </w:pPr>
          </w:p>
          <w:p w14:paraId="0B6282A0" w14:textId="468A74EF" w:rsidR="00EC1E31" w:rsidRPr="0035187E" w:rsidRDefault="001109A9" w:rsidP="0035187E">
            <w:pPr>
              <w:jc w:val="both"/>
              <w:rPr>
                <w:rFonts w:ascii="Times New Roman" w:hAnsi="Times New Roman" w:cs="Times New Roman"/>
                <w:sz w:val="20"/>
                <w:szCs w:val="20"/>
              </w:rPr>
            </w:pPr>
            <w:r w:rsidRPr="0035187E">
              <w:rPr>
                <w:rFonts w:ascii="Times New Roman" w:hAnsi="Times New Roman" w:cs="Times New Roman"/>
                <w:i/>
                <w:iCs/>
                <w:sz w:val="20"/>
                <w:szCs w:val="20"/>
              </w:rPr>
              <w:t xml:space="preserve">Připomínkové místo nezaslalo reakci k písemnému vypořádání.  </w:t>
            </w:r>
          </w:p>
        </w:tc>
      </w:tr>
      <w:tr w:rsidR="0035187E" w:rsidRPr="0035187E" w14:paraId="2A63BB5E"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6DD8C7A" w14:textId="2A4FAA99" w:rsidR="00A33161" w:rsidRPr="0035187E" w:rsidRDefault="00A33161"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2.</w:t>
            </w:r>
          </w:p>
        </w:tc>
        <w:tc>
          <w:tcPr>
            <w:tcW w:w="583" w:type="pct"/>
            <w:tcBorders>
              <w:top w:val="single" w:sz="4" w:space="0" w:color="auto"/>
              <w:left w:val="single" w:sz="4" w:space="0" w:color="auto"/>
              <w:right w:val="single" w:sz="4" w:space="0" w:color="auto"/>
            </w:tcBorders>
            <w:shd w:val="clear" w:color="auto" w:fill="auto"/>
          </w:tcPr>
          <w:p w14:paraId="4C62D8FF" w14:textId="4D507EDB" w:rsidR="00A33161" w:rsidRPr="0035187E" w:rsidRDefault="00A33161"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kultury</w:t>
            </w:r>
          </w:p>
        </w:tc>
        <w:tc>
          <w:tcPr>
            <w:tcW w:w="168" w:type="pct"/>
            <w:tcBorders>
              <w:top w:val="single" w:sz="4" w:space="0" w:color="auto"/>
              <w:left w:val="single" w:sz="4" w:space="0" w:color="auto"/>
              <w:right w:val="single" w:sz="4" w:space="0" w:color="auto"/>
            </w:tcBorders>
            <w:shd w:val="clear" w:color="auto" w:fill="auto"/>
          </w:tcPr>
          <w:p w14:paraId="072B7CB7" w14:textId="3B692E8C" w:rsidR="00A33161" w:rsidRPr="0035187E" w:rsidRDefault="00A33161" w:rsidP="0035187E">
            <w:pPr>
              <w:jc w:val="center"/>
              <w:rPr>
                <w:rFonts w:ascii="Times New Roman" w:hAnsi="Times New Roman" w:cs="Times New Roman"/>
                <w:sz w:val="20"/>
                <w:szCs w:val="20"/>
              </w:rPr>
            </w:pPr>
            <w:r w:rsidRPr="0035187E">
              <w:rPr>
                <w:rFonts w:ascii="Times New Roman" w:hAnsi="Times New Roman" w:cs="Times New Roman"/>
                <w:sz w:val="20"/>
                <w:szCs w:val="20"/>
              </w:rPr>
              <w:t>3.</w:t>
            </w:r>
          </w:p>
        </w:tc>
        <w:tc>
          <w:tcPr>
            <w:tcW w:w="169" w:type="pct"/>
            <w:tcBorders>
              <w:top w:val="single" w:sz="4" w:space="0" w:color="auto"/>
              <w:left w:val="single" w:sz="4" w:space="0" w:color="auto"/>
              <w:right w:val="single" w:sz="4" w:space="0" w:color="auto"/>
            </w:tcBorders>
            <w:shd w:val="clear" w:color="auto" w:fill="auto"/>
          </w:tcPr>
          <w:p w14:paraId="2A5C364C" w14:textId="4D2B9005" w:rsidR="00A33161" w:rsidRPr="0035187E" w:rsidRDefault="00A33161"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E9BD5D5" w14:textId="6DD7D44B" w:rsidR="00A33161" w:rsidRPr="0035187E" w:rsidRDefault="00A33161" w:rsidP="0035187E">
            <w:pPr>
              <w:keepNext/>
              <w:keepLines/>
              <w:numPr>
                <w:ilvl w:val="0"/>
                <w:numId w:val="56"/>
              </w:numPr>
              <w:tabs>
                <w:tab w:val="left" w:pos="851"/>
              </w:tabs>
              <w:ind w:left="0" w:firstLine="0"/>
              <w:contextualSpacing/>
              <w:jc w:val="both"/>
              <w:rPr>
                <w:rFonts w:ascii="Times New Roman" w:hAnsi="Times New Roman" w:cs="Times New Roman"/>
                <w:sz w:val="20"/>
                <w:szCs w:val="20"/>
              </w:rPr>
            </w:pPr>
            <w:r w:rsidRPr="0035187E">
              <w:rPr>
                <w:rFonts w:ascii="Times New Roman" w:hAnsi="Times New Roman" w:cs="Times New Roman"/>
                <w:iCs/>
                <w:sz w:val="20"/>
                <w:szCs w:val="20"/>
              </w:rPr>
              <w:t>Navrhujeme navýšení horního limitu příjmu autorů v § 7 odst. 6 tak, aby odpovídal aktuálnímu stavu a vývoji inflace. Podle stávajícího znění § 7 odst. 6 zákona č. 586/1992 Sb., o daních z příjmů, platí, že: „Příjem autora za příspěvek do novin, časopisu, rozhlasu nebo televize plynoucí ze zdrojů na území České republiky je samostatným základem daně pro daň vybíranou srážkou podle zvláštní sazby daně za předpokladu, že úhrn těchto příjmů od téhož plátce daně nepřesáhne v kalendářním měsíci 10000 Kč a jde o příjem uvedený v odstavci 2 písm. a).“  Uvedená horní hranice příjmů nebyla od přijetí zákona v roce 1992 valorizována, přičemž kumulovaná inflace od té doby činí cca 330 %.</w:t>
            </w:r>
          </w:p>
        </w:tc>
        <w:tc>
          <w:tcPr>
            <w:tcW w:w="1453" w:type="pct"/>
            <w:tcBorders>
              <w:top w:val="single" w:sz="4" w:space="0" w:color="auto"/>
              <w:left w:val="single" w:sz="4" w:space="0" w:color="auto"/>
              <w:right w:val="single" w:sz="4" w:space="0" w:color="auto"/>
            </w:tcBorders>
            <w:shd w:val="clear" w:color="auto" w:fill="auto"/>
          </w:tcPr>
          <w:p w14:paraId="1BE043CD" w14:textId="77777777" w:rsidR="00641217" w:rsidRPr="0035187E" w:rsidRDefault="00641217"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Nevyhověno.</w:t>
            </w:r>
          </w:p>
          <w:p w14:paraId="0595D7B5" w14:textId="77777777" w:rsidR="00641217" w:rsidRPr="0035187E" w:rsidRDefault="00641217" w:rsidP="0035187E">
            <w:pPr>
              <w:jc w:val="both"/>
              <w:rPr>
                <w:rFonts w:ascii="Times New Roman" w:eastAsia="Calibri" w:hAnsi="Times New Roman" w:cs="Times New Roman"/>
                <w:kern w:val="2"/>
                <w:sz w:val="20"/>
                <w:szCs w:val="20"/>
                <w:lang w:eastAsia="en-US"/>
                <w14:ligatures w14:val="standardContextual"/>
              </w:rPr>
            </w:pPr>
            <w:r w:rsidRPr="0035187E">
              <w:rPr>
                <w:rFonts w:ascii="Times New Roman" w:eastAsia="Calibri" w:hAnsi="Times New Roman" w:cs="Times New Roman"/>
                <w:kern w:val="2"/>
                <w:sz w:val="20"/>
                <w:szCs w:val="20"/>
                <w:lang w:eastAsia="en-US"/>
                <w14:ligatures w14:val="standardContextual"/>
              </w:rPr>
              <w:t xml:space="preserve">Jedná se o připomínku nad rámec předkládané novely, která s návrhem zákona věcně nesouvisí a z hlediska koncepce, resp. </w:t>
            </w:r>
            <w:proofErr w:type="spellStart"/>
            <w:r w:rsidRPr="0035187E">
              <w:rPr>
                <w:rFonts w:ascii="Times New Roman" w:eastAsia="Calibri" w:hAnsi="Times New Roman" w:cs="Times New Roman"/>
                <w:kern w:val="2"/>
                <w:sz w:val="20"/>
                <w:szCs w:val="20"/>
                <w:lang w:eastAsia="en-US"/>
                <w14:ligatures w14:val="standardContextual"/>
              </w:rPr>
              <w:t>provazby</w:t>
            </w:r>
            <w:proofErr w:type="spellEnd"/>
            <w:r w:rsidRPr="0035187E">
              <w:rPr>
                <w:rFonts w:ascii="Times New Roman" w:eastAsia="Calibri" w:hAnsi="Times New Roman" w:cs="Times New Roman"/>
                <w:kern w:val="2"/>
                <w:sz w:val="20"/>
                <w:szCs w:val="20"/>
                <w:lang w:eastAsia="en-US"/>
                <w14:ligatures w14:val="standardContextual"/>
              </w:rPr>
              <w:t xml:space="preserve"> zákona o daních z příjmů je výrazně nesystémová. Zvýšení částky má přímý dopad na výběr daně z příjmů, který následně negativně ovlivní veřejné rozpočty.</w:t>
            </w:r>
          </w:p>
          <w:p w14:paraId="2B670626" w14:textId="7482CC91" w:rsidR="00A33161" w:rsidRPr="0035187E" w:rsidRDefault="00641217" w:rsidP="0035187E">
            <w:pPr>
              <w:jc w:val="both"/>
              <w:rPr>
                <w:rFonts w:ascii="Times New Roman" w:eastAsia="Calibri" w:hAnsi="Times New Roman" w:cs="Times New Roman"/>
                <w:iCs/>
                <w:kern w:val="2"/>
                <w:sz w:val="20"/>
                <w:szCs w:val="20"/>
                <w:lang w:eastAsia="en-US"/>
                <w14:ligatures w14:val="standardContextual"/>
              </w:rPr>
            </w:pPr>
            <w:r w:rsidRPr="0035187E">
              <w:rPr>
                <w:rFonts w:ascii="Times New Roman" w:eastAsia="Calibri" w:hAnsi="Times New Roman" w:cs="Times New Roman"/>
                <w:iCs/>
                <w:kern w:val="2"/>
                <w:sz w:val="20"/>
                <w:szCs w:val="20"/>
                <w:lang w:eastAsia="en-US"/>
                <w14:ligatures w14:val="standardContextual"/>
              </w:rPr>
              <w:t>Nelze také souhlasit s tvrzením, že horní hranice příjmů autorů v dotčeném ustanovení nebyla od přijetí zákona v roce 1992 valorizována. Původní částka od přijetí ZDP činila 3 000 Kč. Zákonem č. 261/2007 Sb., s účinností od 1. 1. 2008, byla tato částka zvýšena na 7 000 Kč, a dále byla zákonem č. 267/2014 Sb., s účinností od 1. 1. 2015, zvýšena na 10 000 Kč, což odpovídá více než trojnásobnému navýšení horního limu, tj. v podstatě k navýšení na 333 %.</w:t>
            </w:r>
          </w:p>
        </w:tc>
      </w:tr>
      <w:tr w:rsidR="0035187E" w:rsidRPr="0035187E" w14:paraId="2B2AC4A2"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ED98822" w14:textId="241F7825" w:rsidR="00A33161" w:rsidRPr="0035187E" w:rsidRDefault="00A33161" w:rsidP="0035187E">
            <w:pPr>
              <w:jc w:val="center"/>
              <w:rPr>
                <w:rFonts w:ascii="Times New Roman" w:hAnsi="Times New Roman" w:cs="Times New Roman"/>
                <w:sz w:val="20"/>
                <w:szCs w:val="20"/>
              </w:rPr>
            </w:pPr>
            <w:r w:rsidRPr="0035187E">
              <w:rPr>
                <w:rFonts w:ascii="Times New Roman" w:hAnsi="Times New Roman" w:cs="Times New Roman"/>
                <w:sz w:val="20"/>
                <w:szCs w:val="20"/>
              </w:rPr>
              <w:t>2.</w:t>
            </w:r>
          </w:p>
        </w:tc>
        <w:tc>
          <w:tcPr>
            <w:tcW w:w="583" w:type="pct"/>
            <w:tcBorders>
              <w:top w:val="single" w:sz="4" w:space="0" w:color="auto"/>
              <w:left w:val="single" w:sz="4" w:space="0" w:color="auto"/>
              <w:right w:val="single" w:sz="4" w:space="0" w:color="auto"/>
            </w:tcBorders>
            <w:shd w:val="clear" w:color="auto" w:fill="auto"/>
          </w:tcPr>
          <w:p w14:paraId="6A4848E1" w14:textId="6650DC16" w:rsidR="00A33161" w:rsidRPr="0035187E" w:rsidRDefault="00A33161"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kultury</w:t>
            </w:r>
          </w:p>
        </w:tc>
        <w:tc>
          <w:tcPr>
            <w:tcW w:w="168" w:type="pct"/>
            <w:tcBorders>
              <w:top w:val="single" w:sz="4" w:space="0" w:color="auto"/>
              <w:left w:val="single" w:sz="4" w:space="0" w:color="auto"/>
              <w:right w:val="single" w:sz="4" w:space="0" w:color="auto"/>
            </w:tcBorders>
            <w:shd w:val="clear" w:color="auto" w:fill="auto"/>
          </w:tcPr>
          <w:p w14:paraId="7220D958" w14:textId="227EF8A8" w:rsidR="00A33161" w:rsidRPr="0035187E" w:rsidRDefault="00A33161" w:rsidP="0035187E">
            <w:pPr>
              <w:jc w:val="center"/>
              <w:rPr>
                <w:rFonts w:ascii="Times New Roman" w:hAnsi="Times New Roman" w:cs="Times New Roman"/>
                <w:sz w:val="20"/>
                <w:szCs w:val="20"/>
              </w:rPr>
            </w:pPr>
            <w:r w:rsidRPr="0035187E">
              <w:rPr>
                <w:rFonts w:ascii="Times New Roman" w:hAnsi="Times New Roman" w:cs="Times New Roman"/>
                <w:sz w:val="20"/>
                <w:szCs w:val="20"/>
              </w:rPr>
              <w:t>4.</w:t>
            </w:r>
          </w:p>
        </w:tc>
        <w:tc>
          <w:tcPr>
            <w:tcW w:w="169" w:type="pct"/>
            <w:tcBorders>
              <w:top w:val="single" w:sz="4" w:space="0" w:color="auto"/>
              <w:left w:val="single" w:sz="4" w:space="0" w:color="auto"/>
              <w:right w:val="single" w:sz="4" w:space="0" w:color="auto"/>
            </w:tcBorders>
            <w:shd w:val="clear" w:color="auto" w:fill="auto"/>
          </w:tcPr>
          <w:p w14:paraId="713EFD9A" w14:textId="7C16077D" w:rsidR="00A33161" w:rsidRPr="0035187E" w:rsidRDefault="00A33161"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830D116" w14:textId="77777777" w:rsidR="00A33161" w:rsidRPr="0035187E" w:rsidRDefault="00A33161" w:rsidP="0035187E">
            <w:pPr>
              <w:ind w:firstLine="851"/>
              <w:contextualSpacing/>
              <w:jc w:val="both"/>
              <w:rPr>
                <w:rFonts w:ascii="Times New Roman" w:eastAsia="Calibri" w:hAnsi="Times New Roman" w:cs="Times New Roman"/>
                <w:b/>
                <w:sz w:val="20"/>
                <w:szCs w:val="20"/>
                <w:u w:val="single"/>
                <w:lang w:eastAsia="en-US"/>
              </w:rPr>
            </w:pPr>
            <w:r w:rsidRPr="0035187E">
              <w:rPr>
                <w:rFonts w:ascii="Times New Roman" w:eastAsia="Calibri" w:hAnsi="Times New Roman" w:cs="Times New Roman"/>
                <w:b/>
                <w:sz w:val="20"/>
                <w:szCs w:val="20"/>
                <w:u w:val="single"/>
                <w:lang w:eastAsia="en-US"/>
              </w:rPr>
              <w:t>II. k důvodové zprávě</w:t>
            </w:r>
          </w:p>
          <w:p w14:paraId="13D21CBA" w14:textId="77777777" w:rsidR="00A33161" w:rsidRPr="0035187E" w:rsidRDefault="00A33161" w:rsidP="0035187E">
            <w:pPr>
              <w:ind w:firstLine="851"/>
              <w:contextualSpacing/>
              <w:jc w:val="both"/>
              <w:rPr>
                <w:rFonts w:ascii="Times New Roman" w:eastAsia="Calibri" w:hAnsi="Times New Roman" w:cs="Times New Roman"/>
                <w:sz w:val="20"/>
                <w:szCs w:val="20"/>
                <w:u w:val="single"/>
                <w:lang w:eastAsia="en-US"/>
              </w:rPr>
            </w:pPr>
          </w:p>
          <w:p w14:paraId="7EA4B5FA" w14:textId="77777777" w:rsidR="00A33161" w:rsidRPr="0035187E" w:rsidRDefault="00A33161" w:rsidP="0035187E">
            <w:pPr>
              <w:contextualSpacing/>
              <w:jc w:val="both"/>
              <w:rPr>
                <w:rFonts w:ascii="Times New Roman" w:hAnsi="Times New Roman" w:cs="Times New Roman"/>
                <w:sz w:val="20"/>
                <w:szCs w:val="20"/>
              </w:rPr>
            </w:pPr>
            <w:r w:rsidRPr="0035187E">
              <w:rPr>
                <w:rFonts w:ascii="Times New Roman" w:hAnsi="Times New Roman" w:cs="Times New Roman"/>
                <w:sz w:val="20"/>
                <w:szCs w:val="20"/>
              </w:rPr>
              <w:t>Na straně 59 důvodové zprávy je nutno opravit terminologii, aby byla v souladu s terminologií platného autorského zákona a nahradit pojem „příbuzných právu autorskému“ slovy „</w:t>
            </w:r>
            <w:r w:rsidRPr="0035187E">
              <w:rPr>
                <w:rFonts w:ascii="Times New Roman" w:eastAsia="Calibri" w:hAnsi="Times New Roman" w:cs="Times New Roman"/>
                <w:sz w:val="20"/>
                <w:szCs w:val="20"/>
                <w:lang w:eastAsia="en-US"/>
              </w:rPr>
              <w:t xml:space="preserve">souvisejících s právem autorským“. Příslušná věta by pak zněla: </w:t>
            </w:r>
          </w:p>
          <w:p w14:paraId="1893E7DF" w14:textId="47181E1F" w:rsidR="00A33161" w:rsidRPr="0035187E" w:rsidRDefault="00A33161" w:rsidP="0035187E">
            <w:pPr>
              <w:contextualSpacing/>
              <w:jc w:val="both"/>
              <w:rPr>
                <w:rFonts w:ascii="Times New Roman" w:hAnsi="Times New Roman" w:cs="Times New Roman"/>
                <w:iCs/>
                <w:sz w:val="20"/>
                <w:szCs w:val="20"/>
              </w:rPr>
            </w:pPr>
            <w:r w:rsidRPr="0035187E">
              <w:rPr>
                <w:rFonts w:ascii="Times New Roman" w:hAnsi="Times New Roman" w:cs="Times New Roman"/>
                <w:sz w:val="20"/>
                <w:szCs w:val="20"/>
              </w:rPr>
              <w:t xml:space="preserve">„Evidovány tak u poplatníků daně z příjmů fyzických osob nebudou příjmy z užití nebo poskytnutí práv z průmyslového vlastnictví, autorských práv včetně práv </w:t>
            </w:r>
            <w:r w:rsidRPr="0035187E">
              <w:rPr>
                <w:rFonts w:ascii="Times New Roman" w:eastAsia="Calibri" w:hAnsi="Times New Roman" w:cs="Times New Roman"/>
                <w:b/>
                <w:sz w:val="20"/>
                <w:szCs w:val="20"/>
                <w:lang w:eastAsia="en-US"/>
              </w:rPr>
              <w:t xml:space="preserve">souvisejících s právem autorským </w:t>
            </w:r>
            <w:r w:rsidRPr="0035187E">
              <w:rPr>
                <w:rFonts w:ascii="Times New Roman" w:eastAsia="Calibri" w:hAnsi="Times New Roman" w:cs="Times New Roman"/>
                <w:strike/>
                <w:sz w:val="20"/>
                <w:szCs w:val="20"/>
                <w:lang w:eastAsia="en-US"/>
              </w:rPr>
              <w:t>příbuzných právu autorskému</w:t>
            </w:r>
            <w:r w:rsidRPr="0035187E">
              <w:rPr>
                <w:rFonts w:ascii="Times New Roman" w:hAnsi="Times New Roman" w:cs="Times New Roman"/>
                <w:b/>
                <w:sz w:val="20"/>
                <w:szCs w:val="20"/>
              </w:rPr>
              <w:t>,</w:t>
            </w:r>
            <w:r w:rsidRPr="0035187E">
              <w:rPr>
                <w:rFonts w:ascii="Times New Roman" w:hAnsi="Times New Roman" w:cs="Times New Roman"/>
                <w:sz w:val="20"/>
                <w:szCs w:val="20"/>
              </w:rPr>
              <w:t xml:space="preserve"> a to včetně příjmů z vydávání, rozmnožování a rozšiřování literárních a jiných děl vlastním nákladem ve smyslu § 7 odst. 2 písm. a) zákona o daních z příjmů, v situaci, kdy tyto příjmy nebyly získány výkonem podnikání.“</w:t>
            </w:r>
          </w:p>
        </w:tc>
        <w:tc>
          <w:tcPr>
            <w:tcW w:w="1453" w:type="pct"/>
            <w:tcBorders>
              <w:top w:val="single" w:sz="4" w:space="0" w:color="auto"/>
              <w:left w:val="single" w:sz="4" w:space="0" w:color="auto"/>
              <w:right w:val="single" w:sz="4" w:space="0" w:color="auto"/>
            </w:tcBorders>
            <w:shd w:val="clear" w:color="auto" w:fill="auto"/>
          </w:tcPr>
          <w:p w14:paraId="0D236943" w14:textId="77777777" w:rsidR="00A33161" w:rsidRPr="0035187E" w:rsidRDefault="00B00678"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Vyhověno.</w:t>
            </w:r>
          </w:p>
          <w:p w14:paraId="7D331147" w14:textId="2EC5435C" w:rsidR="00B00678" w:rsidRPr="0035187E" w:rsidRDefault="00B00678"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tc>
      </w:tr>
      <w:tr w:rsidR="0035187E" w:rsidRPr="0035187E" w14:paraId="180DF72A"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DC808DF" w14:textId="3043E1DE" w:rsidR="00D7096D" w:rsidRPr="0035187E" w:rsidRDefault="00D7096D" w:rsidP="0035187E">
            <w:pPr>
              <w:jc w:val="center"/>
              <w:rPr>
                <w:rFonts w:ascii="Times New Roman" w:hAnsi="Times New Roman" w:cs="Times New Roman"/>
                <w:sz w:val="20"/>
                <w:szCs w:val="20"/>
              </w:rPr>
            </w:pPr>
            <w:r w:rsidRPr="0035187E">
              <w:rPr>
                <w:rFonts w:ascii="Times New Roman" w:hAnsi="Times New Roman" w:cs="Times New Roman"/>
                <w:sz w:val="20"/>
                <w:szCs w:val="20"/>
              </w:rPr>
              <w:t>4.</w:t>
            </w:r>
          </w:p>
        </w:tc>
        <w:tc>
          <w:tcPr>
            <w:tcW w:w="583" w:type="pct"/>
            <w:tcBorders>
              <w:top w:val="single" w:sz="4" w:space="0" w:color="auto"/>
              <w:left w:val="single" w:sz="4" w:space="0" w:color="auto"/>
              <w:right w:val="single" w:sz="4" w:space="0" w:color="auto"/>
            </w:tcBorders>
            <w:shd w:val="clear" w:color="auto" w:fill="auto"/>
          </w:tcPr>
          <w:p w14:paraId="1E09048B" w14:textId="3FC46250" w:rsidR="00D7096D" w:rsidRPr="0035187E" w:rsidRDefault="00D7096D"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práce a sociálních věcí</w:t>
            </w:r>
          </w:p>
        </w:tc>
        <w:tc>
          <w:tcPr>
            <w:tcW w:w="168" w:type="pct"/>
            <w:tcBorders>
              <w:top w:val="single" w:sz="4" w:space="0" w:color="auto"/>
              <w:left w:val="single" w:sz="4" w:space="0" w:color="auto"/>
              <w:right w:val="single" w:sz="4" w:space="0" w:color="auto"/>
            </w:tcBorders>
            <w:shd w:val="clear" w:color="auto" w:fill="auto"/>
          </w:tcPr>
          <w:p w14:paraId="5AFFFE71" w14:textId="786DEB80" w:rsidR="00D7096D" w:rsidRPr="0035187E" w:rsidRDefault="009614E4"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29D12CDD" w14:textId="2BF07FD8" w:rsidR="00D7096D" w:rsidRPr="0035187E" w:rsidRDefault="009614E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81D6F0D" w14:textId="77777777" w:rsidR="00802428" w:rsidRPr="0035187E" w:rsidRDefault="00802428" w:rsidP="0035187E">
            <w:pPr>
              <w:jc w:val="both"/>
              <w:rPr>
                <w:rFonts w:ascii="Times New Roman" w:eastAsia="Calibri" w:hAnsi="Times New Roman" w:cs="Times New Roman"/>
                <w:sz w:val="20"/>
                <w:szCs w:val="20"/>
                <w:u w:val="single"/>
              </w:rPr>
            </w:pPr>
            <w:r w:rsidRPr="0035187E">
              <w:rPr>
                <w:rFonts w:ascii="Times New Roman" w:eastAsia="Calibri" w:hAnsi="Times New Roman" w:cs="Times New Roman"/>
                <w:sz w:val="20"/>
                <w:szCs w:val="20"/>
                <w:u w:val="single"/>
              </w:rPr>
              <w:t>Na rámec předkládaného návrhu:</w:t>
            </w:r>
          </w:p>
          <w:p w14:paraId="4C3A45B3" w14:textId="77777777" w:rsidR="00802428" w:rsidRPr="0035187E" w:rsidRDefault="00802428"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K části druhé (§ 18a zákona o daních z příjmu)</w:t>
            </w:r>
          </w:p>
          <w:p w14:paraId="7290C728" w14:textId="77777777" w:rsidR="00802428" w:rsidRPr="0035187E" w:rsidRDefault="00802428" w:rsidP="0035187E">
            <w:pPr>
              <w:jc w:val="both"/>
              <w:rPr>
                <w:rFonts w:ascii="Times New Roman" w:hAnsi="Times New Roman" w:cs="Times New Roman"/>
                <w:sz w:val="20"/>
                <w:szCs w:val="20"/>
                <w:u w:val="single"/>
              </w:rPr>
            </w:pPr>
          </w:p>
          <w:p w14:paraId="37352F49" w14:textId="77777777" w:rsidR="00802428" w:rsidRPr="0035187E" w:rsidRDefault="00802428" w:rsidP="0035187E">
            <w:pPr>
              <w:pStyle w:val="Odstavecseseznamem"/>
              <w:numPr>
                <w:ilvl w:val="0"/>
                <w:numId w:val="32"/>
              </w:numPr>
              <w:suppressAutoHyphens/>
              <w:ind w:left="-39" w:firstLine="0"/>
              <w:jc w:val="both"/>
              <w:rPr>
                <w:rFonts w:ascii="Times New Roman" w:hAnsi="Times New Roman"/>
                <w:sz w:val="20"/>
                <w:szCs w:val="20"/>
                <w:lang w:eastAsia="ar-SA"/>
              </w:rPr>
            </w:pPr>
            <w:r w:rsidRPr="0035187E">
              <w:rPr>
                <w:rFonts w:ascii="Times New Roman" w:hAnsi="Times New Roman"/>
                <w:sz w:val="20"/>
                <w:szCs w:val="20"/>
                <w:lang w:eastAsia="ar-SA"/>
              </w:rPr>
              <w:t>Požadujeme doplnění odstavce 6 následujícího znění: „U poplatníka daně z příjmů právnických osob, který je veřejně prospěšným poplatníkem podle odstavce 5 pouze po část zdaňovacího období, se odstavec 5 použije na příjmy za celé zdaňovací období.“.</w:t>
            </w:r>
          </w:p>
          <w:p w14:paraId="0E63D0C6" w14:textId="77777777" w:rsidR="00802428" w:rsidRPr="0035187E" w:rsidRDefault="00802428" w:rsidP="0035187E">
            <w:pPr>
              <w:suppressAutoHyphens/>
              <w:ind w:left="720"/>
              <w:contextualSpacing/>
              <w:jc w:val="both"/>
              <w:rPr>
                <w:rFonts w:ascii="Times New Roman" w:hAnsi="Times New Roman" w:cs="Times New Roman"/>
                <w:sz w:val="20"/>
                <w:szCs w:val="20"/>
                <w:lang w:eastAsia="ar-SA"/>
              </w:rPr>
            </w:pPr>
          </w:p>
          <w:p w14:paraId="264CF9D3" w14:textId="77777777" w:rsidR="00802428" w:rsidRPr="0035187E" w:rsidRDefault="00802428" w:rsidP="0035187E">
            <w:pPr>
              <w:ind w:hanging="39"/>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w:t>
            </w:r>
          </w:p>
          <w:p w14:paraId="7218C879" w14:textId="77777777" w:rsidR="00802428" w:rsidRPr="0035187E" w:rsidRDefault="00802428"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V současné době není v zákoně o daních z příjmů řešeno, jakým způsobem má postupovat veřejně prospěšný poplatník, který v průběhu zdaňovacího období přestane nebo začne splňovat podmínky pro veřejně prospěšného poplatníka s tzv. širokým základem daně, tedy základem daně určovaným podle § 18a odst. 4. Navrhuje se tedy nové ustanovení, které stanoví, že v případě, kdy je poplatník alespoň část zdaňovacího období poplatníkem se širokým základem daně, stanoví se základ daně, jako by byl tímto poplatníkem po celé zdaňovací období. Zajišťuje se tak jednotný postup poplatníků při stanovení základu daně; </w:t>
            </w:r>
            <w:r w:rsidRPr="0035187E">
              <w:rPr>
                <w:rFonts w:ascii="Times New Roman" w:hAnsi="Times New Roman" w:cs="Times New Roman"/>
                <w:sz w:val="20"/>
                <w:szCs w:val="20"/>
              </w:rPr>
              <w:lastRenderedPageBreak/>
              <w:t>aplikace tzv. širokého základu daně je při přechodu na nový režim administrativně jednodušší. Pro účely uplatnění srážkové daně podle § 36 odst. 5 písm. a) zákona o dani z příjmu to neplatí; skutečnost, zda se uplatní srážková daň, by se měla posoudit vždy v okamžiku vzniku příjmu podle charakteru poplatníka v dané chvíli.</w:t>
            </w:r>
          </w:p>
          <w:p w14:paraId="58B2DEC5" w14:textId="6DECAC6B" w:rsidR="00D7096D" w:rsidRPr="0035187E" w:rsidRDefault="00802428" w:rsidP="0035187E">
            <w:pPr>
              <w:jc w:val="both"/>
              <w:rPr>
                <w:rFonts w:ascii="Times New Roman" w:hAnsi="Times New Roman" w:cs="Times New Roman"/>
                <w:sz w:val="20"/>
                <w:szCs w:val="20"/>
              </w:rPr>
            </w:pPr>
            <w:r w:rsidRPr="0035187E">
              <w:rPr>
                <w:rFonts w:ascii="Times New Roman" w:hAnsi="Times New Roman" w:cs="Times New Roman"/>
                <w:sz w:val="20"/>
                <w:szCs w:val="20"/>
              </w:rPr>
              <w:t>Ke změně z úzkého základu daně na široký základ daně u veřejně prospěšného poplatníka v průběhu zdaňovacího období může dojít například v případě, kdy veřejně prospěšný poplatník v průběhu zdaňovacího období získá oprávnění k poskytování zdravotních služeb podle zákona o zdravotních službách.</w:t>
            </w:r>
          </w:p>
        </w:tc>
        <w:tc>
          <w:tcPr>
            <w:tcW w:w="1453" w:type="pct"/>
            <w:tcBorders>
              <w:top w:val="single" w:sz="4" w:space="0" w:color="auto"/>
              <w:left w:val="single" w:sz="4" w:space="0" w:color="auto"/>
              <w:right w:val="single" w:sz="4" w:space="0" w:color="auto"/>
            </w:tcBorders>
            <w:shd w:val="clear" w:color="auto" w:fill="auto"/>
          </w:tcPr>
          <w:p w14:paraId="7AF4EB60" w14:textId="77777777" w:rsidR="00641217" w:rsidRPr="0035187E" w:rsidRDefault="00641217"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Vyhověno jinak.</w:t>
            </w:r>
          </w:p>
          <w:p w14:paraId="61190627" w14:textId="20F6B33E" w:rsidR="00D7096D" w:rsidRPr="0035187E" w:rsidRDefault="00641217"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Bude navrženo nové pravidlo, které zajistí, že veřejně prospěšný poplatník, který v průběhu zdaňovacího období přestane nebo začne splňovat podmínky pro veřejně prospěšného poplatníka s tzv. širokým základem daně, tedy základem daně určovaným podle § 18a odst. 5, bude postupovat podle původního režimu na počátku zdaňovacího období po celé zdaňovací období, ve kterém ke změně došlo. Ke přechodu na nový systém dojde až v následujícím zdaňovacím období. To pro poplatníky zajistí jednoduší přechod, neboť nebudou muset zpětně cokoliv měnit. V případě, že by poplatník např. získal oprávnění poskytovat zdravotní služby ke konci roku, </w:t>
            </w:r>
            <w:r w:rsidRPr="0035187E">
              <w:rPr>
                <w:rFonts w:ascii="Times New Roman" w:hAnsi="Times New Roman" w:cs="Times New Roman"/>
                <w:sz w:val="20"/>
                <w:szCs w:val="20"/>
              </w:rPr>
              <w:lastRenderedPageBreak/>
              <w:t>mohlo by být pro něj problematické zpětně opravovat evidenci.</w:t>
            </w:r>
          </w:p>
        </w:tc>
      </w:tr>
      <w:tr w:rsidR="0035187E" w:rsidRPr="0035187E" w14:paraId="1B640B97"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13AC502" w14:textId="01D7F791" w:rsidR="009614E4" w:rsidRPr="0035187E" w:rsidRDefault="009614E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4.</w:t>
            </w:r>
          </w:p>
        </w:tc>
        <w:tc>
          <w:tcPr>
            <w:tcW w:w="583" w:type="pct"/>
            <w:tcBorders>
              <w:top w:val="single" w:sz="4" w:space="0" w:color="auto"/>
              <w:left w:val="single" w:sz="4" w:space="0" w:color="auto"/>
              <w:right w:val="single" w:sz="4" w:space="0" w:color="auto"/>
            </w:tcBorders>
            <w:shd w:val="clear" w:color="auto" w:fill="auto"/>
          </w:tcPr>
          <w:p w14:paraId="76A4D310" w14:textId="554139EF" w:rsidR="009614E4" w:rsidRPr="0035187E" w:rsidRDefault="009614E4"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práce a sociálních věcí</w:t>
            </w:r>
          </w:p>
        </w:tc>
        <w:tc>
          <w:tcPr>
            <w:tcW w:w="168" w:type="pct"/>
            <w:tcBorders>
              <w:top w:val="single" w:sz="4" w:space="0" w:color="auto"/>
              <w:left w:val="single" w:sz="4" w:space="0" w:color="auto"/>
              <w:right w:val="single" w:sz="4" w:space="0" w:color="auto"/>
            </w:tcBorders>
            <w:shd w:val="clear" w:color="auto" w:fill="auto"/>
          </w:tcPr>
          <w:p w14:paraId="2C41F809" w14:textId="7AC0ED2B" w:rsidR="009614E4" w:rsidRPr="0035187E" w:rsidRDefault="009614E4" w:rsidP="0035187E">
            <w:pPr>
              <w:jc w:val="center"/>
              <w:rPr>
                <w:rFonts w:ascii="Times New Roman" w:hAnsi="Times New Roman" w:cs="Times New Roman"/>
                <w:sz w:val="20"/>
                <w:szCs w:val="20"/>
              </w:rPr>
            </w:pPr>
            <w:r w:rsidRPr="0035187E">
              <w:rPr>
                <w:rFonts w:ascii="Times New Roman" w:hAnsi="Times New Roman" w:cs="Times New Roman"/>
                <w:sz w:val="20"/>
                <w:szCs w:val="20"/>
              </w:rPr>
              <w:t>2.</w:t>
            </w:r>
          </w:p>
        </w:tc>
        <w:tc>
          <w:tcPr>
            <w:tcW w:w="169" w:type="pct"/>
            <w:tcBorders>
              <w:top w:val="single" w:sz="4" w:space="0" w:color="auto"/>
              <w:left w:val="single" w:sz="4" w:space="0" w:color="auto"/>
              <w:right w:val="single" w:sz="4" w:space="0" w:color="auto"/>
            </w:tcBorders>
            <w:shd w:val="clear" w:color="auto" w:fill="auto"/>
          </w:tcPr>
          <w:p w14:paraId="79D54868" w14:textId="56577E62" w:rsidR="009614E4" w:rsidRPr="0035187E" w:rsidRDefault="009614E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8BE36FA" w14:textId="77777777" w:rsidR="009614E4" w:rsidRPr="0035187E" w:rsidRDefault="009614E4" w:rsidP="0035187E">
            <w:pPr>
              <w:pStyle w:val="Odstavecseseznamem"/>
              <w:numPr>
                <w:ilvl w:val="0"/>
                <w:numId w:val="32"/>
              </w:numPr>
              <w:suppressAutoHyphens/>
              <w:ind w:left="-39" w:firstLine="0"/>
              <w:jc w:val="both"/>
              <w:rPr>
                <w:rFonts w:ascii="Times New Roman" w:hAnsi="Times New Roman"/>
                <w:sz w:val="20"/>
                <w:szCs w:val="20"/>
                <w:u w:val="single"/>
                <w:lang w:eastAsia="ar-SA"/>
              </w:rPr>
            </w:pPr>
            <w:r w:rsidRPr="0035187E">
              <w:rPr>
                <w:rFonts w:ascii="Times New Roman" w:hAnsi="Times New Roman"/>
                <w:sz w:val="20"/>
                <w:szCs w:val="20"/>
                <w:lang w:eastAsia="ar-SA"/>
              </w:rPr>
              <w:t>Požadujeme</w:t>
            </w:r>
            <w:r w:rsidRPr="0035187E">
              <w:rPr>
                <w:rFonts w:ascii="Times New Roman" w:hAnsi="Times New Roman"/>
                <w:sz w:val="20"/>
                <w:szCs w:val="20"/>
                <w:u w:val="single"/>
                <w:lang w:eastAsia="ar-SA"/>
              </w:rPr>
              <w:t xml:space="preserve"> doplnit do odstavce 5 na konec písmena c) text následujícího znění:</w:t>
            </w:r>
            <w:r w:rsidRPr="0035187E">
              <w:rPr>
                <w:rFonts w:ascii="Times New Roman" w:hAnsi="Times New Roman"/>
                <w:sz w:val="20"/>
                <w:szCs w:val="20"/>
                <w:lang w:eastAsia="ar-SA"/>
              </w:rPr>
              <w:t xml:space="preserve"> „s výjimkou poskytovatele zdravotních služeb s převažující činností poskytování sociálních služeb podle zákona upravujícího poskytování sociálních služeb, “.</w:t>
            </w:r>
          </w:p>
          <w:p w14:paraId="34500211" w14:textId="77777777" w:rsidR="009614E4" w:rsidRPr="0035187E" w:rsidRDefault="009614E4" w:rsidP="0035187E">
            <w:pPr>
              <w:jc w:val="both"/>
              <w:rPr>
                <w:rFonts w:ascii="Times New Roman" w:hAnsi="Times New Roman" w:cs="Times New Roman"/>
                <w:sz w:val="20"/>
                <w:szCs w:val="20"/>
              </w:rPr>
            </w:pPr>
          </w:p>
          <w:p w14:paraId="7C6C19B8" w14:textId="77777777" w:rsidR="009614E4" w:rsidRPr="0035187E" w:rsidRDefault="009614E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w:t>
            </w:r>
          </w:p>
          <w:p w14:paraId="5A2395FD" w14:textId="77777777" w:rsidR="009614E4" w:rsidRPr="0035187E" w:rsidRDefault="009614E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Podle zákona č. 38/2025 Sb., novelizujícího mimo jiné zákon o sociálních službách a zákon o zdravotních službách a zakotvujícího institut sociálně-zdravotních služeb, musí poskytovatel taxativně vymezených druhů sociálních služeb, jejichž součástí je rovněž poskytování zdravotních služeb, získat nejpozději k 1. 1. 2027 oprávnění k poskytování zdravotních služeb. Vzhledem k tomu, že do účinnosti této změny není poskytovatel sociálních služeb poplatníkem s oprávněním k poskytování zdravotních služeb, nejedná se bez dalšího o poskytovatele zdravotních služeb. V důsledku této změny a zavedení povinného oprávnění ztratí poskytovatelé sociálních služeb jako nositelé oprávnění k poskytování zdravotních služeb daňová zvýhodnění veřejně prospěšných poplatníků, ačkoliv zdravotní složka péče tvoří pouze marginální část všech činností, přičemž navíc z povahy sociálních služeb příjmy těchto poskytovatelů nedostačují na pokrytí nákladů na poskytování sociálních služeb. </w:t>
            </w:r>
          </w:p>
          <w:p w14:paraId="0647C781" w14:textId="4315EC06" w:rsidR="009614E4" w:rsidRPr="0035187E" w:rsidRDefault="009614E4" w:rsidP="0035187E">
            <w:pPr>
              <w:jc w:val="both"/>
              <w:rPr>
                <w:rFonts w:ascii="Times New Roman" w:hAnsi="Times New Roman" w:cs="Times New Roman"/>
                <w:sz w:val="20"/>
                <w:szCs w:val="20"/>
              </w:rPr>
            </w:pPr>
            <w:r w:rsidRPr="0035187E">
              <w:rPr>
                <w:rFonts w:ascii="Times New Roman" w:hAnsi="Times New Roman" w:cs="Times New Roman"/>
                <w:sz w:val="20"/>
                <w:szCs w:val="20"/>
              </w:rPr>
              <w:t>Důsledkem výše uvedeného zákona by ale nemělo být zhoršení daňových podmínek pro poskytovatele sociálních služeb. Tato změna by se dotkla pouze některých druhů sociálních služeb a poskytovatelé sociálních služeb by měli rozdílné postavení z hlediska zákona o daních z příjmů. V případě například domovů pro seniory není jejich cílem vstupovat na trh s nabídkou zdravotních služeb, ale pouze v rámci sociálních služeb zabezpečit zdravotní potřeby svých klientů. Je pravděpodobné, že se jedná o opomenutí zákonodárce ve vztahu k vymezené skupině poskytovatelů sociálních služeb; navrhovaná změna má proto za cíl toto opomenutí napravit. Vzhledem k tomu, že změna zachovává stávající stav ve vztahu k poskytovatelům sociálních služeb, návrh je rozpočtově neutrální. Nedojde jím však k budoucímu zhoršení postavení poskytovatelů sociálních služeb.</w:t>
            </w:r>
          </w:p>
        </w:tc>
        <w:tc>
          <w:tcPr>
            <w:tcW w:w="1453" w:type="pct"/>
            <w:tcBorders>
              <w:top w:val="single" w:sz="4" w:space="0" w:color="auto"/>
              <w:left w:val="single" w:sz="4" w:space="0" w:color="auto"/>
              <w:right w:val="single" w:sz="4" w:space="0" w:color="auto"/>
            </w:tcBorders>
            <w:shd w:val="clear" w:color="auto" w:fill="auto"/>
          </w:tcPr>
          <w:p w14:paraId="105D796E" w14:textId="77777777" w:rsidR="00641217" w:rsidRPr="0035187E" w:rsidRDefault="00641217"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Nevyhověno.</w:t>
            </w:r>
          </w:p>
          <w:p w14:paraId="6D0834EB" w14:textId="77777777" w:rsidR="00641217" w:rsidRPr="0035187E" w:rsidRDefault="00641217" w:rsidP="0035187E">
            <w:pPr>
              <w:jc w:val="both"/>
              <w:rPr>
                <w:rFonts w:ascii="Times New Roman" w:hAnsi="Times New Roman" w:cs="Times New Roman"/>
                <w:sz w:val="20"/>
                <w:szCs w:val="20"/>
              </w:rPr>
            </w:pPr>
            <w:r w:rsidRPr="0035187E">
              <w:rPr>
                <w:rFonts w:ascii="Times New Roman" w:hAnsi="Times New Roman" w:cs="Times New Roman"/>
                <w:sz w:val="20"/>
                <w:szCs w:val="20"/>
              </w:rPr>
              <w:t>Podle informací MF poplatníci poskytující sociální služby, kteří budou mít zároveň i nově oprávnění k poskytování zdravotních služeb, s přechodem na nový systém „širokého základu daně“ počítají a připravují se na něj, nelze tedy bez širší diskuse tento režim zase omezit. Zároveň by mohlo dojít k situaci, kdy někteří z těchto poplatníků už na široký základ přešli a opět by se museli vracet zpět, což by bylo administrativně náročné. Jednoznačně nelze určit, který systém stanovení základu daně je pro poplatníky výhodnější. Při „úzkém základu daně“ některé příjmy nejsou předmětem daně, poplatníci však musí provádět administrativně náročné klíčování a určité typy příjmů zdanit vždy. V širokém základu daně jsou předmětem daně všechny příjmy (s výjimkou investičních dotací), zároveň však oproti těmto příjmům lze započítat veškeré daňově uznatelné náklady, což může vyústit v nulový základ daně. Nelze tedy souhlasit, že dojde ke zhoršenému postavení poskytovatelů sociálních služeb.</w:t>
            </w:r>
          </w:p>
          <w:p w14:paraId="6EE311E8" w14:textId="77777777" w:rsidR="00641217" w:rsidRPr="0035187E" w:rsidRDefault="00641217" w:rsidP="0035187E">
            <w:pPr>
              <w:jc w:val="both"/>
              <w:rPr>
                <w:rFonts w:ascii="Times New Roman" w:hAnsi="Times New Roman" w:cs="Times New Roman"/>
                <w:sz w:val="20"/>
                <w:szCs w:val="20"/>
              </w:rPr>
            </w:pPr>
            <w:r w:rsidRPr="0035187E">
              <w:rPr>
                <w:rFonts w:ascii="Times New Roman" w:hAnsi="Times New Roman" w:cs="Times New Roman"/>
                <w:sz w:val="20"/>
                <w:szCs w:val="20"/>
              </w:rPr>
              <w:t>Přechod na nový systém bude vyřešen novou úpravou, která zajistí, že se systém nebude měnit v průběhu zdaňovacího období.</w:t>
            </w:r>
          </w:p>
          <w:p w14:paraId="0ABD4DF3" w14:textId="75A9DBAD" w:rsidR="009614E4" w:rsidRPr="0035187E" w:rsidRDefault="009614E4" w:rsidP="0035187E">
            <w:pPr>
              <w:jc w:val="both"/>
              <w:rPr>
                <w:rFonts w:ascii="Times New Roman" w:hAnsi="Times New Roman" w:cs="Times New Roman"/>
                <w:sz w:val="20"/>
                <w:szCs w:val="20"/>
              </w:rPr>
            </w:pPr>
          </w:p>
        </w:tc>
      </w:tr>
      <w:tr w:rsidR="0035187E" w:rsidRPr="0035187E" w14:paraId="5807B347"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C6D1363" w14:textId="35163813" w:rsidR="00D7096D" w:rsidRPr="0035187E" w:rsidRDefault="00D7096D" w:rsidP="0035187E">
            <w:pPr>
              <w:jc w:val="center"/>
              <w:rPr>
                <w:rFonts w:ascii="Times New Roman" w:hAnsi="Times New Roman" w:cs="Times New Roman"/>
                <w:sz w:val="20"/>
                <w:szCs w:val="20"/>
              </w:rPr>
            </w:pPr>
            <w:r w:rsidRPr="0035187E">
              <w:rPr>
                <w:rFonts w:ascii="Times New Roman" w:hAnsi="Times New Roman" w:cs="Times New Roman"/>
                <w:sz w:val="20"/>
                <w:szCs w:val="20"/>
              </w:rPr>
              <w:t>5.</w:t>
            </w:r>
          </w:p>
        </w:tc>
        <w:tc>
          <w:tcPr>
            <w:tcW w:w="583" w:type="pct"/>
            <w:tcBorders>
              <w:top w:val="single" w:sz="4" w:space="0" w:color="auto"/>
              <w:left w:val="single" w:sz="4" w:space="0" w:color="auto"/>
              <w:right w:val="single" w:sz="4" w:space="0" w:color="auto"/>
            </w:tcBorders>
            <w:shd w:val="clear" w:color="auto" w:fill="auto"/>
          </w:tcPr>
          <w:p w14:paraId="6F8D84E5" w14:textId="414EB2B1" w:rsidR="00D7096D" w:rsidRPr="0035187E" w:rsidRDefault="00D7096D"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pro místní rozvoj</w:t>
            </w:r>
          </w:p>
        </w:tc>
        <w:tc>
          <w:tcPr>
            <w:tcW w:w="168" w:type="pct"/>
            <w:tcBorders>
              <w:top w:val="single" w:sz="4" w:space="0" w:color="auto"/>
              <w:left w:val="single" w:sz="4" w:space="0" w:color="auto"/>
              <w:right w:val="single" w:sz="4" w:space="0" w:color="auto"/>
            </w:tcBorders>
            <w:shd w:val="clear" w:color="auto" w:fill="auto"/>
          </w:tcPr>
          <w:p w14:paraId="23302D6B" w14:textId="47C4111F" w:rsidR="00D7096D" w:rsidRPr="0035187E" w:rsidRDefault="00576387"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0A4B2ED3" w14:textId="47D1A475" w:rsidR="00D7096D" w:rsidRPr="0035187E" w:rsidRDefault="00576387"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1501D0A" w14:textId="060CD0EF" w:rsidR="00D7096D" w:rsidRPr="0035187E" w:rsidRDefault="00576387" w:rsidP="0035187E">
            <w:pPr>
              <w:jc w:val="both"/>
              <w:rPr>
                <w:rFonts w:ascii="Times New Roman" w:hAnsi="Times New Roman" w:cs="Times New Roman"/>
                <w:sz w:val="20"/>
                <w:szCs w:val="20"/>
              </w:rPr>
            </w:pPr>
            <w:r w:rsidRPr="0035187E">
              <w:rPr>
                <w:rFonts w:ascii="Times New Roman" w:eastAsia="Arial" w:hAnsi="Times New Roman" w:cs="Times New Roman"/>
                <w:kern w:val="2"/>
                <w:sz w:val="20"/>
                <w:szCs w:val="20"/>
                <w:lang w:eastAsia="en-US"/>
                <w14:ligatures w14:val="standardContextual"/>
              </w:rPr>
              <w:t>Na základě Vašeho dopisu pod č. j. MF-7800/2026/32-4, ve věci meziresortního připomínkového řízení k návrhu zákona o evidenci tržeb a o změně některých dalších zákonů, sděluji, že Ministerstvo pro místní rozvoj doporučuje v části druhé v novelizačním bodě č. 17 za číslo „6“ vložit slovo „se“.</w:t>
            </w:r>
          </w:p>
        </w:tc>
        <w:tc>
          <w:tcPr>
            <w:tcW w:w="1453" w:type="pct"/>
            <w:tcBorders>
              <w:top w:val="single" w:sz="4" w:space="0" w:color="auto"/>
              <w:left w:val="single" w:sz="4" w:space="0" w:color="auto"/>
              <w:right w:val="single" w:sz="4" w:space="0" w:color="auto"/>
            </w:tcBorders>
            <w:shd w:val="clear" w:color="auto" w:fill="auto"/>
          </w:tcPr>
          <w:p w14:paraId="1586D047" w14:textId="77777777" w:rsidR="008F3923" w:rsidRPr="0035187E" w:rsidRDefault="008F3923"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Vyhověno.</w:t>
            </w:r>
          </w:p>
          <w:p w14:paraId="7976A793" w14:textId="6FF0ED56" w:rsidR="00D7096D" w:rsidRPr="0035187E" w:rsidRDefault="008F3923"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tc>
      </w:tr>
      <w:tr w:rsidR="0035187E" w:rsidRPr="0035187E" w14:paraId="1C42D9CC"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0E099BA" w14:textId="201BE354" w:rsidR="00D7096D" w:rsidRPr="0035187E" w:rsidRDefault="00D7096D" w:rsidP="0035187E">
            <w:pPr>
              <w:jc w:val="center"/>
              <w:rPr>
                <w:rFonts w:ascii="Times New Roman" w:hAnsi="Times New Roman" w:cs="Times New Roman"/>
                <w:sz w:val="20"/>
                <w:szCs w:val="20"/>
              </w:rPr>
            </w:pPr>
            <w:r w:rsidRPr="0035187E">
              <w:rPr>
                <w:rFonts w:ascii="Times New Roman" w:hAnsi="Times New Roman" w:cs="Times New Roman"/>
                <w:sz w:val="20"/>
                <w:szCs w:val="20"/>
              </w:rPr>
              <w:t>6.</w:t>
            </w:r>
          </w:p>
        </w:tc>
        <w:tc>
          <w:tcPr>
            <w:tcW w:w="583" w:type="pct"/>
            <w:tcBorders>
              <w:top w:val="single" w:sz="4" w:space="0" w:color="auto"/>
              <w:left w:val="single" w:sz="4" w:space="0" w:color="auto"/>
              <w:right w:val="single" w:sz="4" w:space="0" w:color="auto"/>
            </w:tcBorders>
            <w:shd w:val="clear" w:color="auto" w:fill="auto"/>
          </w:tcPr>
          <w:p w14:paraId="53764ABD" w14:textId="21D8AA35" w:rsidR="00D7096D" w:rsidRPr="0035187E" w:rsidRDefault="00D7096D"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průmyslu a obchodu</w:t>
            </w:r>
          </w:p>
        </w:tc>
        <w:tc>
          <w:tcPr>
            <w:tcW w:w="168" w:type="pct"/>
            <w:tcBorders>
              <w:top w:val="single" w:sz="4" w:space="0" w:color="auto"/>
              <w:left w:val="single" w:sz="4" w:space="0" w:color="auto"/>
              <w:right w:val="single" w:sz="4" w:space="0" w:color="auto"/>
            </w:tcBorders>
            <w:shd w:val="clear" w:color="auto" w:fill="auto"/>
          </w:tcPr>
          <w:p w14:paraId="7C1E0A26" w14:textId="2C981FBA" w:rsidR="00D7096D" w:rsidRPr="0035187E" w:rsidRDefault="00B972E4"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27785DAD" w14:textId="6305F118" w:rsidR="00D7096D" w:rsidRPr="0035187E" w:rsidRDefault="00B972E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DEE7703" w14:textId="5BF149C8" w:rsidR="00B972E4" w:rsidRPr="0035187E" w:rsidRDefault="00B972E4" w:rsidP="0035187E">
            <w:pPr>
              <w:widowControl w:val="0"/>
              <w:ind w:hanging="2"/>
              <w:jc w:val="both"/>
              <w:rPr>
                <w:rFonts w:ascii="Times New Roman" w:eastAsia="Arial" w:hAnsi="Times New Roman" w:cs="Times New Roman"/>
                <w:b/>
                <w:sz w:val="20"/>
                <w:szCs w:val="20"/>
              </w:rPr>
            </w:pPr>
            <w:r w:rsidRPr="0035187E">
              <w:rPr>
                <w:rFonts w:ascii="Times New Roman" w:eastAsia="Arial" w:hAnsi="Times New Roman" w:cs="Times New Roman"/>
                <w:b/>
                <w:sz w:val="20"/>
                <w:szCs w:val="20"/>
              </w:rPr>
              <w:t>Úvod</w:t>
            </w:r>
          </w:p>
          <w:p w14:paraId="52A85F10" w14:textId="77777777" w:rsidR="00B972E4" w:rsidRPr="0035187E" w:rsidRDefault="00B972E4" w:rsidP="0035187E">
            <w:pPr>
              <w:widowControl w:val="0"/>
              <w:ind w:hanging="2"/>
              <w:jc w:val="both"/>
              <w:rPr>
                <w:rFonts w:ascii="Times New Roman" w:eastAsia="Arial" w:hAnsi="Times New Roman" w:cs="Times New Roman"/>
                <w:b/>
                <w:sz w:val="20"/>
                <w:szCs w:val="20"/>
              </w:rPr>
            </w:pPr>
          </w:p>
          <w:p w14:paraId="3058744D" w14:textId="2053C7C0" w:rsidR="00B972E4" w:rsidRPr="0035187E" w:rsidRDefault="00B972E4" w:rsidP="0035187E">
            <w:pPr>
              <w:pStyle w:val="text"/>
              <w:spacing w:before="0"/>
              <w:ind w:firstLine="0"/>
              <w:rPr>
                <w:sz w:val="20"/>
                <w:szCs w:val="20"/>
              </w:rPr>
            </w:pPr>
            <w:r w:rsidRPr="0035187E">
              <w:rPr>
                <w:bCs/>
                <w:sz w:val="20"/>
                <w:szCs w:val="20"/>
              </w:rPr>
              <w:t xml:space="preserve">V souladu s </w:t>
            </w:r>
            <w:r w:rsidRPr="0035187E">
              <w:rPr>
                <w:sz w:val="20"/>
                <w:szCs w:val="20"/>
              </w:rPr>
              <w:t xml:space="preserve">Programovým prohlášením vlády ČR a s návrhem </w:t>
            </w:r>
            <w:r w:rsidRPr="0035187E">
              <w:rPr>
                <w:bCs/>
                <w:sz w:val="20"/>
                <w:szCs w:val="20"/>
              </w:rPr>
              <w:t>Plánu legislativních prací vlády na rok 2026 předkládá Ministerstvo financí</w:t>
            </w:r>
            <w:r w:rsidRPr="0035187E">
              <w:rPr>
                <w:b/>
                <w:sz w:val="20"/>
                <w:szCs w:val="20"/>
              </w:rPr>
              <w:t xml:space="preserve"> „návrh zákona o evidenci tržeb a o </w:t>
            </w:r>
            <w:r w:rsidRPr="0035187E">
              <w:rPr>
                <w:b/>
                <w:sz w:val="20"/>
                <w:szCs w:val="20"/>
              </w:rPr>
              <w:lastRenderedPageBreak/>
              <w:t>změně některých dalších zákonů“</w:t>
            </w:r>
            <w:r w:rsidRPr="0035187E">
              <w:rPr>
                <w:bCs/>
                <w:sz w:val="20"/>
                <w:szCs w:val="20"/>
              </w:rPr>
              <w:t xml:space="preserve"> (dále také návrh zákona). </w:t>
            </w:r>
            <w:r w:rsidRPr="0035187E">
              <w:rPr>
                <w:sz w:val="20"/>
                <w:szCs w:val="20"/>
              </w:rPr>
              <w:t xml:space="preserve">Předmětem návrhu zákona je zejména zavedení evidence tržeb a realizace doprovodných změn v daňových zákonech.  </w:t>
            </w:r>
          </w:p>
          <w:p w14:paraId="4922C98C" w14:textId="77777777" w:rsidR="00B972E4" w:rsidRPr="0035187E" w:rsidRDefault="00B972E4" w:rsidP="0035187E">
            <w:pPr>
              <w:pStyle w:val="text"/>
              <w:spacing w:before="0"/>
              <w:ind w:firstLine="0"/>
              <w:rPr>
                <w:sz w:val="20"/>
                <w:szCs w:val="20"/>
              </w:rPr>
            </w:pPr>
          </w:p>
          <w:p w14:paraId="4C726904" w14:textId="569ACD8F" w:rsidR="00B972E4" w:rsidRPr="0035187E" w:rsidRDefault="00B972E4" w:rsidP="0035187E">
            <w:pPr>
              <w:pStyle w:val="text"/>
              <w:spacing w:before="0"/>
              <w:ind w:firstLine="0"/>
              <w:rPr>
                <w:bCs/>
                <w:sz w:val="20"/>
                <w:szCs w:val="20"/>
              </w:rPr>
            </w:pPr>
            <w:r w:rsidRPr="0035187E">
              <w:rPr>
                <w:bCs/>
                <w:sz w:val="20"/>
                <w:szCs w:val="20"/>
              </w:rPr>
              <w:t>Cílem předkládaného návrhu zákona o evidenci tržeb je především narovnat podnikatelské prostředí a eliminovat nežádoucí praxi některých podnikatelů, kteří díky absenci nástroje, který by zajišťoval kontinuální tok informací o tržbách, optimalizují své tržby, a tím získávají neoprávněnou konkurenční výhodu na trhu.</w:t>
            </w:r>
          </w:p>
          <w:p w14:paraId="0BCCCEA7" w14:textId="77777777" w:rsidR="00B972E4" w:rsidRPr="0035187E" w:rsidRDefault="00B972E4" w:rsidP="0035187E">
            <w:pPr>
              <w:pStyle w:val="text"/>
              <w:spacing w:before="0"/>
              <w:ind w:firstLine="0"/>
              <w:rPr>
                <w:sz w:val="20"/>
                <w:szCs w:val="20"/>
              </w:rPr>
            </w:pPr>
          </w:p>
          <w:p w14:paraId="1337A146" w14:textId="4B209F21" w:rsidR="00B972E4" w:rsidRPr="0035187E" w:rsidRDefault="00B972E4" w:rsidP="0035187E">
            <w:pPr>
              <w:pBdr>
                <w:top w:val="nil"/>
                <w:left w:val="nil"/>
                <w:bottom w:val="nil"/>
                <w:right w:val="nil"/>
                <w:between w:val="nil"/>
              </w:pBdr>
              <w:jc w:val="both"/>
              <w:rPr>
                <w:rFonts w:ascii="Times New Roman" w:hAnsi="Times New Roman" w:cs="Times New Roman"/>
                <w:b/>
                <w:bCs/>
                <w:sz w:val="20"/>
                <w:szCs w:val="20"/>
              </w:rPr>
            </w:pPr>
            <w:r w:rsidRPr="0035187E">
              <w:rPr>
                <w:rFonts w:ascii="Times New Roman" w:hAnsi="Times New Roman" w:cs="Times New Roman"/>
                <w:b/>
                <w:bCs/>
                <w:sz w:val="20"/>
                <w:szCs w:val="20"/>
              </w:rPr>
              <w:t>Doporučující připomínky:</w:t>
            </w:r>
          </w:p>
          <w:p w14:paraId="3D859340" w14:textId="77777777" w:rsidR="00B972E4" w:rsidRPr="0035187E" w:rsidRDefault="00B972E4" w:rsidP="0035187E">
            <w:pPr>
              <w:pBdr>
                <w:top w:val="nil"/>
                <w:left w:val="nil"/>
                <w:bottom w:val="nil"/>
                <w:right w:val="nil"/>
                <w:between w:val="nil"/>
              </w:pBdr>
              <w:jc w:val="both"/>
              <w:rPr>
                <w:rFonts w:ascii="Times New Roman" w:hAnsi="Times New Roman" w:cs="Times New Roman"/>
                <w:b/>
                <w:bCs/>
                <w:sz w:val="20"/>
                <w:szCs w:val="20"/>
              </w:rPr>
            </w:pPr>
          </w:p>
          <w:p w14:paraId="5832AE0E" w14:textId="77777777" w:rsidR="00B972E4" w:rsidRPr="0035187E" w:rsidRDefault="00B972E4" w:rsidP="0035187E">
            <w:pPr>
              <w:pBdr>
                <w:top w:val="nil"/>
                <w:left w:val="nil"/>
                <w:bottom w:val="nil"/>
                <w:right w:val="nil"/>
                <w:between w:val="nil"/>
              </w:pBdr>
              <w:jc w:val="both"/>
              <w:rPr>
                <w:rFonts w:ascii="Times New Roman" w:hAnsi="Times New Roman" w:cs="Times New Roman"/>
                <w:b/>
                <w:bCs/>
                <w:sz w:val="20"/>
                <w:szCs w:val="20"/>
                <w:u w:val="single"/>
              </w:rPr>
            </w:pPr>
            <w:r w:rsidRPr="0035187E">
              <w:rPr>
                <w:rFonts w:ascii="Times New Roman" w:hAnsi="Times New Roman" w:cs="Times New Roman"/>
                <w:b/>
                <w:bCs/>
                <w:sz w:val="20"/>
                <w:szCs w:val="20"/>
                <w:u w:val="single"/>
              </w:rPr>
              <w:t>K návrhu zákona o evidenci tržeb:</w:t>
            </w:r>
          </w:p>
          <w:p w14:paraId="4FAE71B7" w14:textId="29D86B7F" w:rsidR="00B972E4" w:rsidRPr="0035187E" w:rsidRDefault="00B972E4" w:rsidP="0035187E">
            <w:pPr>
              <w:widowControl w:val="0"/>
              <w:numPr>
                <w:ilvl w:val="0"/>
                <w:numId w:val="30"/>
              </w:numPr>
              <w:autoSpaceDE w:val="0"/>
              <w:autoSpaceDN w:val="0"/>
              <w:adjustRightInd w:val="0"/>
              <w:ind w:left="0" w:firstLine="0"/>
              <w:jc w:val="both"/>
              <w:rPr>
                <w:rFonts w:ascii="Times New Roman" w:hAnsi="Times New Roman" w:cs="Times New Roman"/>
                <w:sz w:val="20"/>
                <w:szCs w:val="20"/>
              </w:rPr>
            </w:pPr>
            <w:r w:rsidRPr="0035187E">
              <w:rPr>
                <w:rFonts w:ascii="Times New Roman" w:eastAsiaTheme="minorHAnsi" w:hAnsi="Times New Roman" w:cs="Times New Roman"/>
                <w:sz w:val="20"/>
                <w:szCs w:val="20"/>
                <w:lang w:eastAsia="en-US"/>
              </w:rPr>
              <w:t xml:space="preserve">V návrhu zákona, část první, v § 1 navrhujeme text „postupy s nimi související“ nahradit textem „činnosti s nimi související“, a to z toho důvodu, že se ve větě opakuje slovo „postupy“.  </w:t>
            </w:r>
          </w:p>
        </w:tc>
        <w:tc>
          <w:tcPr>
            <w:tcW w:w="1453" w:type="pct"/>
            <w:tcBorders>
              <w:top w:val="single" w:sz="4" w:space="0" w:color="auto"/>
              <w:left w:val="single" w:sz="4" w:space="0" w:color="auto"/>
              <w:right w:val="single" w:sz="4" w:space="0" w:color="auto"/>
            </w:tcBorders>
            <w:shd w:val="clear" w:color="auto" w:fill="auto"/>
          </w:tcPr>
          <w:p w14:paraId="5E7E0F3B" w14:textId="77777777" w:rsidR="00D7096D" w:rsidRPr="0035187E" w:rsidRDefault="00AC3245"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Vyhověno jinak.</w:t>
            </w:r>
          </w:p>
          <w:p w14:paraId="724D5856" w14:textId="5B0B1ECB" w:rsidR="00AC3245" w:rsidRPr="0035187E" w:rsidRDefault="00AC3245" w:rsidP="0035187E">
            <w:pPr>
              <w:jc w:val="both"/>
              <w:rPr>
                <w:rFonts w:ascii="Times New Roman" w:hAnsi="Times New Roman" w:cs="Times New Roman"/>
                <w:sz w:val="20"/>
                <w:szCs w:val="20"/>
              </w:rPr>
            </w:pPr>
            <w:r w:rsidRPr="0035187E">
              <w:rPr>
                <w:rFonts w:ascii="Times New Roman" w:hAnsi="Times New Roman" w:cs="Times New Roman"/>
                <w:sz w:val="20"/>
                <w:szCs w:val="20"/>
              </w:rPr>
              <w:t>V textu bylo doplněno slovo „další“, aby bylo lépe zřejmé, že jde o množinu odlišných postupů.</w:t>
            </w:r>
          </w:p>
        </w:tc>
      </w:tr>
      <w:tr w:rsidR="0035187E" w:rsidRPr="0035187E" w14:paraId="5D583F47"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F8EDA3D" w14:textId="5FBF5E6C" w:rsidR="00B972E4" w:rsidRPr="0035187E" w:rsidRDefault="00B972E4" w:rsidP="0035187E">
            <w:pPr>
              <w:jc w:val="center"/>
              <w:rPr>
                <w:rFonts w:ascii="Times New Roman" w:hAnsi="Times New Roman" w:cs="Times New Roman"/>
                <w:sz w:val="20"/>
                <w:szCs w:val="20"/>
              </w:rPr>
            </w:pPr>
            <w:r w:rsidRPr="0035187E">
              <w:rPr>
                <w:rFonts w:ascii="Times New Roman" w:hAnsi="Times New Roman" w:cs="Times New Roman"/>
                <w:sz w:val="20"/>
                <w:szCs w:val="20"/>
              </w:rPr>
              <w:t>6.</w:t>
            </w:r>
          </w:p>
        </w:tc>
        <w:tc>
          <w:tcPr>
            <w:tcW w:w="583" w:type="pct"/>
            <w:tcBorders>
              <w:top w:val="single" w:sz="4" w:space="0" w:color="auto"/>
              <w:left w:val="single" w:sz="4" w:space="0" w:color="auto"/>
              <w:right w:val="single" w:sz="4" w:space="0" w:color="auto"/>
            </w:tcBorders>
            <w:shd w:val="clear" w:color="auto" w:fill="auto"/>
          </w:tcPr>
          <w:p w14:paraId="66572D60" w14:textId="4B962BC7" w:rsidR="00B972E4" w:rsidRPr="0035187E" w:rsidRDefault="00B972E4"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průmyslu a obchodu</w:t>
            </w:r>
          </w:p>
        </w:tc>
        <w:tc>
          <w:tcPr>
            <w:tcW w:w="168" w:type="pct"/>
            <w:tcBorders>
              <w:top w:val="single" w:sz="4" w:space="0" w:color="auto"/>
              <w:left w:val="single" w:sz="4" w:space="0" w:color="auto"/>
              <w:right w:val="single" w:sz="4" w:space="0" w:color="auto"/>
            </w:tcBorders>
            <w:shd w:val="clear" w:color="auto" w:fill="auto"/>
          </w:tcPr>
          <w:p w14:paraId="3974A633" w14:textId="6B8C6C38" w:rsidR="00B972E4" w:rsidRPr="0035187E" w:rsidRDefault="00B972E4" w:rsidP="0035187E">
            <w:pPr>
              <w:jc w:val="center"/>
              <w:rPr>
                <w:rFonts w:ascii="Times New Roman" w:hAnsi="Times New Roman" w:cs="Times New Roman"/>
                <w:sz w:val="20"/>
                <w:szCs w:val="20"/>
              </w:rPr>
            </w:pPr>
            <w:r w:rsidRPr="0035187E">
              <w:rPr>
                <w:rFonts w:ascii="Times New Roman" w:hAnsi="Times New Roman" w:cs="Times New Roman"/>
                <w:sz w:val="20"/>
                <w:szCs w:val="20"/>
              </w:rPr>
              <w:t>2.</w:t>
            </w:r>
          </w:p>
        </w:tc>
        <w:tc>
          <w:tcPr>
            <w:tcW w:w="169" w:type="pct"/>
            <w:tcBorders>
              <w:top w:val="single" w:sz="4" w:space="0" w:color="auto"/>
              <w:left w:val="single" w:sz="4" w:space="0" w:color="auto"/>
              <w:right w:val="single" w:sz="4" w:space="0" w:color="auto"/>
            </w:tcBorders>
            <w:shd w:val="clear" w:color="auto" w:fill="auto"/>
          </w:tcPr>
          <w:p w14:paraId="4B18C2B3" w14:textId="0520A160" w:rsidR="00B972E4" w:rsidRPr="0035187E" w:rsidRDefault="00B972E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FF23482" w14:textId="17D38D17" w:rsidR="00B972E4" w:rsidRPr="0035187E" w:rsidRDefault="00B972E4" w:rsidP="0035187E">
            <w:pPr>
              <w:widowControl w:val="0"/>
              <w:numPr>
                <w:ilvl w:val="0"/>
                <w:numId w:val="30"/>
              </w:numPr>
              <w:autoSpaceDE w:val="0"/>
              <w:autoSpaceDN w:val="0"/>
              <w:adjustRightInd w:val="0"/>
              <w:ind w:left="0" w:firstLine="0"/>
              <w:jc w:val="both"/>
              <w:rPr>
                <w:rFonts w:ascii="Times New Roman" w:hAnsi="Times New Roman" w:cs="Times New Roman"/>
                <w:sz w:val="20"/>
                <w:szCs w:val="20"/>
              </w:rPr>
            </w:pPr>
            <w:r w:rsidRPr="0035187E">
              <w:rPr>
                <w:rFonts w:ascii="Times New Roman" w:eastAsiaTheme="minorHAnsi" w:hAnsi="Times New Roman" w:cs="Times New Roman"/>
                <w:sz w:val="20"/>
                <w:szCs w:val="20"/>
                <w:lang w:eastAsia="en-US"/>
              </w:rPr>
              <w:t>Doporučujeme</w:t>
            </w:r>
            <w:r w:rsidRPr="0035187E">
              <w:rPr>
                <w:rFonts w:ascii="Times New Roman" w:hAnsi="Times New Roman" w:cs="Times New Roman"/>
                <w:sz w:val="20"/>
                <w:szCs w:val="20"/>
              </w:rPr>
              <w:t xml:space="preserve"> zvážit úpravu § 2 navrhovaného zákona o evidenci tržeb týkajícího se výkonu působnosti, kde by měl být odstavec 2 doplněn o Českou obchodní inspekci jakožto další kontrolní orgán. V této souvislosti navrhujeme úpravu § 26 téhož návrhu zákona ve smyslu rozšíření ustanovení o příslušnosti k projednávání přestupků, a to podle obdobného modelu, jaký je navržen pro celní úřad.</w:t>
            </w:r>
          </w:p>
        </w:tc>
        <w:tc>
          <w:tcPr>
            <w:tcW w:w="1453" w:type="pct"/>
            <w:tcBorders>
              <w:top w:val="single" w:sz="4" w:space="0" w:color="auto"/>
              <w:left w:val="single" w:sz="4" w:space="0" w:color="auto"/>
              <w:right w:val="single" w:sz="4" w:space="0" w:color="auto"/>
            </w:tcBorders>
            <w:shd w:val="clear" w:color="auto" w:fill="auto"/>
          </w:tcPr>
          <w:p w14:paraId="79E358E0" w14:textId="1E4A7B12" w:rsidR="00B972E4" w:rsidRPr="0035187E" w:rsidRDefault="00B34238" w:rsidP="0035187E">
            <w:pPr>
              <w:jc w:val="both"/>
              <w:rPr>
                <w:rFonts w:ascii="Times New Roman" w:hAnsi="Times New Roman" w:cs="Times New Roman"/>
                <w:b/>
                <w:sz w:val="20"/>
                <w:szCs w:val="20"/>
              </w:rPr>
            </w:pPr>
            <w:r w:rsidRPr="0035187E">
              <w:rPr>
                <w:rFonts w:ascii="Times New Roman" w:hAnsi="Times New Roman" w:cs="Times New Roman"/>
                <w:b/>
                <w:sz w:val="20"/>
                <w:szCs w:val="20"/>
              </w:rPr>
              <w:t>Nevyhověno.</w:t>
            </w:r>
          </w:p>
          <w:p w14:paraId="59D50CC8" w14:textId="4DF37BD6" w:rsidR="00AC3245" w:rsidRPr="0035187E" w:rsidRDefault="00B34238" w:rsidP="0035187E">
            <w:pPr>
              <w:jc w:val="both"/>
              <w:rPr>
                <w:rFonts w:ascii="Times New Roman" w:hAnsi="Times New Roman" w:cs="Times New Roman"/>
                <w:sz w:val="20"/>
                <w:szCs w:val="20"/>
              </w:rPr>
            </w:pPr>
            <w:r w:rsidRPr="0035187E">
              <w:rPr>
                <w:rFonts w:ascii="Times New Roman" w:hAnsi="Times New Roman" w:cs="Times New Roman"/>
                <w:sz w:val="20"/>
                <w:szCs w:val="20"/>
              </w:rPr>
              <w:t>Zapojení České obchodní inspekce se předpokládá pouze v rovině spolupráce v duchu § 28 návrhu, nikoli ve formě zakotvení samostatné dílčí působnosti.</w:t>
            </w:r>
          </w:p>
        </w:tc>
      </w:tr>
      <w:tr w:rsidR="0035187E" w:rsidRPr="0035187E" w14:paraId="0A0BD8A5"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CBC7D98" w14:textId="5B1A4343" w:rsidR="00B972E4" w:rsidRPr="0035187E" w:rsidRDefault="00B972E4" w:rsidP="0035187E">
            <w:pPr>
              <w:jc w:val="center"/>
              <w:rPr>
                <w:rFonts w:ascii="Times New Roman" w:hAnsi="Times New Roman" w:cs="Times New Roman"/>
                <w:sz w:val="20"/>
                <w:szCs w:val="20"/>
              </w:rPr>
            </w:pPr>
            <w:r w:rsidRPr="0035187E">
              <w:rPr>
                <w:rFonts w:ascii="Times New Roman" w:hAnsi="Times New Roman" w:cs="Times New Roman"/>
                <w:sz w:val="20"/>
                <w:szCs w:val="20"/>
              </w:rPr>
              <w:t>6.</w:t>
            </w:r>
          </w:p>
        </w:tc>
        <w:tc>
          <w:tcPr>
            <w:tcW w:w="583" w:type="pct"/>
            <w:tcBorders>
              <w:top w:val="single" w:sz="4" w:space="0" w:color="auto"/>
              <w:left w:val="single" w:sz="4" w:space="0" w:color="auto"/>
              <w:right w:val="single" w:sz="4" w:space="0" w:color="auto"/>
            </w:tcBorders>
            <w:shd w:val="clear" w:color="auto" w:fill="auto"/>
          </w:tcPr>
          <w:p w14:paraId="662B3D02" w14:textId="1993569B" w:rsidR="00B972E4" w:rsidRPr="0035187E" w:rsidRDefault="00B972E4"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průmyslu a obchodu</w:t>
            </w:r>
          </w:p>
        </w:tc>
        <w:tc>
          <w:tcPr>
            <w:tcW w:w="168" w:type="pct"/>
            <w:tcBorders>
              <w:top w:val="single" w:sz="4" w:space="0" w:color="auto"/>
              <w:left w:val="single" w:sz="4" w:space="0" w:color="auto"/>
              <w:right w:val="single" w:sz="4" w:space="0" w:color="auto"/>
            </w:tcBorders>
            <w:shd w:val="clear" w:color="auto" w:fill="auto"/>
          </w:tcPr>
          <w:p w14:paraId="23D05B42" w14:textId="347A4356" w:rsidR="00B972E4" w:rsidRPr="0035187E" w:rsidRDefault="00B972E4" w:rsidP="0035187E">
            <w:pPr>
              <w:jc w:val="center"/>
              <w:rPr>
                <w:rFonts w:ascii="Times New Roman" w:hAnsi="Times New Roman" w:cs="Times New Roman"/>
                <w:sz w:val="20"/>
                <w:szCs w:val="20"/>
              </w:rPr>
            </w:pPr>
            <w:r w:rsidRPr="0035187E">
              <w:rPr>
                <w:rFonts w:ascii="Times New Roman" w:hAnsi="Times New Roman" w:cs="Times New Roman"/>
                <w:sz w:val="20"/>
                <w:szCs w:val="20"/>
              </w:rPr>
              <w:t>3.</w:t>
            </w:r>
          </w:p>
        </w:tc>
        <w:tc>
          <w:tcPr>
            <w:tcW w:w="169" w:type="pct"/>
            <w:tcBorders>
              <w:top w:val="single" w:sz="4" w:space="0" w:color="auto"/>
              <w:left w:val="single" w:sz="4" w:space="0" w:color="auto"/>
              <w:right w:val="single" w:sz="4" w:space="0" w:color="auto"/>
            </w:tcBorders>
            <w:shd w:val="clear" w:color="auto" w:fill="auto"/>
          </w:tcPr>
          <w:p w14:paraId="0B49AB2D" w14:textId="51760458" w:rsidR="00B972E4" w:rsidRPr="0035187E" w:rsidRDefault="00B972E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F19E21D" w14:textId="77777777" w:rsidR="00B972E4" w:rsidRPr="0035187E" w:rsidRDefault="00B972E4" w:rsidP="0035187E">
            <w:pPr>
              <w:widowControl w:val="0"/>
              <w:numPr>
                <w:ilvl w:val="0"/>
                <w:numId w:val="30"/>
              </w:numPr>
              <w:autoSpaceDE w:val="0"/>
              <w:autoSpaceDN w:val="0"/>
              <w:adjustRightInd w:val="0"/>
              <w:ind w:left="0" w:firstLine="0"/>
              <w:jc w:val="both"/>
              <w:rPr>
                <w:rFonts w:ascii="Times New Roman" w:hAnsi="Times New Roman" w:cs="Times New Roman"/>
                <w:sz w:val="20"/>
                <w:szCs w:val="20"/>
                <w:u w:val="single"/>
              </w:rPr>
            </w:pPr>
            <w:r w:rsidRPr="0035187E">
              <w:rPr>
                <w:rFonts w:ascii="Times New Roman" w:hAnsi="Times New Roman" w:cs="Times New Roman"/>
                <w:sz w:val="20"/>
                <w:szCs w:val="20"/>
                <w:u w:val="single"/>
              </w:rPr>
              <w:t xml:space="preserve">K </w:t>
            </w:r>
            <w:r w:rsidRPr="0035187E">
              <w:rPr>
                <w:rFonts w:ascii="Times New Roman" w:eastAsiaTheme="minorHAnsi" w:hAnsi="Times New Roman" w:cs="Times New Roman"/>
                <w:sz w:val="20"/>
                <w:szCs w:val="20"/>
                <w:u w:val="single"/>
                <w:lang w:eastAsia="en-US"/>
              </w:rPr>
              <w:t>Části</w:t>
            </w:r>
            <w:r w:rsidRPr="0035187E">
              <w:rPr>
                <w:rFonts w:ascii="Times New Roman" w:hAnsi="Times New Roman" w:cs="Times New Roman"/>
                <w:sz w:val="20"/>
                <w:szCs w:val="20"/>
                <w:u w:val="single"/>
              </w:rPr>
              <w:t xml:space="preserve"> první. Hlava I, § 13</w:t>
            </w:r>
          </w:p>
          <w:p w14:paraId="243899AB" w14:textId="6ED66DFD" w:rsidR="00B972E4" w:rsidRPr="0035187E" w:rsidRDefault="00B972E4" w:rsidP="0035187E">
            <w:pPr>
              <w:pStyle w:val="Style2"/>
              <w:shd w:val="clear" w:color="auto" w:fill="auto"/>
              <w:tabs>
                <w:tab w:val="left" w:pos="710"/>
              </w:tabs>
              <w:spacing w:before="0" w:after="0" w:line="240" w:lineRule="auto"/>
              <w:rPr>
                <w:rFonts w:ascii="Times New Roman" w:hAnsi="Times New Roman" w:cs="Times New Roman"/>
              </w:rPr>
            </w:pPr>
            <w:r w:rsidRPr="0035187E">
              <w:rPr>
                <w:rFonts w:ascii="Times New Roman" w:hAnsi="Times New Roman" w:cs="Times New Roman"/>
              </w:rPr>
              <w:t xml:space="preserve">Doporučujeme text § 13 odst. 1 písm. b) zpřesnit, aby bylo jednoznačné, zda se jedná o příjmy poplatníka, který má zároveň související pracovněprávní nebo obdobný vztah, nebo jak vyplývá z důvodové zprávy, se jedná o příjmy </w:t>
            </w:r>
            <w:proofErr w:type="gramStart"/>
            <w:r w:rsidRPr="0035187E">
              <w:rPr>
                <w:rFonts w:ascii="Times New Roman" w:hAnsi="Times New Roman" w:cs="Times New Roman"/>
              </w:rPr>
              <w:t>poplatníka - zaměstnavatele</w:t>
            </w:r>
            <w:proofErr w:type="gramEnd"/>
            <w:r w:rsidRPr="0035187E">
              <w:rPr>
                <w:rFonts w:ascii="Times New Roman" w:hAnsi="Times New Roman" w:cs="Times New Roman"/>
              </w:rPr>
              <w:t xml:space="preserve"> ve formě přijetí úplaty za plnění povahy zaměstnaneckých benefitů poskytovaných zaměstnanci poplatníka.</w:t>
            </w:r>
          </w:p>
        </w:tc>
        <w:tc>
          <w:tcPr>
            <w:tcW w:w="1453" w:type="pct"/>
            <w:tcBorders>
              <w:top w:val="single" w:sz="4" w:space="0" w:color="auto"/>
              <w:left w:val="single" w:sz="4" w:space="0" w:color="auto"/>
              <w:right w:val="single" w:sz="4" w:space="0" w:color="auto"/>
            </w:tcBorders>
            <w:shd w:val="clear" w:color="auto" w:fill="auto"/>
          </w:tcPr>
          <w:p w14:paraId="01B22589" w14:textId="77777777" w:rsidR="00B972E4" w:rsidRPr="0035187E" w:rsidRDefault="0020288D"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2A6BF111" w14:textId="16B96F65" w:rsidR="0020288D" w:rsidRPr="0035187E" w:rsidRDefault="0020288D" w:rsidP="0035187E">
            <w:pPr>
              <w:jc w:val="both"/>
              <w:rPr>
                <w:rFonts w:ascii="Times New Roman" w:hAnsi="Times New Roman" w:cs="Times New Roman"/>
                <w:sz w:val="20"/>
                <w:szCs w:val="20"/>
              </w:rPr>
            </w:pPr>
            <w:r w:rsidRPr="0035187E">
              <w:rPr>
                <w:rFonts w:ascii="Times New Roman" w:hAnsi="Times New Roman" w:cs="Times New Roman"/>
                <w:sz w:val="20"/>
                <w:szCs w:val="20"/>
              </w:rPr>
              <w:t>Jedná se o formulaci z předchozího zákona o evidenci tržeb, která v aplikační praxi nevyvolala nejasnosti.</w:t>
            </w:r>
          </w:p>
        </w:tc>
      </w:tr>
      <w:tr w:rsidR="0035187E" w:rsidRPr="0035187E" w14:paraId="72B81C3A"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4D5B93CD" w14:textId="446E360D" w:rsidR="00B972E4" w:rsidRPr="0035187E" w:rsidRDefault="00B972E4" w:rsidP="0035187E">
            <w:pPr>
              <w:jc w:val="center"/>
              <w:rPr>
                <w:rFonts w:ascii="Times New Roman" w:hAnsi="Times New Roman" w:cs="Times New Roman"/>
                <w:sz w:val="20"/>
                <w:szCs w:val="20"/>
              </w:rPr>
            </w:pPr>
            <w:r w:rsidRPr="0035187E">
              <w:rPr>
                <w:rFonts w:ascii="Times New Roman" w:hAnsi="Times New Roman" w:cs="Times New Roman"/>
                <w:sz w:val="20"/>
                <w:szCs w:val="20"/>
              </w:rPr>
              <w:t>6.</w:t>
            </w:r>
          </w:p>
        </w:tc>
        <w:tc>
          <w:tcPr>
            <w:tcW w:w="583" w:type="pct"/>
            <w:tcBorders>
              <w:top w:val="single" w:sz="4" w:space="0" w:color="auto"/>
              <w:left w:val="single" w:sz="4" w:space="0" w:color="auto"/>
              <w:right w:val="single" w:sz="4" w:space="0" w:color="auto"/>
            </w:tcBorders>
            <w:shd w:val="clear" w:color="auto" w:fill="auto"/>
          </w:tcPr>
          <w:p w14:paraId="4D42011B" w14:textId="531C5DF9" w:rsidR="00B972E4" w:rsidRPr="0035187E" w:rsidRDefault="00B972E4"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průmyslu a obchodu</w:t>
            </w:r>
          </w:p>
        </w:tc>
        <w:tc>
          <w:tcPr>
            <w:tcW w:w="168" w:type="pct"/>
            <w:tcBorders>
              <w:top w:val="single" w:sz="4" w:space="0" w:color="auto"/>
              <w:left w:val="single" w:sz="4" w:space="0" w:color="auto"/>
              <w:right w:val="single" w:sz="4" w:space="0" w:color="auto"/>
            </w:tcBorders>
            <w:shd w:val="clear" w:color="auto" w:fill="auto"/>
          </w:tcPr>
          <w:p w14:paraId="78313648" w14:textId="6745F552" w:rsidR="00B972E4" w:rsidRPr="0035187E" w:rsidRDefault="00B972E4" w:rsidP="0035187E">
            <w:pPr>
              <w:jc w:val="center"/>
              <w:rPr>
                <w:rFonts w:ascii="Times New Roman" w:hAnsi="Times New Roman" w:cs="Times New Roman"/>
                <w:sz w:val="20"/>
                <w:szCs w:val="20"/>
              </w:rPr>
            </w:pPr>
            <w:r w:rsidRPr="0035187E">
              <w:rPr>
                <w:rFonts w:ascii="Times New Roman" w:hAnsi="Times New Roman" w:cs="Times New Roman"/>
                <w:sz w:val="20"/>
                <w:szCs w:val="20"/>
              </w:rPr>
              <w:t>4.</w:t>
            </w:r>
          </w:p>
        </w:tc>
        <w:tc>
          <w:tcPr>
            <w:tcW w:w="169" w:type="pct"/>
            <w:tcBorders>
              <w:top w:val="single" w:sz="4" w:space="0" w:color="auto"/>
              <w:left w:val="single" w:sz="4" w:space="0" w:color="auto"/>
              <w:right w:val="single" w:sz="4" w:space="0" w:color="auto"/>
            </w:tcBorders>
            <w:shd w:val="clear" w:color="auto" w:fill="auto"/>
          </w:tcPr>
          <w:p w14:paraId="12FC6152" w14:textId="01E13D6F" w:rsidR="00B972E4" w:rsidRPr="0035187E" w:rsidRDefault="00B972E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72E2F52" w14:textId="501E4BE1" w:rsidR="00B972E4" w:rsidRPr="0035187E" w:rsidRDefault="00B972E4" w:rsidP="0035187E">
            <w:pPr>
              <w:numPr>
                <w:ilvl w:val="0"/>
                <w:numId w:val="30"/>
              </w:numPr>
              <w:ind w:left="0" w:firstLine="0"/>
              <w:contextualSpacing/>
              <w:jc w:val="both"/>
              <w:rPr>
                <w:rFonts w:ascii="Times New Roman" w:hAnsi="Times New Roman" w:cs="Times New Roman"/>
                <w:sz w:val="20"/>
                <w:szCs w:val="20"/>
              </w:rPr>
            </w:pPr>
            <w:r w:rsidRPr="0035187E">
              <w:rPr>
                <w:rFonts w:ascii="Times New Roman" w:hAnsi="Times New Roman" w:cs="Times New Roman"/>
                <w:sz w:val="20"/>
                <w:szCs w:val="20"/>
              </w:rPr>
              <w:t xml:space="preserve">V návrhu zákona, část první, v § 14 odst. 4, doporučujeme text doplnit o upřesnění, že se jedná o objektivní okolnosti, které neumožňují nebo zásadně ztěžují evidenci tržeb.  </w:t>
            </w:r>
          </w:p>
        </w:tc>
        <w:tc>
          <w:tcPr>
            <w:tcW w:w="1453" w:type="pct"/>
            <w:tcBorders>
              <w:top w:val="single" w:sz="4" w:space="0" w:color="auto"/>
              <w:left w:val="single" w:sz="4" w:space="0" w:color="auto"/>
              <w:right w:val="single" w:sz="4" w:space="0" w:color="auto"/>
            </w:tcBorders>
            <w:shd w:val="clear" w:color="auto" w:fill="auto"/>
          </w:tcPr>
          <w:p w14:paraId="0149ED9D" w14:textId="5E970FF3" w:rsidR="00B972E4" w:rsidRPr="0035187E" w:rsidRDefault="00D92AD0" w:rsidP="0035187E">
            <w:pPr>
              <w:jc w:val="both"/>
              <w:rPr>
                <w:rFonts w:ascii="Times New Roman" w:hAnsi="Times New Roman" w:cs="Times New Roman"/>
                <w:b/>
                <w:sz w:val="20"/>
                <w:szCs w:val="20"/>
              </w:rPr>
            </w:pPr>
            <w:r w:rsidRPr="0035187E">
              <w:rPr>
                <w:rFonts w:ascii="Times New Roman" w:hAnsi="Times New Roman" w:cs="Times New Roman"/>
                <w:b/>
                <w:sz w:val="20"/>
                <w:szCs w:val="20"/>
              </w:rPr>
              <w:t>Vyhověno jinak.</w:t>
            </w:r>
          </w:p>
          <w:p w14:paraId="41DA6742" w14:textId="097DC4DB" w:rsidR="00D92AD0" w:rsidRPr="0035187E" w:rsidRDefault="00D92AD0" w:rsidP="0035187E">
            <w:pPr>
              <w:jc w:val="both"/>
              <w:rPr>
                <w:rFonts w:ascii="Times New Roman" w:hAnsi="Times New Roman" w:cs="Times New Roman"/>
                <w:sz w:val="20"/>
                <w:szCs w:val="20"/>
              </w:rPr>
            </w:pPr>
            <w:r w:rsidRPr="0035187E">
              <w:rPr>
                <w:rFonts w:ascii="Times New Roman" w:hAnsi="Times New Roman" w:cs="Times New Roman"/>
                <w:sz w:val="20"/>
                <w:szCs w:val="20"/>
              </w:rPr>
              <w:t>Pojem „okolnosti“ se v právním řádu hojně používá, avšak bez přívlastku „objektivní“, ačkoli je tak míněn. Doplnění proto bylo provedeno toliko v důvodové zprávě.</w:t>
            </w:r>
          </w:p>
        </w:tc>
      </w:tr>
      <w:tr w:rsidR="0035187E" w:rsidRPr="0035187E" w14:paraId="4A6E7731"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B61CC26" w14:textId="024DFDB7" w:rsidR="00B972E4" w:rsidRPr="0035187E" w:rsidRDefault="00B972E4" w:rsidP="0035187E">
            <w:pPr>
              <w:jc w:val="center"/>
              <w:rPr>
                <w:rFonts w:ascii="Times New Roman" w:hAnsi="Times New Roman" w:cs="Times New Roman"/>
                <w:sz w:val="20"/>
                <w:szCs w:val="20"/>
              </w:rPr>
            </w:pPr>
            <w:r w:rsidRPr="0035187E">
              <w:rPr>
                <w:rFonts w:ascii="Times New Roman" w:hAnsi="Times New Roman" w:cs="Times New Roman"/>
                <w:sz w:val="20"/>
                <w:szCs w:val="20"/>
              </w:rPr>
              <w:t>6.</w:t>
            </w:r>
          </w:p>
        </w:tc>
        <w:tc>
          <w:tcPr>
            <w:tcW w:w="583" w:type="pct"/>
            <w:tcBorders>
              <w:top w:val="single" w:sz="4" w:space="0" w:color="auto"/>
              <w:left w:val="single" w:sz="4" w:space="0" w:color="auto"/>
              <w:right w:val="single" w:sz="4" w:space="0" w:color="auto"/>
            </w:tcBorders>
            <w:shd w:val="clear" w:color="auto" w:fill="auto"/>
          </w:tcPr>
          <w:p w14:paraId="71E1B547" w14:textId="050B0A4F" w:rsidR="00B972E4" w:rsidRPr="0035187E" w:rsidRDefault="00B972E4"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průmyslu a obchodu</w:t>
            </w:r>
          </w:p>
        </w:tc>
        <w:tc>
          <w:tcPr>
            <w:tcW w:w="168" w:type="pct"/>
            <w:tcBorders>
              <w:top w:val="single" w:sz="4" w:space="0" w:color="auto"/>
              <w:left w:val="single" w:sz="4" w:space="0" w:color="auto"/>
              <w:right w:val="single" w:sz="4" w:space="0" w:color="auto"/>
            </w:tcBorders>
            <w:shd w:val="clear" w:color="auto" w:fill="auto"/>
          </w:tcPr>
          <w:p w14:paraId="7AF45F26" w14:textId="15CF1619" w:rsidR="00B972E4" w:rsidRPr="0035187E" w:rsidRDefault="00B972E4" w:rsidP="0035187E">
            <w:pPr>
              <w:jc w:val="center"/>
              <w:rPr>
                <w:rFonts w:ascii="Times New Roman" w:hAnsi="Times New Roman" w:cs="Times New Roman"/>
                <w:sz w:val="20"/>
                <w:szCs w:val="20"/>
              </w:rPr>
            </w:pPr>
            <w:r w:rsidRPr="0035187E">
              <w:rPr>
                <w:rFonts w:ascii="Times New Roman" w:hAnsi="Times New Roman" w:cs="Times New Roman"/>
                <w:sz w:val="20"/>
                <w:szCs w:val="20"/>
              </w:rPr>
              <w:t>5.</w:t>
            </w:r>
          </w:p>
        </w:tc>
        <w:tc>
          <w:tcPr>
            <w:tcW w:w="169" w:type="pct"/>
            <w:tcBorders>
              <w:top w:val="single" w:sz="4" w:space="0" w:color="auto"/>
              <w:left w:val="single" w:sz="4" w:space="0" w:color="auto"/>
              <w:right w:val="single" w:sz="4" w:space="0" w:color="auto"/>
            </w:tcBorders>
            <w:shd w:val="clear" w:color="auto" w:fill="auto"/>
          </w:tcPr>
          <w:p w14:paraId="0BF32679" w14:textId="448F84DD" w:rsidR="00B972E4" w:rsidRPr="0035187E" w:rsidRDefault="00B972E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46A9ED1" w14:textId="77777777" w:rsidR="00B972E4" w:rsidRPr="0035187E" w:rsidRDefault="00B972E4" w:rsidP="0035187E">
            <w:pPr>
              <w:numPr>
                <w:ilvl w:val="0"/>
                <w:numId w:val="30"/>
              </w:numPr>
              <w:ind w:left="0" w:firstLine="0"/>
              <w:contextualSpacing/>
              <w:jc w:val="both"/>
              <w:rPr>
                <w:rFonts w:ascii="Times New Roman" w:hAnsi="Times New Roman" w:cs="Times New Roman"/>
                <w:sz w:val="20"/>
                <w:szCs w:val="20"/>
                <w:u w:val="single"/>
              </w:rPr>
            </w:pPr>
            <w:r w:rsidRPr="0035187E">
              <w:rPr>
                <w:rFonts w:ascii="Times New Roman" w:hAnsi="Times New Roman" w:cs="Times New Roman"/>
                <w:sz w:val="20"/>
                <w:szCs w:val="20"/>
                <w:u w:val="single"/>
              </w:rPr>
              <w:t xml:space="preserve">K Části šesté, Účinnost zákona </w:t>
            </w:r>
          </w:p>
          <w:p w14:paraId="0A17B891" w14:textId="49489455" w:rsidR="00B972E4" w:rsidRPr="0035187E" w:rsidRDefault="00B972E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V případě návrhu zákona o evidenci tržeb je navrhována velmi krátká </w:t>
            </w:r>
            <w:proofErr w:type="spellStart"/>
            <w:r w:rsidRPr="0035187E">
              <w:rPr>
                <w:rFonts w:ascii="Times New Roman" w:hAnsi="Times New Roman" w:cs="Times New Roman"/>
                <w:sz w:val="20"/>
                <w:szCs w:val="20"/>
              </w:rPr>
              <w:t>legisvakanční</w:t>
            </w:r>
            <w:proofErr w:type="spellEnd"/>
            <w:r w:rsidRPr="0035187E">
              <w:rPr>
                <w:rFonts w:ascii="Times New Roman" w:hAnsi="Times New Roman" w:cs="Times New Roman"/>
                <w:sz w:val="20"/>
                <w:szCs w:val="20"/>
              </w:rPr>
              <w:t xml:space="preserve"> doba. Návrh zákona má nabýt účinnosti převážně dnem 1.1. 2027. V odborném tisku předkladatel, Ministerstvo financí, uvádí, že počítá s pilotním provozem (bez udělování sankcí) nové evidence tržeb EET 2.0 po dobu jednoho měsíce. Doporučujeme dobu pilotního provozu, v zájmu hladkého náběhu evidence tržeb, prodloužit minimálně o jeden měsíc. </w:t>
            </w:r>
          </w:p>
        </w:tc>
        <w:tc>
          <w:tcPr>
            <w:tcW w:w="1453" w:type="pct"/>
            <w:tcBorders>
              <w:top w:val="single" w:sz="4" w:space="0" w:color="auto"/>
              <w:left w:val="single" w:sz="4" w:space="0" w:color="auto"/>
              <w:right w:val="single" w:sz="4" w:space="0" w:color="auto"/>
            </w:tcBorders>
            <w:shd w:val="clear" w:color="auto" w:fill="auto"/>
          </w:tcPr>
          <w:p w14:paraId="181CD7FB" w14:textId="4743467D" w:rsidR="00B972E4" w:rsidRPr="0035187E" w:rsidRDefault="00C66D02"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4B104687" w14:textId="65843657" w:rsidR="00C66D02" w:rsidRPr="0035187E" w:rsidRDefault="00C66D02"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Doba pilotního provozu není návrhem zákona řešena. Její faktická délka je nicméně </w:t>
            </w:r>
            <w:r w:rsidR="0020288D" w:rsidRPr="0035187E">
              <w:rPr>
                <w:rFonts w:ascii="Times New Roman" w:hAnsi="Times New Roman" w:cs="Times New Roman"/>
                <w:sz w:val="20"/>
                <w:szCs w:val="20"/>
              </w:rPr>
              <w:t xml:space="preserve">částečně </w:t>
            </w:r>
            <w:r w:rsidRPr="0035187E">
              <w:rPr>
                <w:rFonts w:ascii="Times New Roman" w:hAnsi="Times New Roman" w:cs="Times New Roman"/>
                <w:sz w:val="20"/>
                <w:szCs w:val="20"/>
              </w:rPr>
              <w:t>limitována tempem schválení návrhu zákona Parlamentem České republiky.</w:t>
            </w:r>
            <w:r w:rsidR="00F154B6" w:rsidRPr="0035187E">
              <w:rPr>
                <w:rFonts w:ascii="Times New Roman" w:hAnsi="Times New Roman" w:cs="Times New Roman"/>
                <w:sz w:val="20"/>
                <w:szCs w:val="20"/>
              </w:rPr>
              <w:t xml:space="preserve"> Obecně platí, že ze strany finanční správy bude průběžně zajištěna informační podpora pro implementaci a adaptaci poplatníků na novou právní úpravu, a to včetně monitorování, vyhodnocování a koordinace.</w:t>
            </w:r>
          </w:p>
        </w:tc>
      </w:tr>
      <w:tr w:rsidR="0035187E" w:rsidRPr="0035187E" w14:paraId="74D747F0"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ADF7DF4" w14:textId="13972E5A" w:rsidR="00B972E4" w:rsidRPr="0035187E" w:rsidRDefault="00B972E4" w:rsidP="0035187E">
            <w:pPr>
              <w:jc w:val="center"/>
              <w:rPr>
                <w:rFonts w:ascii="Times New Roman" w:hAnsi="Times New Roman" w:cs="Times New Roman"/>
                <w:sz w:val="20"/>
                <w:szCs w:val="20"/>
              </w:rPr>
            </w:pPr>
            <w:r w:rsidRPr="0035187E">
              <w:rPr>
                <w:rFonts w:ascii="Times New Roman" w:hAnsi="Times New Roman" w:cs="Times New Roman"/>
                <w:sz w:val="20"/>
                <w:szCs w:val="20"/>
              </w:rPr>
              <w:t>6.</w:t>
            </w:r>
          </w:p>
        </w:tc>
        <w:tc>
          <w:tcPr>
            <w:tcW w:w="583" w:type="pct"/>
            <w:tcBorders>
              <w:top w:val="single" w:sz="4" w:space="0" w:color="auto"/>
              <w:left w:val="single" w:sz="4" w:space="0" w:color="auto"/>
              <w:right w:val="single" w:sz="4" w:space="0" w:color="auto"/>
            </w:tcBorders>
            <w:shd w:val="clear" w:color="auto" w:fill="auto"/>
          </w:tcPr>
          <w:p w14:paraId="3AEFA360" w14:textId="29D9FF44" w:rsidR="00B972E4" w:rsidRPr="0035187E" w:rsidRDefault="00B972E4"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průmyslu a obchodu</w:t>
            </w:r>
          </w:p>
        </w:tc>
        <w:tc>
          <w:tcPr>
            <w:tcW w:w="168" w:type="pct"/>
            <w:tcBorders>
              <w:top w:val="single" w:sz="4" w:space="0" w:color="auto"/>
              <w:left w:val="single" w:sz="4" w:space="0" w:color="auto"/>
              <w:right w:val="single" w:sz="4" w:space="0" w:color="auto"/>
            </w:tcBorders>
            <w:shd w:val="clear" w:color="auto" w:fill="auto"/>
          </w:tcPr>
          <w:p w14:paraId="165B7A63" w14:textId="12C89886" w:rsidR="00B972E4" w:rsidRPr="0035187E" w:rsidRDefault="00B972E4" w:rsidP="0035187E">
            <w:pPr>
              <w:jc w:val="center"/>
              <w:rPr>
                <w:rFonts w:ascii="Times New Roman" w:hAnsi="Times New Roman" w:cs="Times New Roman"/>
                <w:sz w:val="20"/>
                <w:szCs w:val="20"/>
              </w:rPr>
            </w:pPr>
            <w:r w:rsidRPr="0035187E">
              <w:rPr>
                <w:rFonts w:ascii="Times New Roman" w:hAnsi="Times New Roman" w:cs="Times New Roman"/>
                <w:sz w:val="20"/>
                <w:szCs w:val="20"/>
              </w:rPr>
              <w:t>6.</w:t>
            </w:r>
          </w:p>
        </w:tc>
        <w:tc>
          <w:tcPr>
            <w:tcW w:w="169" w:type="pct"/>
            <w:tcBorders>
              <w:top w:val="single" w:sz="4" w:space="0" w:color="auto"/>
              <w:left w:val="single" w:sz="4" w:space="0" w:color="auto"/>
              <w:right w:val="single" w:sz="4" w:space="0" w:color="auto"/>
            </w:tcBorders>
            <w:shd w:val="clear" w:color="auto" w:fill="auto"/>
          </w:tcPr>
          <w:p w14:paraId="4E72D9A4" w14:textId="34900D58" w:rsidR="00B972E4" w:rsidRPr="0035187E" w:rsidRDefault="00B972E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EB4D00A" w14:textId="77777777" w:rsidR="00B972E4" w:rsidRPr="0035187E" w:rsidRDefault="00B972E4" w:rsidP="0035187E">
            <w:pPr>
              <w:jc w:val="both"/>
              <w:rPr>
                <w:rFonts w:ascii="Times New Roman" w:hAnsi="Times New Roman" w:cs="Times New Roman"/>
                <w:b/>
                <w:bCs/>
                <w:sz w:val="20"/>
                <w:szCs w:val="20"/>
                <w:u w:val="single"/>
              </w:rPr>
            </w:pPr>
            <w:r w:rsidRPr="0035187E">
              <w:rPr>
                <w:rFonts w:ascii="Times New Roman" w:hAnsi="Times New Roman" w:cs="Times New Roman"/>
                <w:b/>
                <w:bCs/>
                <w:sz w:val="20"/>
                <w:szCs w:val="20"/>
                <w:u w:val="single"/>
              </w:rPr>
              <w:t>K důvodové zprávě zákona o evidenci tržeb:</w:t>
            </w:r>
          </w:p>
          <w:p w14:paraId="699DD577" w14:textId="77777777" w:rsidR="00B972E4" w:rsidRPr="0035187E" w:rsidRDefault="00B972E4" w:rsidP="0035187E">
            <w:pPr>
              <w:jc w:val="both"/>
              <w:rPr>
                <w:rFonts w:ascii="Times New Roman" w:hAnsi="Times New Roman" w:cs="Times New Roman"/>
                <w:b/>
                <w:bCs/>
                <w:sz w:val="20"/>
                <w:szCs w:val="20"/>
                <w:u w:val="single"/>
              </w:rPr>
            </w:pPr>
          </w:p>
          <w:p w14:paraId="67131B28" w14:textId="42D53C4F" w:rsidR="00B972E4" w:rsidRPr="0035187E" w:rsidRDefault="00B972E4" w:rsidP="0035187E">
            <w:pPr>
              <w:widowControl w:val="0"/>
              <w:numPr>
                <w:ilvl w:val="0"/>
                <w:numId w:val="30"/>
              </w:numPr>
              <w:ind w:left="0" w:firstLine="0"/>
              <w:jc w:val="both"/>
              <w:rPr>
                <w:rFonts w:ascii="Times New Roman" w:eastAsia="Arial" w:hAnsi="Times New Roman" w:cs="Times New Roman"/>
                <w:sz w:val="20"/>
                <w:szCs w:val="20"/>
                <w:u w:val="single"/>
              </w:rPr>
            </w:pPr>
            <w:r w:rsidRPr="0035187E">
              <w:rPr>
                <w:rFonts w:ascii="Times New Roman" w:eastAsia="Arial" w:hAnsi="Times New Roman" w:cs="Times New Roman"/>
                <w:sz w:val="20"/>
                <w:szCs w:val="20"/>
                <w:u w:val="single"/>
              </w:rPr>
              <w:t>K Části II., Obecná část, bodu 2., sedmé odrážce části nazvané „K jednotlivým změnám oproti původnímu zákonu o evidenci tržeb:" (str. 8)</w:t>
            </w:r>
          </w:p>
          <w:p w14:paraId="271452D4" w14:textId="4F269DA5" w:rsidR="00B972E4" w:rsidRPr="0035187E" w:rsidRDefault="00B972E4" w:rsidP="0035187E">
            <w:pPr>
              <w:widowControl w:val="0"/>
              <w:tabs>
                <w:tab w:val="left" w:pos="710"/>
              </w:tabs>
              <w:jc w:val="both"/>
              <w:rPr>
                <w:rFonts w:ascii="Times New Roman" w:hAnsi="Times New Roman" w:cs="Times New Roman"/>
                <w:sz w:val="20"/>
                <w:szCs w:val="20"/>
              </w:rPr>
            </w:pPr>
            <w:r w:rsidRPr="0035187E">
              <w:rPr>
                <w:rFonts w:ascii="Times New Roman" w:eastAsia="Arial" w:hAnsi="Times New Roman" w:cs="Times New Roman"/>
                <w:sz w:val="20"/>
                <w:szCs w:val="20"/>
              </w:rPr>
              <w:lastRenderedPageBreak/>
              <w:t>Doporučujeme opravit překlep v druhé větě následovně: „Finanční správa České republiky bude metodicky řídit poplatníky i bez závazného posouzení a zdarma".</w:t>
            </w:r>
          </w:p>
        </w:tc>
        <w:tc>
          <w:tcPr>
            <w:tcW w:w="1453" w:type="pct"/>
            <w:tcBorders>
              <w:top w:val="single" w:sz="4" w:space="0" w:color="auto"/>
              <w:left w:val="single" w:sz="4" w:space="0" w:color="auto"/>
              <w:right w:val="single" w:sz="4" w:space="0" w:color="auto"/>
            </w:tcBorders>
            <w:shd w:val="clear" w:color="auto" w:fill="auto"/>
          </w:tcPr>
          <w:p w14:paraId="084ADD03" w14:textId="77777777" w:rsidR="003E26A3" w:rsidRPr="0035187E" w:rsidRDefault="003E26A3"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Vyhověno.</w:t>
            </w:r>
          </w:p>
          <w:p w14:paraId="4E8D95A4" w14:textId="77777777" w:rsidR="00B972E4" w:rsidRPr="0035187E" w:rsidRDefault="003E26A3"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p w14:paraId="51BA5838" w14:textId="347A508D" w:rsidR="003E26A3" w:rsidRPr="0035187E" w:rsidRDefault="003E26A3" w:rsidP="0035187E">
            <w:pPr>
              <w:jc w:val="both"/>
              <w:rPr>
                <w:rFonts w:ascii="Times New Roman" w:hAnsi="Times New Roman" w:cs="Times New Roman"/>
                <w:sz w:val="20"/>
                <w:szCs w:val="20"/>
              </w:rPr>
            </w:pPr>
          </w:p>
        </w:tc>
      </w:tr>
      <w:tr w:rsidR="0035187E" w:rsidRPr="0035187E" w14:paraId="17A2FFEC"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64F2999" w14:textId="2B22905C" w:rsidR="00B972E4" w:rsidRPr="0035187E" w:rsidRDefault="00B972E4" w:rsidP="0035187E">
            <w:pPr>
              <w:jc w:val="center"/>
              <w:rPr>
                <w:rFonts w:ascii="Times New Roman" w:hAnsi="Times New Roman" w:cs="Times New Roman"/>
                <w:sz w:val="20"/>
                <w:szCs w:val="20"/>
              </w:rPr>
            </w:pPr>
            <w:r w:rsidRPr="0035187E">
              <w:rPr>
                <w:rFonts w:ascii="Times New Roman" w:hAnsi="Times New Roman" w:cs="Times New Roman"/>
                <w:sz w:val="20"/>
                <w:szCs w:val="20"/>
              </w:rPr>
              <w:t>6.</w:t>
            </w:r>
          </w:p>
        </w:tc>
        <w:tc>
          <w:tcPr>
            <w:tcW w:w="583" w:type="pct"/>
            <w:tcBorders>
              <w:top w:val="single" w:sz="4" w:space="0" w:color="auto"/>
              <w:left w:val="single" w:sz="4" w:space="0" w:color="auto"/>
              <w:right w:val="single" w:sz="4" w:space="0" w:color="auto"/>
            </w:tcBorders>
            <w:shd w:val="clear" w:color="auto" w:fill="auto"/>
          </w:tcPr>
          <w:p w14:paraId="45FB947A" w14:textId="6808E18A" w:rsidR="00B972E4" w:rsidRPr="0035187E" w:rsidRDefault="00B972E4"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průmyslu a obchodu</w:t>
            </w:r>
          </w:p>
        </w:tc>
        <w:tc>
          <w:tcPr>
            <w:tcW w:w="168" w:type="pct"/>
            <w:tcBorders>
              <w:top w:val="single" w:sz="4" w:space="0" w:color="auto"/>
              <w:left w:val="single" w:sz="4" w:space="0" w:color="auto"/>
              <w:right w:val="single" w:sz="4" w:space="0" w:color="auto"/>
            </w:tcBorders>
            <w:shd w:val="clear" w:color="auto" w:fill="auto"/>
          </w:tcPr>
          <w:p w14:paraId="5F7BE838" w14:textId="2143010A" w:rsidR="00B972E4" w:rsidRPr="0035187E" w:rsidRDefault="00B972E4" w:rsidP="0035187E">
            <w:pPr>
              <w:jc w:val="center"/>
              <w:rPr>
                <w:rFonts w:ascii="Times New Roman" w:hAnsi="Times New Roman" w:cs="Times New Roman"/>
                <w:sz w:val="20"/>
                <w:szCs w:val="20"/>
              </w:rPr>
            </w:pPr>
            <w:r w:rsidRPr="0035187E">
              <w:rPr>
                <w:rFonts w:ascii="Times New Roman" w:hAnsi="Times New Roman" w:cs="Times New Roman"/>
                <w:sz w:val="20"/>
                <w:szCs w:val="20"/>
              </w:rPr>
              <w:t>7.</w:t>
            </w:r>
          </w:p>
        </w:tc>
        <w:tc>
          <w:tcPr>
            <w:tcW w:w="169" w:type="pct"/>
            <w:tcBorders>
              <w:top w:val="single" w:sz="4" w:space="0" w:color="auto"/>
              <w:left w:val="single" w:sz="4" w:space="0" w:color="auto"/>
              <w:right w:val="single" w:sz="4" w:space="0" w:color="auto"/>
            </w:tcBorders>
            <w:shd w:val="clear" w:color="auto" w:fill="auto"/>
          </w:tcPr>
          <w:p w14:paraId="2F88910C" w14:textId="228BA012" w:rsidR="00B972E4" w:rsidRPr="0035187E" w:rsidRDefault="00B972E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2EE44C0" w14:textId="77777777" w:rsidR="00B972E4" w:rsidRPr="0035187E" w:rsidRDefault="00B972E4" w:rsidP="0035187E">
            <w:pPr>
              <w:widowControl w:val="0"/>
              <w:numPr>
                <w:ilvl w:val="0"/>
                <w:numId w:val="30"/>
              </w:numPr>
              <w:ind w:left="0" w:firstLine="0"/>
              <w:jc w:val="both"/>
              <w:rPr>
                <w:rFonts w:ascii="Times New Roman" w:eastAsia="Arial" w:hAnsi="Times New Roman" w:cs="Times New Roman"/>
                <w:sz w:val="20"/>
                <w:szCs w:val="20"/>
                <w:u w:val="single"/>
              </w:rPr>
            </w:pPr>
            <w:r w:rsidRPr="0035187E">
              <w:rPr>
                <w:rFonts w:ascii="Times New Roman" w:eastAsia="Arial" w:hAnsi="Times New Roman" w:cs="Times New Roman"/>
                <w:sz w:val="20"/>
                <w:szCs w:val="20"/>
                <w:u w:val="single"/>
              </w:rPr>
              <w:t>K Části II., Zvláštní část, K části první. Zákon o evidenci tržeb, K § 13 (str. 66)</w:t>
            </w:r>
          </w:p>
          <w:p w14:paraId="253157FF" w14:textId="2756BDE1" w:rsidR="00B972E4" w:rsidRPr="0035187E" w:rsidRDefault="00B972E4" w:rsidP="0035187E">
            <w:pPr>
              <w:widowControl w:val="0"/>
              <w:jc w:val="both"/>
              <w:rPr>
                <w:rFonts w:ascii="Times New Roman" w:hAnsi="Times New Roman" w:cs="Times New Roman"/>
                <w:sz w:val="20"/>
                <w:szCs w:val="20"/>
              </w:rPr>
            </w:pPr>
            <w:r w:rsidRPr="0035187E">
              <w:rPr>
                <w:rFonts w:ascii="Times New Roman" w:eastAsia="Arial" w:hAnsi="Times New Roman" w:cs="Times New Roman"/>
                <w:sz w:val="20"/>
                <w:szCs w:val="20"/>
              </w:rPr>
              <w:t xml:space="preserve">Doporučujeme upravit text první věty třetího odstavce § 13, aby odpovídal textu návrhu zákona následovně "Písmeno a) stanoví, že „drobná doplňková vedlejší podnikatelská činnost veřejně prospěšných poplatníků" je vyňata z evidence tržeb". </w:t>
            </w:r>
          </w:p>
        </w:tc>
        <w:tc>
          <w:tcPr>
            <w:tcW w:w="1453" w:type="pct"/>
            <w:tcBorders>
              <w:top w:val="single" w:sz="4" w:space="0" w:color="auto"/>
              <w:left w:val="single" w:sz="4" w:space="0" w:color="auto"/>
              <w:right w:val="single" w:sz="4" w:space="0" w:color="auto"/>
            </w:tcBorders>
            <w:shd w:val="clear" w:color="auto" w:fill="auto"/>
          </w:tcPr>
          <w:p w14:paraId="5FEA62CB" w14:textId="77777777" w:rsidR="009B2985" w:rsidRPr="0035187E" w:rsidRDefault="009B2985"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Vyhověno.</w:t>
            </w:r>
          </w:p>
          <w:p w14:paraId="3DDCFE62" w14:textId="77777777" w:rsidR="009B2985" w:rsidRPr="0035187E" w:rsidRDefault="009B2985"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p w14:paraId="710994EB" w14:textId="77777777" w:rsidR="00B972E4" w:rsidRPr="0035187E" w:rsidRDefault="00B972E4" w:rsidP="0035187E">
            <w:pPr>
              <w:jc w:val="both"/>
              <w:rPr>
                <w:rFonts w:ascii="Times New Roman" w:hAnsi="Times New Roman" w:cs="Times New Roman"/>
                <w:sz w:val="20"/>
                <w:szCs w:val="20"/>
              </w:rPr>
            </w:pPr>
          </w:p>
        </w:tc>
      </w:tr>
      <w:tr w:rsidR="0035187E" w:rsidRPr="0035187E" w14:paraId="32408810"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1EFBC1A" w14:textId="37C15199" w:rsidR="00B972E4" w:rsidRPr="0035187E" w:rsidRDefault="00B972E4" w:rsidP="0035187E">
            <w:pPr>
              <w:jc w:val="center"/>
              <w:rPr>
                <w:rFonts w:ascii="Times New Roman" w:hAnsi="Times New Roman" w:cs="Times New Roman"/>
                <w:sz w:val="20"/>
                <w:szCs w:val="20"/>
              </w:rPr>
            </w:pPr>
            <w:r w:rsidRPr="0035187E">
              <w:rPr>
                <w:rFonts w:ascii="Times New Roman" w:hAnsi="Times New Roman" w:cs="Times New Roman"/>
                <w:sz w:val="20"/>
                <w:szCs w:val="20"/>
              </w:rPr>
              <w:t>6.</w:t>
            </w:r>
          </w:p>
        </w:tc>
        <w:tc>
          <w:tcPr>
            <w:tcW w:w="583" w:type="pct"/>
            <w:tcBorders>
              <w:top w:val="single" w:sz="4" w:space="0" w:color="auto"/>
              <w:left w:val="single" w:sz="4" w:space="0" w:color="auto"/>
              <w:right w:val="single" w:sz="4" w:space="0" w:color="auto"/>
            </w:tcBorders>
            <w:shd w:val="clear" w:color="auto" w:fill="auto"/>
          </w:tcPr>
          <w:p w14:paraId="650FD2F0" w14:textId="0E64304E" w:rsidR="00B972E4" w:rsidRPr="0035187E" w:rsidRDefault="00B972E4"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průmyslu a obchodu</w:t>
            </w:r>
          </w:p>
        </w:tc>
        <w:tc>
          <w:tcPr>
            <w:tcW w:w="168" w:type="pct"/>
            <w:tcBorders>
              <w:top w:val="single" w:sz="4" w:space="0" w:color="auto"/>
              <w:left w:val="single" w:sz="4" w:space="0" w:color="auto"/>
              <w:right w:val="single" w:sz="4" w:space="0" w:color="auto"/>
            </w:tcBorders>
            <w:shd w:val="clear" w:color="auto" w:fill="auto"/>
          </w:tcPr>
          <w:p w14:paraId="2B1C2273" w14:textId="50477992" w:rsidR="00B972E4" w:rsidRPr="0035187E" w:rsidRDefault="00B972E4" w:rsidP="0035187E">
            <w:pPr>
              <w:jc w:val="center"/>
              <w:rPr>
                <w:rFonts w:ascii="Times New Roman" w:hAnsi="Times New Roman" w:cs="Times New Roman"/>
                <w:sz w:val="20"/>
                <w:szCs w:val="20"/>
              </w:rPr>
            </w:pPr>
            <w:r w:rsidRPr="0035187E">
              <w:rPr>
                <w:rFonts w:ascii="Times New Roman" w:hAnsi="Times New Roman" w:cs="Times New Roman"/>
                <w:sz w:val="20"/>
                <w:szCs w:val="20"/>
              </w:rPr>
              <w:t>8.</w:t>
            </w:r>
          </w:p>
        </w:tc>
        <w:tc>
          <w:tcPr>
            <w:tcW w:w="169" w:type="pct"/>
            <w:tcBorders>
              <w:top w:val="single" w:sz="4" w:space="0" w:color="auto"/>
              <w:left w:val="single" w:sz="4" w:space="0" w:color="auto"/>
              <w:right w:val="single" w:sz="4" w:space="0" w:color="auto"/>
            </w:tcBorders>
            <w:shd w:val="clear" w:color="auto" w:fill="auto"/>
          </w:tcPr>
          <w:p w14:paraId="71625769" w14:textId="610FA756" w:rsidR="00B972E4" w:rsidRPr="0035187E" w:rsidRDefault="00B972E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07EED63" w14:textId="77777777" w:rsidR="00B972E4" w:rsidRPr="0035187E" w:rsidRDefault="00B972E4" w:rsidP="0035187E">
            <w:pPr>
              <w:widowControl w:val="0"/>
              <w:jc w:val="both"/>
              <w:rPr>
                <w:rFonts w:ascii="Times New Roman" w:eastAsia="Arial" w:hAnsi="Times New Roman" w:cs="Times New Roman"/>
                <w:b/>
                <w:bCs/>
                <w:sz w:val="20"/>
                <w:szCs w:val="20"/>
                <w:u w:val="single"/>
              </w:rPr>
            </w:pPr>
            <w:r w:rsidRPr="0035187E">
              <w:rPr>
                <w:rFonts w:ascii="Times New Roman" w:eastAsia="Arial" w:hAnsi="Times New Roman" w:cs="Times New Roman"/>
                <w:b/>
                <w:bCs/>
                <w:sz w:val="20"/>
                <w:szCs w:val="20"/>
                <w:u w:val="single"/>
              </w:rPr>
              <w:t>K návrhu na změnu zákona o Finanční správě České republiky</w:t>
            </w:r>
          </w:p>
          <w:p w14:paraId="0065E98E" w14:textId="77777777" w:rsidR="00B972E4" w:rsidRPr="0035187E" w:rsidRDefault="00B972E4" w:rsidP="0035187E">
            <w:pPr>
              <w:widowControl w:val="0"/>
              <w:jc w:val="both"/>
              <w:rPr>
                <w:rFonts w:ascii="Times New Roman" w:eastAsia="Arial" w:hAnsi="Times New Roman" w:cs="Times New Roman"/>
                <w:b/>
                <w:bCs/>
                <w:sz w:val="20"/>
                <w:szCs w:val="20"/>
                <w:u w:val="single"/>
              </w:rPr>
            </w:pPr>
          </w:p>
          <w:p w14:paraId="64C05BD7" w14:textId="768080C0" w:rsidR="00B972E4" w:rsidRPr="0035187E" w:rsidRDefault="00B972E4" w:rsidP="0035187E">
            <w:pPr>
              <w:pStyle w:val="Odstavecseseznamem"/>
              <w:widowControl w:val="0"/>
              <w:numPr>
                <w:ilvl w:val="0"/>
                <w:numId w:val="30"/>
              </w:numPr>
              <w:autoSpaceDE w:val="0"/>
              <w:autoSpaceDN w:val="0"/>
              <w:adjustRightInd w:val="0"/>
              <w:ind w:left="0" w:firstLine="0"/>
              <w:jc w:val="both"/>
              <w:rPr>
                <w:rFonts w:ascii="Times New Roman" w:hAnsi="Times New Roman"/>
                <w:sz w:val="20"/>
                <w:szCs w:val="20"/>
              </w:rPr>
            </w:pPr>
            <w:r w:rsidRPr="0035187E">
              <w:rPr>
                <w:rFonts w:ascii="Times New Roman" w:hAnsi="Times New Roman"/>
                <w:sz w:val="20"/>
                <w:szCs w:val="20"/>
              </w:rPr>
              <w:t>Navrhujeme zvážit úpravu § 18a zákona o Finanční správě, kde by byl výčet správních orgánů rozšířen o Českou obchodní inspekci, což by zajistilo logickou provázanost právních předpisů.</w:t>
            </w:r>
          </w:p>
        </w:tc>
        <w:tc>
          <w:tcPr>
            <w:tcW w:w="1453" w:type="pct"/>
            <w:tcBorders>
              <w:top w:val="single" w:sz="4" w:space="0" w:color="auto"/>
              <w:left w:val="single" w:sz="4" w:space="0" w:color="auto"/>
              <w:right w:val="single" w:sz="4" w:space="0" w:color="auto"/>
            </w:tcBorders>
            <w:shd w:val="clear" w:color="auto" w:fill="auto"/>
          </w:tcPr>
          <w:p w14:paraId="3CB06409" w14:textId="77777777" w:rsidR="00B34238" w:rsidRPr="0035187E" w:rsidRDefault="00B34238" w:rsidP="0035187E">
            <w:pPr>
              <w:jc w:val="both"/>
              <w:rPr>
                <w:rFonts w:ascii="Times New Roman" w:hAnsi="Times New Roman" w:cs="Times New Roman"/>
                <w:b/>
                <w:sz w:val="20"/>
                <w:szCs w:val="20"/>
              </w:rPr>
            </w:pPr>
            <w:r w:rsidRPr="0035187E">
              <w:rPr>
                <w:rFonts w:ascii="Times New Roman" w:hAnsi="Times New Roman" w:cs="Times New Roman"/>
                <w:b/>
                <w:sz w:val="20"/>
                <w:szCs w:val="20"/>
              </w:rPr>
              <w:t>Nevyhověno.</w:t>
            </w:r>
          </w:p>
          <w:p w14:paraId="42903B52" w14:textId="76D3FD43" w:rsidR="00C66D02" w:rsidRPr="0035187E" w:rsidRDefault="00B34238"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Zapojení České obchodní inspekce se předpokládá pouze v rovině spolupráce v duchu § 28 návrhu, nikoli ve formě zakotvení samostatné dílčí působnosti. Poskytování informací získaných prostřednictvím evidence tržeb pro potřeby této spolupráce není nutné. S ohledem na účel a smysl daňové mlčenlivosti, resp. její striktnější varianty upravené ustanovením § 18a </w:t>
            </w:r>
            <w:r w:rsidRPr="0035187E">
              <w:rPr>
                <w:rFonts w:ascii="Times New Roman" w:hAnsi="Times New Roman"/>
                <w:sz w:val="20"/>
                <w:szCs w:val="20"/>
              </w:rPr>
              <w:t>zákona o Finanční správě ČR, není ani žádoucí.</w:t>
            </w:r>
          </w:p>
        </w:tc>
      </w:tr>
      <w:tr w:rsidR="0035187E" w:rsidRPr="0035187E" w14:paraId="78C45663"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4A5B2ACB" w14:textId="623B0DD3" w:rsidR="00D7096D" w:rsidRPr="0035187E" w:rsidRDefault="00D7096D" w:rsidP="0035187E">
            <w:pPr>
              <w:jc w:val="center"/>
              <w:rPr>
                <w:rFonts w:ascii="Times New Roman" w:hAnsi="Times New Roman" w:cs="Times New Roman"/>
                <w:sz w:val="20"/>
                <w:szCs w:val="20"/>
              </w:rPr>
            </w:pPr>
            <w:r w:rsidRPr="0035187E">
              <w:rPr>
                <w:rFonts w:ascii="Times New Roman" w:hAnsi="Times New Roman" w:cs="Times New Roman"/>
                <w:sz w:val="20"/>
                <w:szCs w:val="20"/>
              </w:rPr>
              <w:t>7.</w:t>
            </w:r>
          </w:p>
        </w:tc>
        <w:tc>
          <w:tcPr>
            <w:tcW w:w="583" w:type="pct"/>
            <w:tcBorders>
              <w:top w:val="single" w:sz="4" w:space="0" w:color="auto"/>
              <w:left w:val="single" w:sz="4" w:space="0" w:color="auto"/>
              <w:right w:val="single" w:sz="4" w:space="0" w:color="auto"/>
            </w:tcBorders>
            <w:shd w:val="clear" w:color="auto" w:fill="auto"/>
          </w:tcPr>
          <w:p w14:paraId="26859BE4" w14:textId="54A58F8B" w:rsidR="00D7096D" w:rsidRPr="0035187E" w:rsidRDefault="00D7096D"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spravedlnosti</w:t>
            </w:r>
          </w:p>
        </w:tc>
        <w:tc>
          <w:tcPr>
            <w:tcW w:w="168" w:type="pct"/>
            <w:tcBorders>
              <w:top w:val="single" w:sz="4" w:space="0" w:color="auto"/>
              <w:left w:val="single" w:sz="4" w:space="0" w:color="auto"/>
              <w:right w:val="single" w:sz="4" w:space="0" w:color="auto"/>
            </w:tcBorders>
            <w:shd w:val="clear" w:color="auto" w:fill="auto"/>
          </w:tcPr>
          <w:p w14:paraId="6EBA541D" w14:textId="51EC697A" w:rsidR="00D7096D" w:rsidRPr="0035187E" w:rsidRDefault="00E91089"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7D39D803" w14:textId="759741FD" w:rsidR="00D7096D" w:rsidRPr="0035187E" w:rsidRDefault="00E91089"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FFB4B38" w14:textId="77777777" w:rsidR="008E5358" w:rsidRPr="0035187E" w:rsidRDefault="008E5358" w:rsidP="0035187E">
            <w:pPr>
              <w:numPr>
                <w:ilvl w:val="0"/>
                <w:numId w:val="25"/>
              </w:numPr>
              <w:ind w:left="0" w:firstLine="0"/>
              <w:jc w:val="both"/>
              <w:rPr>
                <w:rFonts w:ascii="Times New Roman" w:eastAsia="Aptos" w:hAnsi="Times New Roman" w:cs="Times New Roman"/>
                <w:bCs/>
                <w:sz w:val="20"/>
                <w:szCs w:val="20"/>
                <w:lang w:eastAsia="en-US"/>
              </w:rPr>
            </w:pPr>
            <w:r w:rsidRPr="0035187E">
              <w:rPr>
                <w:rFonts w:ascii="Times New Roman" w:eastAsia="Aptos" w:hAnsi="Times New Roman" w:cs="Times New Roman"/>
                <w:b/>
                <w:sz w:val="20"/>
                <w:szCs w:val="20"/>
                <w:lang w:eastAsia="en-US"/>
              </w:rPr>
              <w:t>K § 4 písm. b)</w:t>
            </w:r>
          </w:p>
          <w:p w14:paraId="2F20F87B" w14:textId="428FA98C" w:rsidR="00D7096D" w:rsidRPr="0035187E" w:rsidRDefault="008E5358" w:rsidP="0035187E">
            <w:pPr>
              <w:tabs>
                <w:tab w:val="left" w:pos="851"/>
              </w:tabs>
              <w:jc w:val="both"/>
              <w:rPr>
                <w:rFonts w:ascii="Times New Roman" w:eastAsia="Aptos" w:hAnsi="Times New Roman" w:cs="Times New Roman"/>
                <w:bCs/>
                <w:sz w:val="20"/>
                <w:szCs w:val="20"/>
                <w:lang w:eastAsia="en-US"/>
              </w:rPr>
            </w:pPr>
            <w:r w:rsidRPr="0035187E">
              <w:rPr>
                <w:rFonts w:ascii="Times New Roman" w:eastAsia="Aptos" w:hAnsi="Times New Roman" w:cs="Times New Roman"/>
                <w:bCs/>
                <w:sz w:val="20"/>
                <w:szCs w:val="20"/>
                <w:lang w:eastAsia="en-US"/>
              </w:rPr>
              <w:t xml:space="preserve">Vzhledem k tomu, že je v odůvodnění předmětného ustanovení odkazováno na čl. 3 odst. 15 nařízení (EU) 2017/2394, který definuje pojem on-line rozhraní, a dále na související definici on-line tržiště v § 2 odst. 2 písm. b) zákona o ochraně spotřebitele, dáváme ke zvážení úpravu navrhované definice v souladu s těmito předpisy, tj. vymezit evidenční jednotku jako </w:t>
            </w:r>
            <w:r w:rsidRPr="0035187E">
              <w:rPr>
                <w:rFonts w:ascii="Times New Roman" w:eastAsia="Aptos" w:hAnsi="Times New Roman" w:cs="Times New Roman"/>
                <w:bCs/>
                <w:i/>
                <w:iCs/>
                <w:sz w:val="20"/>
                <w:szCs w:val="20"/>
                <w:lang w:eastAsia="en-US"/>
              </w:rPr>
              <w:t xml:space="preserve">„software, včetně internetové stránky, části internetové stránky nebo aplikace, skrze který je nabízeno zboží nebo služby“ </w:t>
            </w:r>
            <w:r w:rsidRPr="0035187E">
              <w:rPr>
                <w:rFonts w:ascii="Times New Roman" w:eastAsia="Aptos" w:hAnsi="Times New Roman" w:cs="Times New Roman"/>
                <w:bCs/>
                <w:sz w:val="20"/>
                <w:szCs w:val="20"/>
                <w:lang w:eastAsia="en-US"/>
              </w:rPr>
              <w:t xml:space="preserve">(případně v souladu s dikcí nařízení také nahradit slova </w:t>
            </w:r>
            <w:r w:rsidRPr="0035187E">
              <w:rPr>
                <w:rFonts w:ascii="Times New Roman" w:eastAsia="Aptos" w:hAnsi="Times New Roman" w:cs="Times New Roman"/>
                <w:bCs/>
                <w:i/>
                <w:iCs/>
                <w:sz w:val="20"/>
                <w:szCs w:val="20"/>
                <w:lang w:eastAsia="en-US"/>
              </w:rPr>
              <w:t>„skrze který je nabízeno zboží nebo služby“</w:t>
            </w:r>
            <w:r w:rsidRPr="0035187E">
              <w:rPr>
                <w:rFonts w:ascii="Times New Roman" w:eastAsia="Aptos" w:hAnsi="Times New Roman" w:cs="Times New Roman"/>
                <w:bCs/>
                <w:sz w:val="20"/>
                <w:szCs w:val="20"/>
                <w:lang w:eastAsia="en-US"/>
              </w:rPr>
              <w:t xml:space="preserve"> slovy </w:t>
            </w:r>
            <w:r w:rsidRPr="0035187E">
              <w:rPr>
                <w:rFonts w:ascii="Times New Roman" w:eastAsia="Aptos" w:hAnsi="Times New Roman" w:cs="Times New Roman"/>
                <w:bCs/>
                <w:i/>
                <w:iCs/>
                <w:sz w:val="20"/>
                <w:szCs w:val="20"/>
                <w:lang w:eastAsia="en-US"/>
              </w:rPr>
              <w:t>„který</w:t>
            </w:r>
            <w:r w:rsidRPr="0035187E">
              <w:rPr>
                <w:rFonts w:ascii="Times New Roman" w:eastAsia="Aptos" w:hAnsi="Times New Roman" w:cs="Times New Roman"/>
                <w:bCs/>
                <w:sz w:val="20"/>
                <w:szCs w:val="20"/>
                <w:lang w:eastAsia="en-US"/>
              </w:rPr>
              <w:t xml:space="preserve"> </w:t>
            </w:r>
            <w:r w:rsidRPr="0035187E">
              <w:rPr>
                <w:rFonts w:ascii="Times New Roman" w:eastAsia="Aptos" w:hAnsi="Times New Roman" w:cs="Times New Roman"/>
                <w:bCs/>
                <w:i/>
                <w:iCs/>
                <w:sz w:val="20"/>
                <w:szCs w:val="20"/>
                <w:lang w:eastAsia="en-US"/>
              </w:rPr>
              <w:t>umožňuje přístup ke zboží nebo službám“</w:t>
            </w:r>
            <w:r w:rsidRPr="0035187E">
              <w:rPr>
                <w:rFonts w:ascii="Times New Roman" w:eastAsia="Aptos" w:hAnsi="Times New Roman" w:cs="Times New Roman"/>
                <w:bCs/>
                <w:sz w:val="20"/>
                <w:szCs w:val="20"/>
                <w:lang w:eastAsia="en-US"/>
              </w:rPr>
              <w:t>). Teoreticky je představitelné, že v budoucnu dosáhnou popularity i jiná softwarová řešení, skrze která bude nabízeno zboží a služby, a v takovém případě by se návrh mohl dostat do rozporu s proklamovanou výchozí zásadou technologické neutrality.</w:t>
            </w:r>
          </w:p>
        </w:tc>
        <w:tc>
          <w:tcPr>
            <w:tcW w:w="1453" w:type="pct"/>
            <w:tcBorders>
              <w:top w:val="single" w:sz="4" w:space="0" w:color="auto"/>
              <w:left w:val="single" w:sz="4" w:space="0" w:color="auto"/>
              <w:right w:val="single" w:sz="4" w:space="0" w:color="auto"/>
            </w:tcBorders>
            <w:shd w:val="clear" w:color="auto" w:fill="auto"/>
          </w:tcPr>
          <w:p w14:paraId="78DFFC21" w14:textId="77777777" w:rsidR="009C11A1" w:rsidRPr="0035187E" w:rsidRDefault="009C11A1"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Vyhověno.</w:t>
            </w:r>
          </w:p>
          <w:p w14:paraId="1EE9573C" w14:textId="43D86E28" w:rsidR="00D7096D" w:rsidRPr="0035187E" w:rsidRDefault="009C11A1"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tc>
      </w:tr>
      <w:tr w:rsidR="0035187E" w:rsidRPr="0035187E" w14:paraId="486B60D3"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1D32CC8" w14:textId="32BB9DAD" w:rsidR="00E91089" w:rsidRPr="0035187E" w:rsidRDefault="00E91089" w:rsidP="0035187E">
            <w:pPr>
              <w:jc w:val="center"/>
              <w:rPr>
                <w:rFonts w:ascii="Times New Roman" w:hAnsi="Times New Roman" w:cs="Times New Roman"/>
                <w:sz w:val="20"/>
                <w:szCs w:val="20"/>
              </w:rPr>
            </w:pPr>
            <w:r w:rsidRPr="0035187E">
              <w:rPr>
                <w:rFonts w:ascii="Times New Roman" w:hAnsi="Times New Roman" w:cs="Times New Roman"/>
                <w:sz w:val="20"/>
                <w:szCs w:val="20"/>
              </w:rPr>
              <w:t>7.</w:t>
            </w:r>
          </w:p>
        </w:tc>
        <w:tc>
          <w:tcPr>
            <w:tcW w:w="583" w:type="pct"/>
            <w:tcBorders>
              <w:top w:val="single" w:sz="4" w:space="0" w:color="auto"/>
              <w:left w:val="single" w:sz="4" w:space="0" w:color="auto"/>
              <w:right w:val="single" w:sz="4" w:space="0" w:color="auto"/>
            </w:tcBorders>
            <w:shd w:val="clear" w:color="auto" w:fill="auto"/>
          </w:tcPr>
          <w:p w14:paraId="7D69F1DC" w14:textId="629CB456" w:rsidR="00E91089" w:rsidRPr="0035187E" w:rsidRDefault="00E91089"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spravedlnosti</w:t>
            </w:r>
          </w:p>
        </w:tc>
        <w:tc>
          <w:tcPr>
            <w:tcW w:w="168" w:type="pct"/>
            <w:tcBorders>
              <w:top w:val="single" w:sz="4" w:space="0" w:color="auto"/>
              <w:left w:val="single" w:sz="4" w:space="0" w:color="auto"/>
              <w:right w:val="single" w:sz="4" w:space="0" w:color="auto"/>
            </w:tcBorders>
            <w:shd w:val="clear" w:color="auto" w:fill="auto"/>
          </w:tcPr>
          <w:p w14:paraId="647072C4" w14:textId="04C126B0" w:rsidR="00E91089" w:rsidRPr="0035187E" w:rsidRDefault="00E91089" w:rsidP="0035187E">
            <w:pPr>
              <w:jc w:val="center"/>
              <w:rPr>
                <w:rFonts w:ascii="Times New Roman" w:hAnsi="Times New Roman" w:cs="Times New Roman"/>
                <w:sz w:val="20"/>
                <w:szCs w:val="20"/>
              </w:rPr>
            </w:pPr>
            <w:r w:rsidRPr="0035187E">
              <w:rPr>
                <w:rFonts w:ascii="Times New Roman" w:hAnsi="Times New Roman" w:cs="Times New Roman"/>
                <w:sz w:val="20"/>
                <w:szCs w:val="20"/>
              </w:rPr>
              <w:t>2.</w:t>
            </w:r>
          </w:p>
        </w:tc>
        <w:tc>
          <w:tcPr>
            <w:tcW w:w="169" w:type="pct"/>
            <w:tcBorders>
              <w:top w:val="single" w:sz="4" w:space="0" w:color="auto"/>
              <w:left w:val="single" w:sz="4" w:space="0" w:color="auto"/>
              <w:right w:val="single" w:sz="4" w:space="0" w:color="auto"/>
            </w:tcBorders>
            <w:shd w:val="clear" w:color="auto" w:fill="auto"/>
          </w:tcPr>
          <w:p w14:paraId="48EFAE22" w14:textId="00F5E949" w:rsidR="00E91089" w:rsidRPr="0035187E" w:rsidRDefault="00E91089"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4262FD8" w14:textId="77777777" w:rsidR="00E91089" w:rsidRPr="0035187E" w:rsidRDefault="00E91089" w:rsidP="0035187E">
            <w:pPr>
              <w:numPr>
                <w:ilvl w:val="0"/>
                <w:numId w:val="25"/>
              </w:numPr>
              <w:ind w:left="0" w:firstLine="0"/>
              <w:jc w:val="both"/>
              <w:rPr>
                <w:rFonts w:ascii="Times New Roman" w:eastAsia="Aptos" w:hAnsi="Times New Roman" w:cs="Times New Roman"/>
                <w:bCs/>
                <w:sz w:val="20"/>
                <w:szCs w:val="20"/>
                <w:lang w:eastAsia="en-US"/>
              </w:rPr>
            </w:pPr>
            <w:bookmarkStart w:id="3" w:name="_Hlk224032554"/>
            <w:r w:rsidRPr="0035187E">
              <w:rPr>
                <w:rFonts w:ascii="Times New Roman" w:eastAsia="Aptos" w:hAnsi="Times New Roman" w:cs="Times New Roman"/>
                <w:b/>
                <w:sz w:val="20"/>
                <w:szCs w:val="20"/>
                <w:lang w:eastAsia="en-US"/>
              </w:rPr>
              <w:t>K § 7 odst. 2</w:t>
            </w:r>
          </w:p>
          <w:p w14:paraId="2DF81B87" w14:textId="3EE6BA0F" w:rsidR="00E91089" w:rsidRPr="0035187E" w:rsidRDefault="00E91089" w:rsidP="0035187E">
            <w:pPr>
              <w:jc w:val="both"/>
              <w:rPr>
                <w:rFonts w:ascii="Times New Roman" w:eastAsia="Aptos" w:hAnsi="Times New Roman" w:cs="Times New Roman"/>
                <w:bCs/>
                <w:sz w:val="20"/>
                <w:szCs w:val="20"/>
                <w:lang w:eastAsia="en-US"/>
              </w:rPr>
            </w:pPr>
            <w:r w:rsidRPr="0035187E">
              <w:rPr>
                <w:rFonts w:ascii="Times New Roman" w:eastAsia="Aptos" w:hAnsi="Times New Roman" w:cs="Times New Roman"/>
                <w:bCs/>
                <w:sz w:val="20"/>
                <w:szCs w:val="20"/>
                <w:lang w:eastAsia="en-US"/>
              </w:rPr>
              <w:t>Doporučujeme vypustit slova „</w:t>
            </w:r>
            <w:r w:rsidRPr="0035187E">
              <w:rPr>
                <w:rFonts w:ascii="Times New Roman" w:eastAsia="Aptos" w:hAnsi="Times New Roman" w:cs="Times New Roman"/>
                <w:bCs/>
                <w:i/>
                <w:iCs/>
                <w:sz w:val="20"/>
                <w:szCs w:val="20"/>
                <w:lang w:eastAsia="en-US"/>
              </w:rPr>
              <w:t>, která je uskutečněna v hotovosti nebo jinou formou</w:t>
            </w:r>
            <w:r w:rsidRPr="0035187E">
              <w:rPr>
                <w:rFonts w:ascii="Times New Roman" w:eastAsia="Aptos" w:hAnsi="Times New Roman" w:cs="Times New Roman"/>
                <w:bCs/>
                <w:sz w:val="20"/>
                <w:szCs w:val="20"/>
                <w:lang w:eastAsia="en-US"/>
              </w:rPr>
              <w:t>“ pro nadbytečnost. Výčet platebních forem je předmětem § 6, na který § 7 odst. 2 odkazuje.</w:t>
            </w:r>
            <w:bookmarkEnd w:id="3"/>
          </w:p>
        </w:tc>
        <w:tc>
          <w:tcPr>
            <w:tcW w:w="1453" w:type="pct"/>
            <w:tcBorders>
              <w:top w:val="single" w:sz="4" w:space="0" w:color="auto"/>
              <w:left w:val="single" w:sz="4" w:space="0" w:color="auto"/>
              <w:right w:val="single" w:sz="4" w:space="0" w:color="auto"/>
            </w:tcBorders>
            <w:shd w:val="clear" w:color="auto" w:fill="auto"/>
          </w:tcPr>
          <w:p w14:paraId="60365780" w14:textId="77777777" w:rsidR="00E91089" w:rsidRPr="0035187E" w:rsidRDefault="00BE73FF"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2244E755" w14:textId="1429CAF0"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sz w:val="20"/>
                <w:szCs w:val="20"/>
              </w:rPr>
              <w:t>Vypuštění slov by změnilo věcný význam, neboť by do okruhu kontaktních plateb zahrnulo např. i směnu, na kterou úprava záměrně necílí.</w:t>
            </w:r>
          </w:p>
        </w:tc>
      </w:tr>
      <w:tr w:rsidR="0035187E" w:rsidRPr="0035187E" w14:paraId="7C0D828C"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3EAF022" w14:textId="30BF33D1"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7.</w:t>
            </w:r>
          </w:p>
        </w:tc>
        <w:tc>
          <w:tcPr>
            <w:tcW w:w="583" w:type="pct"/>
            <w:tcBorders>
              <w:top w:val="single" w:sz="4" w:space="0" w:color="auto"/>
              <w:left w:val="single" w:sz="4" w:space="0" w:color="auto"/>
              <w:right w:val="single" w:sz="4" w:space="0" w:color="auto"/>
            </w:tcBorders>
            <w:shd w:val="clear" w:color="auto" w:fill="auto"/>
          </w:tcPr>
          <w:p w14:paraId="370AF1CA" w14:textId="323393F8"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spravedlnosti</w:t>
            </w:r>
          </w:p>
        </w:tc>
        <w:tc>
          <w:tcPr>
            <w:tcW w:w="168" w:type="pct"/>
            <w:tcBorders>
              <w:top w:val="single" w:sz="4" w:space="0" w:color="auto"/>
              <w:left w:val="single" w:sz="4" w:space="0" w:color="auto"/>
              <w:right w:val="single" w:sz="4" w:space="0" w:color="auto"/>
            </w:tcBorders>
            <w:shd w:val="clear" w:color="auto" w:fill="auto"/>
          </w:tcPr>
          <w:p w14:paraId="39EA9705" w14:textId="194539A0"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3.</w:t>
            </w:r>
          </w:p>
        </w:tc>
        <w:tc>
          <w:tcPr>
            <w:tcW w:w="169" w:type="pct"/>
            <w:tcBorders>
              <w:top w:val="single" w:sz="4" w:space="0" w:color="auto"/>
              <w:left w:val="single" w:sz="4" w:space="0" w:color="auto"/>
              <w:right w:val="single" w:sz="4" w:space="0" w:color="auto"/>
            </w:tcBorders>
            <w:shd w:val="clear" w:color="auto" w:fill="auto"/>
          </w:tcPr>
          <w:p w14:paraId="77B05CFA" w14:textId="0FC06381"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F158AF0" w14:textId="77777777" w:rsidR="00BE73FF" w:rsidRPr="0035187E" w:rsidRDefault="00BE73FF" w:rsidP="0035187E">
            <w:pPr>
              <w:numPr>
                <w:ilvl w:val="0"/>
                <w:numId w:val="25"/>
              </w:numPr>
              <w:ind w:left="0" w:firstLine="0"/>
              <w:jc w:val="both"/>
              <w:rPr>
                <w:rFonts w:ascii="Times New Roman" w:eastAsia="Aptos" w:hAnsi="Times New Roman" w:cs="Times New Roman"/>
                <w:bCs/>
                <w:sz w:val="20"/>
                <w:szCs w:val="20"/>
                <w:lang w:eastAsia="en-US"/>
              </w:rPr>
            </w:pPr>
            <w:r w:rsidRPr="0035187E">
              <w:rPr>
                <w:rFonts w:ascii="Times New Roman" w:eastAsia="Aptos" w:hAnsi="Times New Roman" w:cs="Times New Roman"/>
                <w:b/>
                <w:sz w:val="20"/>
                <w:szCs w:val="20"/>
                <w:lang w:eastAsia="en-US"/>
              </w:rPr>
              <w:t>K § 8 odst. 2, § 12 odst. 4 písm. b), § 13 odst. 2 písm. b) a c), § 27</w:t>
            </w:r>
          </w:p>
          <w:p w14:paraId="43EBCB92" w14:textId="0A1D0C7D" w:rsidR="00BE73FF" w:rsidRPr="0035187E" w:rsidRDefault="00BE73FF" w:rsidP="0035187E">
            <w:pPr>
              <w:jc w:val="both"/>
              <w:rPr>
                <w:rFonts w:ascii="Times New Roman" w:eastAsia="Aptos" w:hAnsi="Times New Roman" w:cs="Times New Roman"/>
                <w:bCs/>
                <w:sz w:val="20"/>
                <w:szCs w:val="20"/>
                <w:lang w:eastAsia="en-US"/>
              </w:rPr>
            </w:pPr>
            <w:r w:rsidRPr="0035187E">
              <w:rPr>
                <w:rFonts w:ascii="Times New Roman" w:eastAsia="Aptos" w:hAnsi="Times New Roman" w:cs="Times New Roman"/>
                <w:bCs/>
                <w:sz w:val="20"/>
                <w:szCs w:val="20"/>
                <w:lang w:eastAsia="en-US"/>
              </w:rPr>
              <w:t xml:space="preserve">Text zaslaného materiálu obsahuje celkem 6 hypertextových odkazů na právní informační systém ASPI. Doporučujeme hypertextové odkazy odstranit. </w:t>
            </w:r>
          </w:p>
        </w:tc>
        <w:tc>
          <w:tcPr>
            <w:tcW w:w="1453" w:type="pct"/>
            <w:tcBorders>
              <w:top w:val="single" w:sz="4" w:space="0" w:color="auto"/>
              <w:left w:val="single" w:sz="4" w:space="0" w:color="auto"/>
              <w:right w:val="single" w:sz="4" w:space="0" w:color="auto"/>
            </w:tcBorders>
            <w:shd w:val="clear" w:color="auto" w:fill="auto"/>
          </w:tcPr>
          <w:p w14:paraId="4A79FE13" w14:textId="77777777" w:rsidR="00BE73FF" w:rsidRPr="0035187E" w:rsidRDefault="00BE73FF"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Vyhověno.</w:t>
            </w:r>
          </w:p>
          <w:p w14:paraId="47ED777B" w14:textId="5C3845F0"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tc>
      </w:tr>
      <w:tr w:rsidR="0035187E" w:rsidRPr="0035187E" w14:paraId="643CCC4D"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D561F09" w14:textId="7FC07006"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7.</w:t>
            </w:r>
          </w:p>
        </w:tc>
        <w:tc>
          <w:tcPr>
            <w:tcW w:w="583" w:type="pct"/>
            <w:tcBorders>
              <w:top w:val="single" w:sz="4" w:space="0" w:color="auto"/>
              <w:left w:val="single" w:sz="4" w:space="0" w:color="auto"/>
              <w:right w:val="single" w:sz="4" w:space="0" w:color="auto"/>
            </w:tcBorders>
            <w:shd w:val="clear" w:color="auto" w:fill="auto"/>
          </w:tcPr>
          <w:p w14:paraId="5BF15E94" w14:textId="14969BB4"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spravedlnosti</w:t>
            </w:r>
          </w:p>
        </w:tc>
        <w:tc>
          <w:tcPr>
            <w:tcW w:w="168" w:type="pct"/>
            <w:tcBorders>
              <w:top w:val="single" w:sz="4" w:space="0" w:color="auto"/>
              <w:left w:val="single" w:sz="4" w:space="0" w:color="auto"/>
              <w:right w:val="single" w:sz="4" w:space="0" w:color="auto"/>
            </w:tcBorders>
            <w:shd w:val="clear" w:color="auto" w:fill="auto"/>
          </w:tcPr>
          <w:p w14:paraId="55C64A73" w14:textId="7AE0A079"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4.</w:t>
            </w:r>
          </w:p>
        </w:tc>
        <w:tc>
          <w:tcPr>
            <w:tcW w:w="169" w:type="pct"/>
            <w:tcBorders>
              <w:top w:val="single" w:sz="4" w:space="0" w:color="auto"/>
              <w:left w:val="single" w:sz="4" w:space="0" w:color="auto"/>
              <w:right w:val="single" w:sz="4" w:space="0" w:color="auto"/>
            </w:tcBorders>
            <w:shd w:val="clear" w:color="auto" w:fill="auto"/>
          </w:tcPr>
          <w:p w14:paraId="33231331" w14:textId="16793B0B"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1ED7A24" w14:textId="77777777" w:rsidR="00BE73FF" w:rsidRPr="0035187E" w:rsidRDefault="00BE73FF" w:rsidP="0035187E">
            <w:pPr>
              <w:numPr>
                <w:ilvl w:val="0"/>
                <w:numId w:val="25"/>
              </w:numPr>
              <w:ind w:left="0" w:firstLine="0"/>
              <w:jc w:val="both"/>
              <w:rPr>
                <w:rFonts w:ascii="Times New Roman" w:eastAsia="Aptos" w:hAnsi="Times New Roman" w:cs="Times New Roman"/>
                <w:bCs/>
                <w:sz w:val="20"/>
                <w:szCs w:val="20"/>
                <w:lang w:eastAsia="en-US"/>
              </w:rPr>
            </w:pPr>
            <w:r w:rsidRPr="0035187E">
              <w:rPr>
                <w:rFonts w:ascii="Times New Roman" w:eastAsia="Aptos" w:hAnsi="Times New Roman" w:cs="Times New Roman"/>
                <w:b/>
                <w:sz w:val="20"/>
                <w:szCs w:val="20"/>
                <w:lang w:eastAsia="en-US"/>
              </w:rPr>
              <w:t>K § 12 odst. 4 písm. d)</w:t>
            </w:r>
          </w:p>
          <w:p w14:paraId="63A40A7A" w14:textId="16F0F453" w:rsidR="00BE73FF" w:rsidRPr="0035187E" w:rsidRDefault="00BE73FF" w:rsidP="0035187E">
            <w:pPr>
              <w:jc w:val="both"/>
              <w:rPr>
                <w:rFonts w:ascii="Times New Roman" w:eastAsia="Aptos" w:hAnsi="Times New Roman" w:cs="Times New Roman"/>
                <w:bCs/>
                <w:sz w:val="20"/>
                <w:szCs w:val="20"/>
                <w:lang w:eastAsia="en-US"/>
              </w:rPr>
            </w:pPr>
            <w:r w:rsidRPr="0035187E">
              <w:rPr>
                <w:rFonts w:ascii="Times New Roman" w:eastAsia="Aptos" w:hAnsi="Times New Roman" w:cs="Times New Roman"/>
                <w:bCs/>
                <w:sz w:val="20"/>
                <w:szCs w:val="20"/>
                <w:lang w:eastAsia="en-US"/>
              </w:rPr>
              <w:t>Doporučujeme nahradit čárku na konci výčtu tečkou.</w:t>
            </w:r>
          </w:p>
        </w:tc>
        <w:tc>
          <w:tcPr>
            <w:tcW w:w="1453" w:type="pct"/>
            <w:tcBorders>
              <w:top w:val="single" w:sz="4" w:space="0" w:color="auto"/>
              <w:left w:val="single" w:sz="4" w:space="0" w:color="auto"/>
              <w:right w:val="single" w:sz="4" w:space="0" w:color="auto"/>
            </w:tcBorders>
            <w:shd w:val="clear" w:color="auto" w:fill="auto"/>
          </w:tcPr>
          <w:p w14:paraId="13682B91" w14:textId="77777777" w:rsidR="00BE73FF" w:rsidRPr="0035187E" w:rsidRDefault="00BE73FF"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Vyhověno.</w:t>
            </w:r>
          </w:p>
          <w:p w14:paraId="2732D5B2" w14:textId="4E544D1D"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tc>
      </w:tr>
      <w:tr w:rsidR="0035187E" w:rsidRPr="0035187E" w14:paraId="7F3EA7C4"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8A5C6E6" w14:textId="70E0163D"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7.</w:t>
            </w:r>
          </w:p>
        </w:tc>
        <w:tc>
          <w:tcPr>
            <w:tcW w:w="583" w:type="pct"/>
            <w:tcBorders>
              <w:top w:val="single" w:sz="4" w:space="0" w:color="auto"/>
              <w:left w:val="single" w:sz="4" w:space="0" w:color="auto"/>
              <w:right w:val="single" w:sz="4" w:space="0" w:color="auto"/>
            </w:tcBorders>
            <w:shd w:val="clear" w:color="auto" w:fill="auto"/>
          </w:tcPr>
          <w:p w14:paraId="6ACC5C04" w14:textId="5FC217CC"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spravedlnosti</w:t>
            </w:r>
          </w:p>
        </w:tc>
        <w:tc>
          <w:tcPr>
            <w:tcW w:w="168" w:type="pct"/>
            <w:tcBorders>
              <w:top w:val="single" w:sz="4" w:space="0" w:color="auto"/>
              <w:left w:val="single" w:sz="4" w:space="0" w:color="auto"/>
              <w:right w:val="single" w:sz="4" w:space="0" w:color="auto"/>
            </w:tcBorders>
            <w:shd w:val="clear" w:color="auto" w:fill="auto"/>
          </w:tcPr>
          <w:p w14:paraId="3CF2E5F6" w14:textId="3E577874"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5.</w:t>
            </w:r>
          </w:p>
        </w:tc>
        <w:tc>
          <w:tcPr>
            <w:tcW w:w="169" w:type="pct"/>
            <w:tcBorders>
              <w:top w:val="single" w:sz="4" w:space="0" w:color="auto"/>
              <w:left w:val="single" w:sz="4" w:space="0" w:color="auto"/>
              <w:right w:val="single" w:sz="4" w:space="0" w:color="auto"/>
            </w:tcBorders>
            <w:shd w:val="clear" w:color="auto" w:fill="auto"/>
          </w:tcPr>
          <w:p w14:paraId="4D6CE668" w14:textId="3CB4CB23"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AA24C7A" w14:textId="77777777" w:rsidR="00BE73FF" w:rsidRPr="0035187E" w:rsidRDefault="00BE73FF" w:rsidP="0035187E">
            <w:pPr>
              <w:numPr>
                <w:ilvl w:val="0"/>
                <w:numId w:val="25"/>
              </w:numPr>
              <w:ind w:left="0" w:firstLine="0"/>
              <w:jc w:val="both"/>
              <w:rPr>
                <w:rFonts w:ascii="Times New Roman" w:eastAsia="Aptos" w:hAnsi="Times New Roman" w:cs="Times New Roman"/>
                <w:bCs/>
                <w:sz w:val="20"/>
                <w:szCs w:val="20"/>
                <w:lang w:eastAsia="en-US"/>
              </w:rPr>
            </w:pPr>
            <w:r w:rsidRPr="0035187E">
              <w:rPr>
                <w:rFonts w:ascii="Times New Roman" w:eastAsia="Aptos" w:hAnsi="Times New Roman" w:cs="Times New Roman"/>
                <w:b/>
                <w:sz w:val="20"/>
                <w:szCs w:val="20"/>
                <w:lang w:eastAsia="en-US"/>
              </w:rPr>
              <w:t>K § 12 odst. 5</w:t>
            </w:r>
          </w:p>
          <w:p w14:paraId="65D00E07" w14:textId="037B3E7A" w:rsidR="00BE73FF" w:rsidRPr="0035187E" w:rsidRDefault="00BE73FF" w:rsidP="0035187E">
            <w:pPr>
              <w:jc w:val="both"/>
              <w:rPr>
                <w:rFonts w:ascii="Times New Roman" w:eastAsia="Aptos" w:hAnsi="Times New Roman" w:cs="Times New Roman"/>
                <w:bCs/>
                <w:sz w:val="20"/>
                <w:szCs w:val="20"/>
                <w:lang w:eastAsia="en-US"/>
              </w:rPr>
            </w:pPr>
            <w:r w:rsidRPr="0035187E">
              <w:rPr>
                <w:rFonts w:ascii="Times New Roman" w:eastAsia="Aptos" w:hAnsi="Times New Roman" w:cs="Times New Roman"/>
                <w:bCs/>
                <w:sz w:val="20"/>
                <w:szCs w:val="20"/>
                <w:lang w:eastAsia="en-US"/>
              </w:rPr>
              <w:t>Doporučujeme opravit chybný odkaz nahrazením slov „</w:t>
            </w:r>
            <w:r w:rsidRPr="0035187E">
              <w:rPr>
                <w:rFonts w:ascii="Times New Roman" w:eastAsia="Aptos" w:hAnsi="Times New Roman" w:cs="Times New Roman"/>
                <w:bCs/>
                <w:i/>
                <w:iCs/>
                <w:sz w:val="20"/>
                <w:szCs w:val="20"/>
                <w:lang w:eastAsia="en-US"/>
              </w:rPr>
              <w:t>odstavci 3 písm. a)“</w:t>
            </w:r>
            <w:r w:rsidRPr="0035187E">
              <w:rPr>
                <w:rFonts w:ascii="Times New Roman" w:eastAsia="Aptos" w:hAnsi="Times New Roman" w:cs="Times New Roman"/>
                <w:bCs/>
                <w:sz w:val="20"/>
                <w:szCs w:val="20"/>
                <w:lang w:eastAsia="en-US"/>
              </w:rPr>
              <w:t xml:space="preserve"> slovy </w:t>
            </w:r>
            <w:r w:rsidRPr="0035187E">
              <w:rPr>
                <w:rFonts w:ascii="Times New Roman" w:eastAsia="Aptos" w:hAnsi="Times New Roman" w:cs="Times New Roman"/>
                <w:bCs/>
                <w:i/>
                <w:iCs/>
                <w:sz w:val="20"/>
                <w:szCs w:val="20"/>
                <w:lang w:eastAsia="en-US"/>
              </w:rPr>
              <w:t>„odstavci 4 písm. a)“</w:t>
            </w:r>
            <w:r w:rsidRPr="0035187E">
              <w:rPr>
                <w:rFonts w:ascii="Times New Roman" w:eastAsia="Aptos" w:hAnsi="Times New Roman" w:cs="Times New Roman"/>
                <w:bCs/>
                <w:sz w:val="20"/>
                <w:szCs w:val="20"/>
                <w:lang w:eastAsia="en-US"/>
              </w:rPr>
              <w:t>.</w:t>
            </w:r>
          </w:p>
        </w:tc>
        <w:tc>
          <w:tcPr>
            <w:tcW w:w="1453" w:type="pct"/>
            <w:tcBorders>
              <w:top w:val="single" w:sz="4" w:space="0" w:color="auto"/>
              <w:left w:val="single" w:sz="4" w:space="0" w:color="auto"/>
              <w:right w:val="single" w:sz="4" w:space="0" w:color="auto"/>
            </w:tcBorders>
            <w:shd w:val="clear" w:color="auto" w:fill="auto"/>
          </w:tcPr>
          <w:p w14:paraId="131F2921" w14:textId="77777777" w:rsidR="00BE73FF" w:rsidRPr="0035187E" w:rsidRDefault="00BE73FF"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Vyhověno.</w:t>
            </w:r>
          </w:p>
          <w:p w14:paraId="2D79976E" w14:textId="77777777"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p w14:paraId="79B7121C" w14:textId="77777777" w:rsidR="00BE73FF" w:rsidRPr="0035187E" w:rsidRDefault="00BE73FF" w:rsidP="0035187E">
            <w:pPr>
              <w:jc w:val="both"/>
              <w:rPr>
                <w:rFonts w:ascii="Times New Roman" w:hAnsi="Times New Roman" w:cs="Times New Roman"/>
                <w:sz w:val="20"/>
                <w:szCs w:val="20"/>
              </w:rPr>
            </w:pPr>
          </w:p>
        </w:tc>
      </w:tr>
      <w:tr w:rsidR="0035187E" w:rsidRPr="0035187E" w14:paraId="5CC6C255"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1B7041D" w14:textId="3417CDD8"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7.</w:t>
            </w:r>
          </w:p>
        </w:tc>
        <w:tc>
          <w:tcPr>
            <w:tcW w:w="583" w:type="pct"/>
            <w:tcBorders>
              <w:top w:val="single" w:sz="4" w:space="0" w:color="auto"/>
              <w:left w:val="single" w:sz="4" w:space="0" w:color="auto"/>
              <w:right w:val="single" w:sz="4" w:space="0" w:color="auto"/>
            </w:tcBorders>
            <w:shd w:val="clear" w:color="auto" w:fill="auto"/>
          </w:tcPr>
          <w:p w14:paraId="05259465" w14:textId="10409E0E"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spravedlnosti</w:t>
            </w:r>
          </w:p>
        </w:tc>
        <w:tc>
          <w:tcPr>
            <w:tcW w:w="168" w:type="pct"/>
            <w:tcBorders>
              <w:top w:val="single" w:sz="4" w:space="0" w:color="auto"/>
              <w:left w:val="single" w:sz="4" w:space="0" w:color="auto"/>
              <w:right w:val="single" w:sz="4" w:space="0" w:color="auto"/>
            </w:tcBorders>
            <w:shd w:val="clear" w:color="auto" w:fill="auto"/>
          </w:tcPr>
          <w:p w14:paraId="0DBAA197" w14:textId="3B1F7CDA"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6.</w:t>
            </w:r>
          </w:p>
        </w:tc>
        <w:tc>
          <w:tcPr>
            <w:tcW w:w="169" w:type="pct"/>
            <w:tcBorders>
              <w:top w:val="single" w:sz="4" w:space="0" w:color="auto"/>
              <w:left w:val="single" w:sz="4" w:space="0" w:color="auto"/>
              <w:right w:val="single" w:sz="4" w:space="0" w:color="auto"/>
            </w:tcBorders>
            <w:shd w:val="clear" w:color="auto" w:fill="auto"/>
          </w:tcPr>
          <w:p w14:paraId="4BD5C87D" w14:textId="42057FA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985A76D" w14:textId="77777777" w:rsidR="00BE73FF" w:rsidRPr="0035187E" w:rsidRDefault="00BE73FF" w:rsidP="0035187E">
            <w:pPr>
              <w:numPr>
                <w:ilvl w:val="0"/>
                <w:numId w:val="25"/>
              </w:numPr>
              <w:ind w:left="0" w:firstLine="0"/>
              <w:jc w:val="both"/>
              <w:rPr>
                <w:rFonts w:ascii="Times New Roman" w:eastAsia="Aptos" w:hAnsi="Times New Roman" w:cs="Times New Roman"/>
                <w:bCs/>
                <w:sz w:val="20"/>
                <w:szCs w:val="20"/>
                <w:lang w:eastAsia="en-US"/>
              </w:rPr>
            </w:pPr>
            <w:r w:rsidRPr="0035187E">
              <w:rPr>
                <w:rFonts w:ascii="Times New Roman" w:eastAsia="Aptos" w:hAnsi="Times New Roman" w:cs="Times New Roman"/>
                <w:b/>
                <w:sz w:val="20"/>
                <w:szCs w:val="20"/>
                <w:lang w:eastAsia="en-US"/>
              </w:rPr>
              <w:t>K § 14 odst. 2 a 3</w:t>
            </w:r>
          </w:p>
          <w:p w14:paraId="7774DCE8" w14:textId="77777777" w:rsidR="00BE73FF" w:rsidRPr="0035187E" w:rsidRDefault="00BE73FF" w:rsidP="0035187E">
            <w:pPr>
              <w:jc w:val="both"/>
              <w:rPr>
                <w:rFonts w:ascii="Times New Roman" w:eastAsia="Aptos" w:hAnsi="Times New Roman" w:cs="Times New Roman"/>
                <w:bCs/>
                <w:sz w:val="20"/>
                <w:szCs w:val="20"/>
                <w:lang w:eastAsia="en-US"/>
              </w:rPr>
            </w:pPr>
            <w:r w:rsidRPr="0035187E">
              <w:rPr>
                <w:rFonts w:ascii="Times New Roman" w:eastAsia="Aptos" w:hAnsi="Times New Roman" w:cs="Times New Roman"/>
                <w:bCs/>
                <w:sz w:val="20"/>
                <w:szCs w:val="20"/>
                <w:lang w:eastAsia="en-US"/>
              </w:rPr>
              <w:lastRenderedPageBreak/>
              <w:t>Návrh mezi kategorie evidenčních jednotek v § 4 písm. a) zahrnuje také provozovnu ve smyslu § 17 živnostenského zákona nebo její obdobu v případě, kdy podnikatelská činnost není živností. Podle § 17 odst. 1 věty druhé živnostenského zákona se za provozovnu považuje i automat nebo obdobné zařízení sloužící k prodeji zboží nebo poskytování služeb, přičemž na tento fakt bez dalšího výkladu odkazuje i zvláštní část důvodové zprávy v odůvodnění k § 4 návrhu.</w:t>
            </w:r>
          </w:p>
          <w:p w14:paraId="594BA817" w14:textId="79DAE663" w:rsidR="00BE73FF" w:rsidRPr="0035187E" w:rsidRDefault="00BE73FF" w:rsidP="0035187E">
            <w:pPr>
              <w:jc w:val="both"/>
              <w:rPr>
                <w:rFonts w:ascii="Times New Roman" w:eastAsia="Aptos" w:hAnsi="Times New Roman" w:cs="Times New Roman"/>
                <w:bCs/>
                <w:sz w:val="20"/>
                <w:szCs w:val="20"/>
                <w:lang w:eastAsia="en-US"/>
              </w:rPr>
            </w:pPr>
            <w:r w:rsidRPr="0035187E">
              <w:rPr>
                <w:rFonts w:ascii="Times New Roman" w:eastAsia="Aptos" w:hAnsi="Times New Roman" w:cs="Times New Roman"/>
                <w:bCs/>
                <w:sz w:val="20"/>
                <w:szCs w:val="20"/>
                <w:lang w:eastAsia="en-US"/>
              </w:rPr>
              <w:t xml:space="preserve">V tomto kontextu považujeme za koncepčně i prakticky problematické a potenciálně nadbytečné vymezení výjimky obsažené v § 14 odst. 2 a 3 návrhu. Pokud bylo cílem navrhovaného § 14 odst. 3 vyjasnit, které zařízení je automatem a které již není, lze mít za postačující právě § 17 odst. 1 živnostenského zákona.  Z metodických výkladů Ministerstva průmyslu a obchodu ohledně rozdílu mezi provozovnou a automatem (srov. </w:t>
            </w:r>
            <w:hyperlink r:id="rId10" w:history="1">
              <w:r w:rsidRPr="0035187E">
                <w:rPr>
                  <w:rFonts w:ascii="Times New Roman" w:eastAsia="Aptos" w:hAnsi="Times New Roman" w:cs="Times New Roman"/>
                  <w:bCs/>
                  <w:sz w:val="20"/>
                  <w:szCs w:val="20"/>
                  <w:u w:val="single"/>
                  <w:lang w:eastAsia="en-US"/>
                </w:rPr>
                <w:t>https://mpo.gov.cz/cz/podnikani/zivnostenske-podnikani/aktualni-informace/dulezite-_-provozovna-versus-automat-v-rezimu-zivnostenskeho-zakona--279282/</w:t>
              </w:r>
            </w:hyperlink>
            <w:r w:rsidRPr="0035187E">
              <w:rPr>
                <w:rFonts w:ascii="Times New Roman" w:eastAsia="Aptos" w:hAnsi="Times New Roman" w:cs="Times New Roman"/>
                <w:bCs/>
                <w:sz w:val="20"/>
                <w:szCs w:val="20"/>
                <w:lang w:eastAsia="en-US"/>
              </w:rPr>
              <w:t>) plyne, že předmětné ustanovení zřejmě pokrývá cíle sledované § 14 návrhu, jestliže  jsou samoobslužná „poloautomatická“ zařízení jako prádelny či mycí linky obsluhované zákazníkem již za současné praxe považována za provozovny.</w:t>
            </w:r>
          </w:p>
          <w:p w14:paraId="5DC56152" w14:textId="77777777" w:rsidR="00BE73FF" w:rsidRPr="0035187E" w:rsidRDefault="00BE73FF" w:rsidP="0035187E">
            <w:pPr>
              <w:jc w:val="both"/>
              <w:rPr>
                <w:rFonts w:ascii="Times New Roman" w:eastAsia="Aptos" w:hAnsi="Times New Roman" w:cs="Times New Roman"/>
                <w:bCs/>
                <w:sz w:val="20"/>
                <w:szCs w:val="20"/>
                <w:lang w:eastAsia="en-US"/>
              </w:rPr>
            </w:pPr>
          </w:p>
          <w:p w14:paraId="467C6547" w14:textId="77777777" w:rsidR="00BE73FF" w:rsidRPr="0035187E" w:rsidRDefault="00BE73FF" w:rsidP="0035187E">
            <w:pPr>
              <w:jc w:val="both"/>
              <w:rPr>
                <w:rFonts w:ascii="Times New Roman" w:eastAsia="Aptos" w:hAnsi="Times New Roman" w:cs="Times New Roman"/>
                <w:bCs/>
                <w:sz w:val="20"/>
                <w:szCs w:val="20"/>
                <w:lang w:eastAsia="en-US"/>
              </w:rPr>
            </w:pPr>
            <w:r w:rsidRPr="0035187E">
              <w:rPr>
                <w:rFonts w:ascii="Times New Roman" w:eastAsia="Aptos" w:hAnsi="Times New Roman" w:cs="Times New Roman"/>
                <w:bCs/>
                <w:sz w:val="20"/>
                <w:szCs w:val="20"/>
                <w:lang w:eastAsia="en-US"/>
              </w:rPr>
              <w:t xml:space="preserve">U „poloautomatických“ zařízení také vyvstává otázka, zda i na ně nelze aplikovat úvahy o náročnosti zajištění infrastruktury pro evidenci tržeb, které jsou v důvodové zprávě vztaženy jen ke „kompletním“ automatům. Z praktického hlediska se zdá být jen zanedbatelný rozdíl v obtížnosti evidování tržeb např. z nápojových automatů oproti samoobslužným stojanovým </w:t>
            </w:r>
            <w:proofErr w:type="spellStart"/>
            <w:r w:rsidRPr="0035187E">
              <w:rPr>
                <w:rFonts w:ascii="Times New Roman" w:eastAsia="Aptos" w:hAnsi="Times New Roman" w:cs="Times New Roman"/>
                <w:bCs/>
                <w:sz w:val="20"/>
                <w:szCs w:val="20"/>
                <w:lang w:eastAsia="en-US"/>
              </w:rPr>
              <w:t>hustičům</w:t>
            </w:r>
            <w:proofErr w:type="spellEnd"/>
            <w:r w:rsidRPr="0035187E">
              <w:rPr>
                <w:rFonts w:ascii="Times New Roman" w:eastAsia="Aptos" w:hAnsi="Times New Roman" w:cs="Times New Roman"/>
                <w:bCs/>
                <w:sz w:val="20"/>
                <w:szCs w:val="20"/>
                <w:lang w:eastAsia="en-US"/>
              </w:rPr>
              <w:t xml:space="preserve"> pneumatik nebo manuálním myčkám přijímajícím pouze hotovost, ačkoliv tyto přístroje již vyžadují aktivní zapojení zákazníka. Řada klasických automatů se navíc zřejmě nachází na pomezí aktivního a pasivního jednání zákazníka (za všechny lze uvést příklad videoherních pinballových automatů nebo výše zmíněných samoobslužných </w:t>
            </w:r>
            <w:proofErr w:type="spellStart"/>
            <w:r w:rsidRPr="0035187E">
              <w:rPr>
                <w:rFonts w:ascii="Times New Roman" w:eastAsia="Aptos" w:hAnsi="Times New Roman" w:cs="Times New Roman"/>
                <w:bCs/>
                <w:sz w:val="20"/>
                <w:szCs w:val="20"/>
                <w:lang w:eastAsia="en-US"/>
              </w:rPr>
              <w:t>hustičů</w:t>
            </w:r>
            <w:proofErr w:type="spellEnd"/>
            <w:r w:rsidRPr="0035187E">
              <w:rPr>
                <w:rFonts w:ascii="Times New Roman" w:eastAsia="Aptos" w:hAnsi="Times New Roman" w:cs="Times New Roman"/>
                <w:bCs/>
                <w:sz w:val="20"/>
                <w:szCs w:val="20"/>
                <w:lang w:eastAsia="en-US"/>
              </w:rPr>
              <w:t>, existujících i ve variantách automaticky dofukujících pneumatiky v závislosti na měřeném tlaku).</w:t>
            </w:r>
          </w:p>
          <w:p w14:paraId="2D46365A" w14:textId="78335C47" w:rsidR="00BE73FF" w:rsidRPr="0035187E" w:rsidRDefault="00BE73FF" w:rsidP="0035187E">
            <w:pPr>
              <w:jc w:val="both"/>
              <w:rPr>
                <w:rFonts w:ascii="Times New Roman" w:eastAsia="Aptos" w:hAnsi="Times New Roman" w:cs="Times New Roman"/>
                <w:bCs/>
                <w:sz w:val="20"/>
                <w:szCs w:val="20"/>
                <w:lang w:eastAsia="en-US"/>
              </w:rPr>
            </w:pPr>
            <w:r w:rsidRPr="0035187E">
              <w:rPr>
                <w:rFonts w:ascii="Times New Roman" w:eastAsia="Aptos" w:hAnsi="Times New Roman" w:cs="Times New Roman"/>
                <w:bCs/>
                <w:sz w:val="20"/>
                <w:szCs w:val="20"/>
                <w:lang w:eastAsia="en-US"/>
              </w:rPr>
              <w:t>Jako možné řešení výše uvedeného problému dáváme ke zvážení dvě varianty. Považujeme za možné zavést jako základní rozlišovací kritérium umístění automatu, tj. vyloučit z evidence pouze tržby z prodeje prostřednictvím samostatných automatů, které nejsou součástí provozovny. Pokud je automat samostatně umístěným zařízením, pak se v souladu s § 17 odst. 1 živnostenského zákona jedná o provozovnu. Pokud je naopak automat umístěn v provozovně (stejného majitele), jedná se o součást této provozovny, což lze dovodit výkladem.</w:t>
            </w:r>
          </w:p>
          <w:p w14:paraId="656819A9" w14:textId="77777777" w:rsidR="00BE73FF" w:rsidRPr="0035187E" w:rsidRDefault="00BE73FF" w:rsidP="0035187E">
            <w:pPr>
              <w:jc w:val="both"/>
              <w:rPr>
                <w:rFonts w:ascii="Times New Roman" w:eastAsia="Aptos" w:hAnsi="Times New Roman" w:cs="Times New Roman"/>
                <w:bCs/>
                <w:sz w:val="20"/>
                <w:szCs w:val="20"/>
                <w:lang w:eastAsia="en-US"/>
              </w:rPr>
            </w:pPr>
          </w:p>
          <w:p w14:paraId="799FE133" w14:textId="65AD4AA0" w:rsidR="00BE73FF" w:rsidRPr="0035187E" w:rsidRDefault="00BE73FF" w:rsidP="0035187E">
            <w:pPr>
              <w:jc w:val="both"/>
              <w:rPr>
                <w:rFonts w:ascii="Times New Roman" w:eastAsia="Aptos" w:hAnsi="Times New Roman" w:cs="Times New Roman"/>
                <w:sz w:val="20"/>
                <w:szCs w:val="20"/>
                <w:lang w:eastAsia="en-US"/>
              </w:rPr>
            </w:pPr>
            <w:r w:rsidRPr="0035187E">
              <w:rPr>
                <w:rFonts w:ascii="Times New Roman" w:eastAsia="Aptos" w:hAnsi="Times New Roman" w:cs="Times New Roman"/>
                <w:bCs/>
                <w:sz w:val="20"/>
                <w:szCs w:val="20"/>
                <w:lang w:eastAsia="en-US"/>
              </w:rPr>
              <w:t>V případě přijetí varianty by tak byly vyloučeny z povinnosti evidovat tržby automaty umístěné jako samostatné provozovny, ať už mimo obchodní prostory nebo v provozovně jiného podnikatele. Stále by tedy byly evidovány tržby ze samoobslužných pokladen v supermarketech, myček na čerpacích stanicích, a dalších, které by i v případě, že by se jednalo o automaty, byly považovány za součást provozovny, ve které se nachází</w:t>
            </w:r>
            <w:r w:rsidRPr="0035187E">
              <w:rPr>
                <w:rFonts w:ascii="Times New Roman" w:eastAsia="Aptos" w:hAnsi="Times New Roman" w:cs="Times New Roman"/>
                <w:sz w:val="20"/>
                <w:szCs w:val="20"/>
                <w:lang w:eastAsia="en-US"/>
              </w:rPr>
              <w:t>.</w:t>
            </w:r>
          </w:p>
          <w:p w14:paraId="4414BAFC" w14:textId="77777777" w:rsidR="00BE73FF" w:rsidRPr="0035187E" w:rsidRDefault="00BE73FF" w:rsidP="0035187E">
            <w:pPr>
              <w:jc w:val="both"/>
              <w:rPr>
                <w:rFonts w:ascii="Times New Roman" w:eastAsia="Aptos" w:hAnsi="Times New Roman" w:cs="Times New Roman"/>
                <w:sz w:val="20"/>
                <w:szCs w:val="20"/>
                <w:lang w:eastAsia="en-US"/>
              </w:rPr>
            </w:pPr>
          </w:p>
          <w:p w14:paraId="058F5ED0" w14:textId="6A562DBC" w:rsidR="00BE73FF" w:rsidRPr="0035187E" w:rsidRDefault="00BE73FF" w:rsidP="0035187E">
            <w:pPr>
              <w:jc w:val="both"/>
              <w:rPr>
                <w:rFonts w:ascii="Times New Roman" w:eastAsia="Aptos" w:hAnsi="Times New Roman" w:cs="Times New Roman"/>
                <w:bCs/>
                <w:sz w:val="20"/>
                <w:szCs w:val="20"/>
                <w:lang w:eastAsia="en-US"/>
              </w:rPr>
            </w:pPr>
            <w:r w:rsidRPr="0035187E">
              <w:rPr>
                <w:rFonts w:ascii="Times New Roman" w:eastAsia="Aptos" w:hAnsi="Times New Roman" w:cs="Times New Roman"/>
                <w:sz w:val="20"/>
                <w:szCs w:val="20"/>
                <w:lang w:eastAsia="en-US"/>
              </w:rPr>
              <w:lastRenderedPageBreak/>
              <w:t>Druhou variantou pak je skrze přechodná ustanovení vyloučit z povinnosti evidovat tržby pouze automaty instalované před účinností zákona. Obě popsané varianty lze také kombinovat.</w:t>
            </w:r>
            <w:r w:rsidRPr="0035187E">
              <w:rPr>
                <w:rFonts w:ascii="Times New Roman" w:eastAsia="Aptos" w:hAnsi="Times New Roman" w:cs="Times New Roman"/>
                <w:bCs/>
                <w:sz w:val="20"/>
                <w:szCs w:val="20"/>
                <w:lang w:eastAsia="en-US"/>
              </w:rPr>
              <w:t xml:space="preserve"> </w:t>
            </w:r>
          </w:p>
          <w:p w14:paraId="07257D7C" w14:textId="77777777" w:rsidR="00BE73FF" w:rsidRPr="0035187E" w:rsidRDefault="00BE73FF" w:rsidP="0035187E">
            <w:pPr>
              <w:jc w:val="both"/>
              <w:rPr>
                <w:rFonts w:ascii="Times New Roman" w:eastAsia="Aptos" w:hAnsi="Times New Roman" w:cs="Times New Roman"/>
                <w:bCs/>
                <w:sz w:val="20"/>
                <w:szCs w:val="20"/>
                <w:lang w:eastAsia="en-US"/>
              </w:rPr>
            </w:pPr>
          </w:p>
          <w:p w14:paraId="6834F9A6" w14:textId="444BBF03" w:rsidR="00BE73FF" w:rsidRPr="0035187E" w:rsidRDefault="00BE73FF" w:rsidP="0035187E">
            <w:pPr>
              <w:jc w:val="both"/>
              <w:rPr>
                <w:rFonts w:ascii="Times New Roman" w:eastAsia="Aptos" w:hAnsi="Times New Roman" w:cs="Times New Roman"/>
                <w:bCs/>
                <w:sz w:val="20"/>
                <w:szCs w:val="20"/>
                <w:lang w:eastAsia="en-US"/>
              </w:rPr>
            </w:pPr>
            <w:r w:rsidRPr="0035187E">
              <w:rPr>
                <w:rFonts w:ascii="Times New Roman" w:eastAsia="Aptos" w:hAnsi="Times New Roman" w:cs="Times New Roman"/>
                <w:bCs/>
                <w:sz w:val="20"/>
                <w:szCs w:val="20"/>
                <w:lang w:eastAsia="en-US"/>
              </w:rPr>
              <w:t xml:space="preserve">V případě zohlednění výše uvedených podnětů je možné například § 14 odst. 2 návrhu doplnit o slova </w:t>
            </w:r>
            <w:r w:rsidRPr="0035187E">
              <w:rPr>
                <w:rFonts w:ascii="Times New Roman" w:eastAsia="Aptos" w:hAnsi="Times New Roman" w:cs="Times New Roman"/>
                <w:bCs/>
                <w:i/>
                <w:iCs/>
                <w:sz w:val="20"/>
                <w:szCs w:val="20"/>
                <w:lang w:eastAsia="en-US"/>
              </w:rPr>
              <w:t>„nebo obdobného zařízení sloužícího k prodeji zboží nebo poskytování služeb, které je samostatnou provozovnou“</w:t>
            </w:r>
            <w:r w:rsidRPr="0035187E">
              <w:rPr>
                <w:rFonts w:ascii="Times New Roman" w:eastAsia="Aptos" w:hAnsi="Times New Roman" w:cs="Times New Roman"/>
                <w:bCs/>
                <w:sz w:val="20"/>
                <w:szCs w:val="20"/>
                <w:lang w:eastAsia="en-US"/>
              </w:rPr>
              <w:t>, vypuštění § 14 odst. 3 návrhu a případné doplnění odpovídajícího přechodného ustanovení ve vztahu ke stávajícím hotovostním automatům. Zároveň by měla být doplněna také důvodová zpráva.</w:t>
            </w:r>
          </w:p>
          <w:p w14:paraId="28EB9C13" w14:textId="77777777" w:rsidR="00BE73FF" w:rsidRPr="0035187E" w:rsidRDefault="00BE73FF" w:rsidP="0035187E">
            <w:pPr>
              <w:jc w:val="both"/>
              <w:rPr>
                <w:rFonts w:ascii="Times New Roman" w:eastAsia="Aptos" w:hAnsi="Times New Roman" w:cs="Times New Roman"/>
                <w:bCs/>
                <w:sz w:val="20"/>
                <w:szCs w:val="20"/>
                <w:lang w:eastAsia="en-US"/>
              </w:rPr>
            </w:pPr>
          </w:p>
          <w:p w14:paraId="535A35F6" w14:textId="77777777" w:rsidR="00BE73FF" w:rsidRPr="0035187E" w:rsidRDefault="00BE73FF" w:rsidP="0035187E">
            <w:pPr>
              <w:jc w:val="both"/>
              <w:rPr>
                <w:rFonts w:ascii="Times New Roman" w:eastAsia="Aptos" w:hAnsi="Times New Roman" w:cs="Times New Roman"/>
                <w:bCs/>
                <w:sz w:val="20"/>
                <w:szCs w:val="20"/>
                <w:lang w:eastAsia="en-US"/>
              </w:rPr>
            </w:pPr>
            <w:r w:rsidRPr="0035187E">
              <w:rPr>
                <w:rFonts w:ascii="Times New Roman" w:eastAsia="Aptos" w:hAnsi="Times New Roman" w:cs="Times New Roman"/>
                <w:bCs/>
                <w:sz w:val="20"/>
                <w:szCs w:val="20"/>
                <w:lang w:eastAsia="en-US"/>
              </w:rPr>
              <w:t>Pokud nebudou předkladatelem výše uvedená východiska přijata a nedojde k zásadnějším formulačním změnám, doporučujeme následující úpravy:</w:t>
            </w:r>
          </w:p>
          <w:p w14:paraId="46D50458" w14:textId="77777777" w:rsidR="00BE73FF" w:rsidRPr="0035187E" w:rsidRDefault="00BE73FF" w:rsidP="0035187E">
            <w:pPr>
              <w:numPr>
                <w:ilvl w:val="0"/>
                <w:numId w:val="26"/>
              </w:numPr>
              <w:ind w:left="0" w:firstLine="0"/>
              <w:jc w:val="both"/>
              <w:rPr>
                <w:rFonts w:ascii="Times New Roman" w:eastAsia="Aptos" w:hAnsi="Times New Roman" w:cs="Times New Roman"/>
                <w:bCs/>
                <w:sz w:val="20"/>
                <w:szCs w:val="20"/>
                <w:lang w:eastAsia="en-US"/>
              </w:rPr>
            </w:pPr>
            <w:r w:rsidRPr="0035187E">
              <w:rPr>
                <w:rFonts w:ascii="Times New Roman" w:eastAsia="Aptos" w:hAnsi="Times New Roman" w:cs="Times New Roman"/>
                <w:bCs/>
                <w:sz w:val="20"/>
                <w:szCs w:val="20"/>
                <w:lang w:eastAsia="en-US"/>
              </w:rPr>
              <w:t>Vypuštění odkazu ve zvláštní části důvodové zprávy na samoobslužný prodej ve smyslu § 2160 odst. 2 občanského zákoníku, neboť ten není vymezen absencí personálu, nýbrž absencí pultového prodeje, tj. vztahuje se na všechny samoobslužné prodejny.</w:t>
            </w:r>
          </w:p>
          <w:p w14:paraId="63794ACF" w14:textId="1B56F2CA" w:rsidR="00BE73FF" w:rsidRPr="0035187E" w:rsidRDefault="00BE73FF" w:rsidP="0035187E">
            <w:pPr>
              <w:numPr>
                <w:ilvl w:val="0"/>
                <w:numId w:val="26"/>
              </w:numPr>
              <w:ind w:left="0" w:firstLine="0"/>
              <w:jc w:val="both"/>
              <w:rPr>
                <w:rFonts w:ascii="Times New Roman" w:eastAsia="Aptos" w:hAnsi="Times New Roman" w:cs="Times New Roman"/>
                <w:bCs/>
                <w:sz w:val="20"/>
                <w:szCs w:val="20"/>
                <w:lang w:eastAsia="en-US"/>
              </w:rPr>
            </w:pPr>
            <w:r w:rsidRPr="0035187E">
              <w:rPr>
                <w:rFonts w:ascii="Times New Roman" w:eastAsia="Aptos" w:hAnsi="Times New Roman" w:cs="Times New Roman"/>
                <w:bCs/>
                <w:sz w:val="20"/>
                <w:szCs w:val="20"/>
                <w:lang w:eastAsia="en-US"/>
              </w:rPr>
              <w:t xml:space="preserve">Úpravu pasáže zvláštní části důvodové zprávy, ve které se uvádí, že prvek samoobslužnosti odlišuje prodej podle § 14 odst. 4 návrhu od prodeje skrze automat podle § 14 odst. 3 návrhu, ačkoliv ten je v návrhu definičně vymezen mj. jako „samoobslužné technické zařízení“. Pokud bylo záměrem předkladatele důsledně rozlišovat mezi „samoobslužným zařízením“ a „automatem“, pak navrhujeme nahradit slovo „samoobslužné“ v § 14 odst. 3 návrhu slovem „samočinné“, což je vhodný český ekvivalent slova „automatický“ užitý např. v zákoně č. 90/2024 Sb., o zbraních a střelivu, a mj. zmíněný i v důvodové zprávě.  </w:t>
            </w:r>
          </w:p>
        </w:tc>
        <w:tc>
          <w:tcPr>
            <w:tcW w:w="1453" w:type="pct"/>
            <w:tcBorders>
              <w:top w:val="single" w:sz="4" w:space="0" w:color="auto"/>
              <w:left w:val="single" w:sz="4" w:space="0" w:color="auto"/>
              <w:right w:val="single" w:sz="4" w:space="0" w:color="auto"/>
            </w:tcBorders>
            <w:shd w:val="clear" w:color="auto" w:fill="auto"/>
          </w:tcPr>
          <w:p w14:paraId="5E244D49" w14:textId="77777777" w:rsidR="003669B8" w:rsidRPr="0035187E" w:rsidRDefault="00CB3A56"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 xml:space="preserve">Vyhověno </w:t>
            </w:r>
            <w:r w:rsidR="003669B8" w:rsidRPr="0035187E">
              <w:rPr>
                <w:rFonts w:ascii="Times New Roman" w:hAnsi="Times New Roman" w:cs="Times New Roman"/>
                <w:b/>
                <w:sz w:val="20"/>
                <w:szCs w:val="20"/>
              </w:rPr>
              <w:t>částečně.</w:t>
            </w:r>
          </w:p>
          <w:p w14:paraId="3F37DA84" w14:textId="50CCB5C8" w:rsidR="00CB3A56" w:rsidRPr="0035187E" w:rsidRDefault="00CB3A56" w:rsidP="0035187E">
            <w:pPr>
              <w:jc w:val="both"/>
              <w:rPr>
                <w:rFonts w:ascii="Times New Roman" w:hAnsi="Times New Roman" w:cs="Times New Roman"/>
                <w:sz w:val="20"/>
                <w:szCs w:val="20"/>
                <w:highlight w:val="yellow"/>
              </w:rPr>
            </w:pPr>
            <w:r w:rsidRPr="0035187E">
              <w:rPr>
                <w:rFonts w:ascii="Times New Roman" w:hAnsi="Times New Roman" w:cs="Times New Roman"/>
                <w:sz w:val="20"/>
                <w:szCs w:val="20"/>
              </w:rPr>
              <w:lastRenderedPageBreak/>
              <w:t>Návrh byl upraven ve prospěch</w:t>
            </w:r>
            <w:r w:rsidR="003669B8" w:rsidRPr="0035187E">
              <w:rPr>
                <w:rFonts w:ascii="Times New Roman" w:hAnsi="Times New Roman" w:cs="Times New Roman"/>
                <w:sz w:val="20"/>
                <w:szCs w:val="20"/>
              </w:rPr>
              <w:t xml:space="preserve"> doplnění podmínky, že musí jít o automat, který je provozovnou ve smyslu živnostenského zákona, čímž by měla být z výjimky vyloučena zařízení, která jsou součástí provozovny</w:t>
            </w:r>
            <w:r w:rsidR="002A5448" w:rsidRPr="0035187E">
              <w:rPr>
                <w:rFonts w:ascii="Times New Roman" w:hAnsi="Times New Roman" w:cs="Times New Roman"/>
                <w:sz w:val="20"/>
                <w:szCs w:val="20"/>
              </w:rPr>
              <w:t>.</w:t>
            </w:r>
          </w:p>
        </w:tc>
      </w:tr>
      <w:tr w:rsidR="0035187E" w:rsidRPr="0035187E" w14:paraId="68D6CEF9"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01A228D" w14:textId="19FC369C"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7.</w:t>
            </w:r>
          </w:p>
        </w:tc>
        <w:tc>
          <w:tcPr>
            <w:tcW w:w="583" w:type="pct"/>
            <w:tcBorders>
              <w:top w:val="single" w:sz="4" w:space="0" w:color="auto"/>
              <w:left w:val="single" w:sz="4" w:space="0" w:color="auto"/>
              <w:right w:val="single" w:sz="4" w:space="0" w:color="auto"/>
            </w:tcBorders>
            <w:shd w:val="clear" w:color="auto" w:fill="auto"/>
          </w:tcPr>
          <w:p w14:paraId="15AC55BD" w14:textId="7BC7C8FF"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spravedlnosti</w:t>
            </w:r>
          </w:p>
        </w:tc>
        <w:tc>
          <w:tcPr>
            <w:tcW w:w="168" w:type="pct"/>
            <w:tcBorders>
              <w:top w:val="single" w:sz="4" w:space="0" w:color="auto"/>
              <w:left w:val="single" w:sz="4" w:space="0" w:color="auto"/>
              <w:right w:val="single" w:sz="4" w:space="0" w:color="auto"/>
            </w:tcBorders>
            <w:shd w:val="clear" w:color="auto" w:fill="auto"/>
          </w:tcPr>
          <w:p w14:paraId="0F61F753" w14:textId="3B2E1B4F"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7.</w:t>
            </w:r>
          </w:p>
        </w:tc>
        <w:tc>
          <w:tcPr>
            <w:tcW w:w="169" w:type="pct"/>
            <w:tcBorders>
              <w:top w:val="single" w:sz="4" w:space="0" w:color="auto"/>
              <w:left w:val="single" w:sz="4" w:space="0" w:color="auto"/>
              <w:right w:val="single" w:sz="4" w:space="0" w:color="auto"/>
            </w:tcBorders>
            <w:shd w:val="clear" w:color="auto" w:fill="auto"/>
          </w:tcPr>
          <w:p w14:paraId="3C59DF74" w14:textId="72DA69BB"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B379F05" w14:textId="77777777" w:rsidR="00BE73FF" w:rsidRPr="0035187E" w:rsidRDefault="00BE73FF" w:rsidP="0035187E">
            <w:pPr>
              <w:numPr>
                <w:ilvl w:val="0"/>
                <w:numId w:val="25"/>
              </w:numPr>
              <w:ind w:left="0" w:firstLine="0"/>
              <w:jc w:val="both"/>
              <w:rPr>
                <w:rFonts w:ascii="Times New Roman" w:eastAsia="Aptos" w:hAnsi="Times New Roman" w:cs="Times New Roman"/>
                <w:bCs/>
                <w:sz w:val="20"/>
                <w:szCs w:val="20"/>
                <w:lang w:eastAsia="en-US"/>
              </w:rPr>
            </w:pPr>
            <w:r w:rsidRPr="0035187E">
              <w:rPr>
                <w:rFonts w:ascii="Times New Roman" w:eastAsia="Aptos" w:hAnsi="Times New Roman" w:cs="Times New Roman"/>
                <w:b/>
                <w:sz w:val="20"/>
                <w:szCs w:val="20"/>
                <w:lang w:eastAsia="en-US"/>
              </w:rPr>
              <w:t>K § 14 odst. 2 a 3</w:t>
            </w:r>
          </w:p>
          <w:p w14:paraId="2FDC72FC" w14:textId="71CF5167" w:rsidR="00BE73FF" w:rsidRPr="0035187E" w:rsidRDefault="00BE73FF" w:rsidP="0035187E">
            <w:pPr>
              <w:jc w:val="both"/>
              <w:rPr>
                <w:rFonts w:ascii="Times New Roman" w:eastAsia="Aptos" w:hAnsi="Times New Roman" w:cs="Times New Roman"/>
                <w:bCs/>
                <w:sz w:val="20"/>
                <w:szCs w:val="20"/>
                <w:lang w:eastAsia="en-US"/>
              </w:rPr>
            </w:pPr>
            <w:r w:rsidRPr="0035187E">
              <w:rPr>
                <w:rFonts w:ascii="Times New Roman" w:eastAsia="Aptos" w:hAnsi="Times New Roman" w:cs="Times New Roman"/>
                <w:bCs/>
                <w:sz w:val="20"/>
                <w:szCs w:val="20"/>
                <w:lang w:eastAsia="en-US"/>
              </w:rPr>
              <w:t>Doporučujeme z obou ustanovení vypustit slovo „prodejního“. Použití termínu „automat“ bez přívlastku terminologicky navazuje na § 17 živnostenského zákona, („</w:t>
            </w:r>
            <w:r w:rsidRPr="0035187E">
              <w:rPr>
                <w:rFonts w:ascii="Times New Roman" w:eastAsia="Aptos" w:hAnsi="Times New Roman" w:cs="Times New Roman"/>
                <w:bCs/>
                <w:i/>
                <w:iCs/>
                <w:sz w:val="20"/>
                <w:szCs w:val="20"/>
                <w:lang w:eastAsia="en-US"/>
              </w:rPr>
              <w:t>za provozovnu se považuje i automat nebo obdobné zařízení sloužící k prodeji zboží nebo poskytování služeb</w:t>
            </w:r>
            <w:r w:rsidRPr="0035187E">
              <w:rPr>
                <w:rFonts w:ascii="Times New Roman" w:eastAsia="Aptos" w:hAnsi="Times New Roman" w:cs="Times New Roman"/>
                <w:bCs/>
                <w:sz w:val="20"/>
                <w:szCs w:val="20"/>
                <w:lang w:eastAsia="en-US"/>
              </w:rPr>
              <w:t>“), na který je v odkazováno v odůvodnění k § 4 návrhu. Navíc některé jiné právní předpisy [viz např. § 27a odst. 1 písm. c) zákona č. 166/1999 Sb., veterinární zákon, či § 16a odst. 1 písm. d) zákona č. 65/2017 Sb.,</w:t>
            </w:r>
            <w:r w:rsidRPr="0035187E">
              <w:rPr>
                <w:rFonts w:ascii="Times New Roman" w:eastAsia="Aptos" w:hAnsi="Times New Roman" w:cs="Times New Roman"/>
                <w:sz w:val="20"/>
                <w:szCs w:val="20"/>
                <w:lang w:eastAsia="en-US"/>
              </w:rPr>
              <w:t xml:space="preserve"> </w:t>
            </w:r>
            <w:r w:rsidRPr="0035187E">
              <w:rPr>
                <w:rFonts w:ascii="Times New Roman" w:eastAsia="Aptos" w:hAnsi="Times New Roman" w:cs="Times New Roman"/>
                <w:bCs/>
                <w:sz w:val="20"/>
                <w:szCs w:val="20"/>
                <w:lang w:eastAsia="en-US"/>
              </w:rPr>
              <w:t>o ochraně zdraví před škodlivými účinky návykových látek, srov. ale § 1840 písm. i) občanského zákoníku] zřejmě implicitně terminologicky rozlišují mezi automaty a prodejními automaty, kdy použití termínu „prodejní automat“ vylučuje automaty poskytující služby, jako jsou např. automatické fotobuňky či dětské vláčky (srov. také komentář k § 17 odst. 1 a 2 živnostenského zákona in Kameník, Hrabánková, Orlová:</w:t>
            </w:r>
            <w:r w:rsidRPr="0035187E">
              <w:rPr>
                <w:rFonts w:ascii="Times New Roman" w:eastAsia="Aptos" w:hAnsi="Times New Roman" w:cs="Times New Roman"/>
                <w:bCs/>
                <w:i/>
                <w:iCs/>
                <w:sz w:val="20"/>
                <w:szCs w:val="20"/>
                <w:lang w:eastAsia="en-US"/>
              </w:rPr>
              <w:t xml:space="preserve"> Živnostenský zákon: zákon o živnostenských úřadech: komentář. </w:t>
            </w:r>
            <w:r w:rsidRPr="0035187E">
              <w:rPr>
                <w:rFonts w:ascii="Times New Roman" w:eastAsia="Aptos" w:hAnsi="Times New Roman" w:cs="Times New Roman"/>
                <w:bCs/>
                <w:sz w:val="20"/>
                <w:szCs w:val="20"/>
                <w:lang w:eastAsia="en-US"/>
              </w:rPr>
              <w:t xml:space="preserve">Praha: </w:t>
            </w:r>
            <w:proofErr w:type="spellStart"/>
            <w:r w:rsidRPr="0035187E">
              <w:rPr>
                <w:rFonts w:ascii="Times New Roman" w:eastAsia="Aptos" w:hAnsi="Times New Roman" w:cs="Times New Roman"/>
                <w:bCs/>
                <w:sz w:val="20"/>
                <w:szCs w:val="20"/>
                <w:lang w:eastAsia="en-US"/>
              </w:rPr>
              <w:t>Wolters</w:t>
            </w:r>
            <w:proofErr w:type="spellEnd"/>
            <w:r w:rsidRPr="0035187E">
              <w:rPr>
                <w:rFonts w:ascii="Times New Roman" w:eastAsia="Aptos" w:hAnsi="Times New Roman" w:cs="Times New Roman"/>
                <w:bCs/>
                <w:sz w:val="20"/>
                <w:szCs w:val="20"/>
                <w:lang w:eastAsia="en-US"/>
              </w:rPr>
              <w:t xml:space="preserve"> </w:t>
            </w:r>
            <w:proofErr w:type="spellStart"/>
            <w:r w:rsidRPr="0035187E">
              <w:rPr>
                <w:rFonts w:ascii="Times New Roman" w:eastAsia="Aptos" w:hAnsi="Times New Roman" w:cs="Times New Roman"/>
                <w:bCs/>
                <w:sz w:val="20"/>
                <w:szCs w:val="20"/>
                <w:lang w:eastAsia="en-US"/>
              </w:rPr>
              <w:t>Kluwer</w:t>
            </w:r>
            <w:proofErr w:type="spellEnd"/>
            <w:r w:rsidRPr="0035187E">
              <w:rPr>
                <w:rFonts w:ascii="Times New Roman" w:eastAsia="Aptos" w:hAnsi="Times New Roman" w:cs="Times New Roman"/>
                <w:bCs/>
                <w:sz w:val="20"/>
                <w:szCs w:val="20"/>
                <w:lang w:eastAsia="en-US"/>
              </w:rPr>
              <w:t xml:space="preserve">, 2014). </w:t>
            </w:r>
          </w:p>
          <w:p w14:paraId="3972C7B7" w14:textId="77777777" w:rsidR="00BE73FF" w:rsidRPr="0035187E" w:rsidRDefault="00BE73FF" w:rsidP="0035187E">
            <w:pPr>
              <w:jc w:val="both"/>
              <w:rPr>
                <w:rFonts w:ascii="Times New Roman" w:eastAsia="Aptos" w:hAnsi="Times New Roman" w:cs="Times New Roman"/>
                <w:bCs/>
                <w:sz w:val="20"/>
                <w:szCs w:val="20"/>
                <w:lang w:eastAsia="en-US"/>
              </w:rPr>
            </w:pPr>
          </w:p>
          <w:p w14:paraId="5EDE36BC" w14:textId="168E6FB9" w:rsidR="00BE73FF" w:rsidRPr="0035187E" w:rsidRDefault="00BE73FF" w:rsidP="0035187E">
            <w:pPr>
              <w:jc w:val="both"/>
              <w:rPr>
                <w:rFonts w:ascii="Times New Roman" w:eastAsia="Aptos" w:hAnsi="Times New Roman" w:cs="Times New Roman"/>
                <w:bCs/>
                <w:sz w:val="20"/>
                <w:szCs w:val="20"/>
                <w:lang w:eastAsia="en-US"/>
              </w:rPr>
            </w:pPr>
            <w:r w:rsidRPr="0035187E">
              <w:rPr>
                <w:rFonts w:ascii="Times New Roman" w:eastAsia="Aptos" w:hAnsi="Times New Roman" w:cs="Times New Roman"/>
                <w:bCs/>
                <w:sz w:val="20"/>
                <w:szCs w:val="20"/>
                <w:lang w:eastAsia="en-US"/>
              </w:rPr>
              <w:t>Obecnější označení „automat“ se tak zejména vzhledem k dikci § 17 odst. 1 živnostenského zákona zdá být vhodnější k zachování terminologické jednotnosti a k zamezení případných nejasností ohledně šíře pojmu „prodejní automat“ v jiných předpisech.</w:t>
            </w:r>
          </w:p>
        </w:tc>
        <w:tc>
          <w:tcPr>
            <w:tcW w:w="1453" w:type="pct"/>
            <w:tcBorders>
              <w:top w:val="single" w:sz="4" w:space="0" w:color="auto"/>
              <w:left w:val="single" w:sz="4" w:space="0" w:color="auto"/>
              <w:right w:val="single" w:sz="4" w:space="0" w:color="auto"/>
            </w:tcBorders>
            <w:shd w:val="clear" w:color="auto" w:fill="auto"/>
          </w:tcPr>
          <w:p w14:paraId="770B3279" w14:textId="77777777" w:rsidR="002773BB" w:rsidRPr="0035187E" w:rsidRDefault="002773BB"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Vyhověno.</w:t>
            </w:r>
          </w:p>
          <w:p w14:paraId="039C49FE" w14:textId="77777777" w:rsidR="002773BB" w:rsidRPr="0035187E" w:rsidRDefault="002773BB"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p w14:paraId="0DE6C316" w14:textId="5A4DD5AD" w:rsidR="00BE73FF" w:rsidRPr="0035187E" w:rsidRDefault="00BE73FF" w:rsidP="0035187E">
            <w:pPr>
              <w:jc w:val="both"/>
              <w:rPr>
                <w:rFonts w:ascii="Times New Roman" w:hAnsi="Times New Roman" w:cs="Times New Roman"/>
                <w:sz w:val="20"/>
                <w:szCs w:val="20"/>
              </w:rPr>
            </w:pPr>
          </w:p>
        </w:tc>
      </w:tr>
      <w:tr w:rsidR="0035187E" w:rsidRPr="0035187E" w14:paraId="619F40F0"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3CF1834" w14:textId="3A76E608"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7.</w:t>
            </w:r>
          </w:p>
        </w:tc>
        <w:tc>
          <w:tcPr>
            <w:tcW w:w="583" w:type="pct"/>
            <w:tcBorders>
              <w:top w:val="single" w:sz="4" w:space="0" w:color="auto"/>
              <w:left w:val="single" w:sz="4" w:space="0" w:color="auto"/>
              <w:right w:val="single" w:sz="4" w:space="0" w:color="auto"/>
            </w:tcBorders>
            <w:shd w:val="clear" w:color="auto" w:fill="auto"/>
          </w:tcPr>
          <w:p w14:paraId="0AE02C08" w14:textId="7E63A36F"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spravedlnosti</w:t>
            </w:r>
          </w:p>
        </w:tc>
        <w:tc>
          <w:tcPr>
            <w:tcW w:w="168" w:type="pct"/>
            <w:tcBorders>
              <w:top w:val="single" w:sz="4" w:space="0" w:color="auto"/>
              <w:left w:val="single" w:sz="4" w:space="0" w:color="auto"/>
              <w:right w:val="single" w:sz="4" w:space="0" w:color="auto"/>
            </w:tcBorders>
            <w:shd w:val="clear" w:color="auto" w:fill="auto"/>
          </w:tcPr>
          <w:p w14:paraId="5505D7AB" w14:textId="5377341E"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8.</w:t>
            </w:r>
          </w:p>
        </w:tc>
        <w:tc>
          <w:tcPr>
            <w:tcW w:w="169" w:type="pct"/>
            <w:tcBorders>
              <w:top w:val="single" w:sz="4" w:space="0" w:color="auto"/>
              <w:left w:val="single" w:sz="4" w:space="0" w:color="auto"/>
              <w:right w:val="single" w:sz="4" w:space="0" w:color="auto"/>
            </w:tcBorders>
            <w:shd w:val="clear" w:color="auto" w:fill="auto"/>
          </w:tcPr>
          <w:p w14:paraId="5C2F8DC4" w14:textId="1F173E2A"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67A55FA" w14:textId="77777777" w:rsidR="00BE73FF" w:rsidRPr="0035187E" w:rsidRDefault="00BE73FF" w:rsidP="0035187E">
            <w:pPr>
              <w:numPr>
                <w:ilvl w:val="0"/>
                <w:numId w:val="25"/>
              </w:numPr>
              <w:ind w:left="0" w:firstLine="0"/>
              <w:jc w:val="both"/>
              <w:rPr>
                <w:rFonts w:ascii="Times New Roman" w:eastAsia="Aptos" w:hAnsi="Times New Roman" w:cs="Times New Roman"/>
                <w:bCs/>
                <w:sz w:val="20"/>
                <w:szCs w:val="20"/>
                <w:lang w:eastAsia="en-US"/>
              </w:rPr>
            </w:pPr>
            <w:r w:rsidRPr="0035187E">
              <w:rPr>
                <w:rFonts w:ascii="Times New Roman" w:eastAsia="Aptos" w:hAnsi="Times New Roman" w:cs="Times New Roman"/>
                <w:sz w:val="20"/>
                <w:szCs w:val="20"/>
                <w:lang w:eastAsia="en-US"/>
              </w:rPr>
              <w:t>K § 14 odst. 4</w:t>
            </w:r>
          </w:p>
          <w:p w14:paraId="275E7F75" w14:textId="419772BD" w:rsidR="00BE73FF" w:rsidRPr="0035187E" w:rsidRDefault="00BE73FF" w:rsidP="0035187E">
            <w:pPr>
              <w:jc w:val="both"/>
              <w:rPr>
                <w:rFonts w:ascii="Times New Roman" w:eastAsia="Aptos" w:hAnsi="Times New Roman" w:cs="Times New Roman"/>
                <w:bCs/>
                <w:sz w:val="20"/>
                <w:szCs w:val="20"/>
                <w:lang w:eastAsia="en-US"/>
              </w:rPr>
            </w:pPr>
            <w:r w:rsidRPr="0035187E">
              <w:rPr>
                <w:rFonts w:ascii="Times New Roman" w:eastAsia="Aptos" w:hAnsi="Times New Roman" w:cs="Times New Roman"/>
                <w:bCs/>
                <w:sz w:val="20"/>
                <w:szCs w:val="20"/>
                <w:lang w:eastAsia="en-US"/>
              </w:rPr>
              <w:t>Doporučujeme vypuštění kritéria „umístění mimo provozovnu“ v § 14 odst. 4 návrhu, které se jeví jako nadbytečné. Pokud se takové zařízení bude nacházet v provozovně stejného majitele, pak by se mělo jednat o součást této provozovny a výjimka by se na něj neměla vztahovat. Pod navrhovanou výjimkou navíc při současném znění nespadají samoobslužná zařízení, která jsou umístěná v prostorách provozovny jiného provozovatele, což se nezdá být v souladu se záměrem předkladatele.</w:t>
            </w:r>
          </w:p>
        </w:tc>
        <w:tc>
          <w:tcPr>
            <w:tcW w:w="1453" w:type="pct"/>
            <w:tcBorders>
              <w:top w:val="single" w:sz="4" w:space="0" w:color="auto"/>
              <w:left w:val="single" w:sz="4" w:space="0" w:color="auto"/>
              <w:right w:val="single" w:sz="4" w:space="0" w:color="auto"/>
            </w:tcBorders>
            <w:shd w:val="clear" w:color="auto" w:fill="auto"/>
          </w:tcPr>
          <w:p w14:paraId="06D86AA4" w14:textId="77777777" w:rsidR="00BE73FF" w:rsidRPr="0035187E" w:rsidRDefault="002773BB" w:rsidP="0035187E">
            <w:pPr>
              <w:jc w:val="both"/>
              <w:rPr>
                <w:rFonts w:ascii="Times New Roman" w:hAnsi="Times New Roman" w:cs="Times New Roman"/>
                <w:b/>
                <w:sz w:val="20"/>
                <w:szCs w:val="20"/>
              </w:rPr>
            </w:pPr>
            <w:r w:rsidRPr="0035187E">
              <w:rPr>
                <w:rFonts w:ascii="Times New Roman" w:hAnsi="Times New Roman" w:cs="Times New Roman"/>
                <w:b/>
                <w:sz w:val="20"/>
                <w:szCs w:val="20"/>
              </w:rPr>
              <w:t>Nevyhověno.</w:t>
            </w:r>
          </w:p>
          <w:p w14:paraId="6F4C6A84" w14:textId="320BBB18" w:rsidR="002773BB" w:rsidRPr="0035187E" w:rsidRDefault="002773BB" w:rsidP="0035187E">
            <w:pPr>
              <w:jc w:val="both"/>
              <w:rPr>
                <w:rFonts w:ascii="Times New Roman" w:hAnsi="Times New Roman" w:cs="Times New Roman"/>
                <w:sz w:val="20"/>
                <w:szCs w:val="20"/>
              </w:rPr>
            </w:pPr>
            <w:r w:rsidRPr="0035187E">
              <w:rPr>
                <w:rFonts w:ascii="Times New Roman" w:hAnsi="Times New Roman" w:cs="Times New Roman"/>
                <w:sz w:val="20"/>
                <w:szCs w:val="20"/>
              </w:rPr>
              <w:t>Z důvodů prevence sporů bude podmínka zachována, aby nebylo pochyb o tom, že samoobslužné zařízení umístěné v jakékoli provozovně do výjimky nespadá (např. samoobslužné pokladny).</w:t>
            </w:r>
          </w:p>
        </w:tc>
      </w:tr>
      <w:tr w:rsidR="0035187E" w:rsidRPr="0035187E" w14:paraId="3AAD2162"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F5B854B" w14:textId="4F81D40E"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7.</w:t>
            </w:r>
          </w:p>
        </w:tc>
        <w:tc>
          <w:tcPr>
            <w:tcW w:w="583" w:type="pct"/>
            <w:tcBorders>
              <w:top w:val="single" w:sz="4" w:space="0" w:color="auto"/>
              <w:left w:val="single" w:sz="4" w:space="0" w:color="auto"/>
              <w:right w:val="single" w:sz="4" w:space="0" w:color="auto"/>
            </w:tcBorders>
            <w:shd w:val="clear" w:color="auto" w:fill="auto"/>
          </w:tcPr>
          <w:p w14:paraId="25157E31" w14:textId="42B10B4E"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spravedlnosti</w:t>
            </w:r>
          </w:p>
        </w:tc>
        <w:tc>
          <w:tcPr>
            <w:tcW w:w="168" w:type="pct"/>
            <w:tcBorders>
              <w:top w:val="single" w:sz="4" w:space="0" w:color="auto"/>
              <w:left w:val="single" w:sz="4" w:space="0" w:color="auto"/>
              <w:right w:val="single" w:sz="4" w:space="0" w:color="auto"/>
            </w:tcBorders>
            <w:shd w:val="clear" w:color="auto" w:fill="auto"/>
          </w:tcPr>
          <w:p w14:paraId="4496DFAA" w14:textId="1827A232"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9.</w:t>
            </w:r>
          </w:p>
        </w:tc>
        <w:tc>
          <w:tcPr>
            <w:tcW w:w="169" w:type="pct"/>
            <w:tcBorders>
              <w:top w:val="single" w:sz="4" w:space="0" w:color="auto"/>
              <w:left w:val="single" w:sz="4" w:space="0" w:color="auto"/>
              <w:right w:val="single" w:sz="4" w:space="0" w:color="auto"/>
            </w:tcBorders>
            <w:shd w:val="clear" w:color="auto" w:fill="auto"/>
          </w:tcPr>
          <w:p w14:paraId="6B0F49A2" w14:textId="43860725"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F24DEE2" w14:textId="77777777" w:rsidR="00BE73FF" w:rsidRPr="0035187E" w:rsidRDefault="00BE73FF" w:rsidP="0035187E">
            <w:pPr>
              <w:numPr>
                <w:ilvl w:val="0"/>
                <w:numId w:val="25"/>
              </w:numPr>
              <w:ind w:left="0" w:firstLine="0"/>
              <w:jc w:val="both"/>
              <w:rPr>
                <w:rFonts w:ascii="Times New Roman" w:eastAsia="Aptos" w:hAnsi="Times New Roman" w:cs="Times New Roman"/>
                <w:bCs/>
                <w:sz w:val="20"/>
                <w:szCs w:val="20"/>
                <w:lang w:eastAsia="en-US"/>
              </w:rPr>
            </w:pPr>
            <w:r w:rsidRPr="0035187E">
              <w:rPr>
                <w:rFonts w:ascii="Times New Roman" w:eastAsia="Aptos" w:hAnsi="Times New Roman" w:cs="Times New Roman"/>
                <w:b/>
                <w:sz w:val="20"/>
                <w:szCs w:val="20"/>
                <w:lang w:eastAsia="en-US"/>
              </w:rPr>
              <w:t>K § 14 odst. 5 písm. c)</w:t>
            </w:r>
          </w:p>
          <w:p w14:paraId="4488B3A1" w14:textId="78C01203" w:rsidR="00BE73FF" w:rsidRPr="0035187E" w:rsidRDefault="00BE73FF" w:rsidP="0035187E">
            <w:pPr>
              <w:jc w:val="both"/>
              <w:rPr>
                <w:rFonts w:ascii="Times New Roman" w:eastAsia="Aptos" w:hAnsi="Times New Roman" w:cs="Times New Roman"/>
                <w:bCs/>
                <w:sz w:val="20"/>
                <w:szCs w:val="20"/>
                <w:lang w:eastAsia="en-US"/>
              </w:rPr>
            </w:pPr>
            <w:r w:rsidRPr="0035187E">
              <w:rPr>
                <w:rFonts w:ascii="Times New Roman" w:eastAsia="Aptos" w:hAnsi="Times New Roman" w:cs="Times New Roman"/>
                <w:bCs/>
                <w:sz w:val="20"/>
                <w:szCs w:val="20"/>
                <w:lang w:eastAsia="en-US"/>
              </w:rPr>
              <w:t xml:space="preserve">Doporučujeme vyjasnit stanovení výjimky pro tržbu z provozování veřejných toalet, která byla převzata z původního zákona č. 112/2016 Sb. Důvodová zpráva hovoří o tom, že se jedná o nízkopříjmové poskytování veřejné služby, přičemž uvalení režimu evidence by mohlo způsobit snížení nabídky služeb v rámci uvedeného typu podnikání. Není však zřejmé, zda předmětná služba je jedinou, která splňuje v důvodové zprávě uvedené parametry a proč případně jiné obdobné služby do výjimky zahrnuty nebyly. Navíc nízkopříjmoví podnikatelé by obecně měli být podchyceni možností přihlásit se k přirážce zprošťující povinnosti evidovat tržby, výjimka se tak zdá být nadbytečná a vybočující z koncepce nové úpravy. Doporučujeme proto zvážit důvodnost uvedené výjimky. </w:t>
            </w:r>
          </w:p>
        </w:tc>
        <w:tc>
          <w:tcPr>
            <w:tcW w:w="1453" w:type="pct"/>
            <w:tcBorders>
              <w:top w:val="single" w:sz="4" w:space="0" w:color="auto"/>
              <w:left w:val="single" w:sz="4" w:space="0" w:color="auto"/>
              <w:right w:val="single" w:sz="4" w:space="0" w:color="auto"/>
            </w:tcBorders>
            <w:shd w:val="clear" w:color="auto" w:fill="auto"/>
          </w:tcPr>
          <w:p w14:paraId="7690875A" w14:textId="77777777" w:rsidR="00D15238" w:rsidRPr="0035187E" w:rsidRDefault="00D15238" w:rsidP="0035187E">
            <w:pPr>
              <w:jc w:val="both"/>
              <w:rPr>
                <w:rFonts w:ascii="Times New Roman" w:hAnsi="Times New Roman" w:cs="Times New Roman"/>
                <w:b/>
                <w:sz w:val="20"/>
                <w:szCs w:val="20"/>
              </w:rPr>
            </w:pPr>
            <w:r w:rsidRPr="0035187E">
              <w:rPr>
                <w:rFonts w:ascii="Times New Roman" w:hAnsi="Times New Roman" w:cs="Times New Roman"/>
                <w:b/>
                <w:sz w:val="20"/>
                <w:szCs w:val="20"/>
              </w:rPr>
              <w:t>Nevyhověno.</w:t>
            </w:r>
          </w:p>
          <w:p w14:paraId="4B5FF0FE" w14:textId="2C022BE4" w:rsidR="00BE73FF" w:rsidRPr="0035187E" w:rsidRDefault="00D15238" w:rsidP="0035187E">
            <w:pPr>
              <w:jc w:val="both"/>
              <w:rPr>
                <w:rFonts w:ascii="Times New Roman" w:hAnsi="Times New Roman" w:cs="Times New Roman"/>
                <w:sz w:val="20"/>
                <w:szCs w:val="20"/>
              </w:rPr>
            </w:pPr>
            <w:r w:rsidRPr="0035187E">
              <w:rPr>
                <w:rFonts w:ascii="Times New Roman" w:hAnsi="Times New Roman" w:cs="Times New Roman"/>
                <w:sz w:val="20"/>
                <w:szCs w:val="20"/>
              </w:rPr>
              <w:t>Jedná se o výjimku, která byla do původního návrhu doplněna jako výsledek určitého politického konsenzu.</w:t>
            </w:r>
          </w:p>
        </w:tc>
      </w:tr>
      <w:tr w:rsidR="0035187E" w:rsidRPr="0035187E" w14:paraId="39A2CA54"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EE66FAA" w14:textId="1D0B9098"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7.</w:t>
            </w:r>
          </w:p>
        </w:tc>
        <w:tc>
          <w:tcPr>
            <w:tcW w:w="583" w:type="pct"/>
            <w:tcBorders>
              <w:top w:val="single" w:sz="4" w:space="0" w:color="auto"/>
              <w:left w:val="single" w:sz="4" w:space="0" w:color="auto"/>
              <w:right w:val="single" w:sz="4" w:space="0" w:color="auto"/>
            </w:tcBorders>
            <w:shd w:val="clear" w:color="auto" w:fill="auto"/>
          </w:tcPr>
          <w:p w14:paraId="0956960B" w14:textId="5FB6E83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spravedlnosti</w:t>
            </w:r>
          </w:p>
        </w:tc>
        <w:tc>
          <w:tcPr>
            <w:tcW w:w="168" w:type="pct"/>
            <w:tcBorders>
              <w:top w:val="single" w:sz="4" w:space="0" w:color="auto"/>
              <w:left w:val="single" w:sz="4" w:space="0" w:color="auto"/>
              <w:right w:val="single" w:sz="4" w:space="0" w:color="auto"/>
            </w:tcBorders>
            <w:shd w:val="clear" w:color="auto" w:fill="auto"/>
          </w:tcPr>
          <w:p w14:paraId="59C6C9D5" w14:textId="632CC9A3"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10.</w:t>
            </w:r>
          </w:p>
        </w:tc>
        <w:tc>
          <w:tcPr>
            <w:tcW w:w="169" w:type="pct"/>
            <w:tcBorders>
              <w:top w:val="single" w:sz="4" w:space="0" w:color="auto"/>
              <w:left w:val="single" w:sz="4" w:space="0" w:color="auto"/>
              <w:right w:val="single" w:sz="4" w:space="0" w:color="auto"/>
            </w:tcBorders>
            <w:shd w:val="clear" w:color="auto" w:fill="auto"/>
          </w:tcPr>
          <w:p w14:paraId="3A39E62B" w14:textId="48405173"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F0721B0" w14:textId="77777777" w:rsidR="00BE73FF" w:rsidRPr="0035187E" w:rsidRDefault="00BE73FF" w:rsidP="0035187E">
            <w:pPr>
              <w:numPr>
                <w:ilvl w:val="0"/>
                <w:numId w:val="25"/>
              </w:numPr>
              <w:ind w:left="0" w:firstLine="0"/>
              <w:jc w:val="both"/>
              <w:rPr>
                <w:rFonts w:ascii="Times New Roman" w:eastAsia="Aptos" w:hAnsi="Times New Roman" w:cs="Times New Roman"/>
                <w:bCs/>
                <w:sz w:val="20"/>
                <w:szCs w:val="20"/>
                <w:lang w:eastAsia="en-US"/>
              </w:rPr>
            </w:pPr>
            <w:r w:rsidRPr="0035187E">
              <w:rPr>
                <w:rFonts w:ascii="Times New Roman" w:eastAsia="Aptos" w:hAnsi="Times New Roman" w:cs="Times New Roman"/>
                <w:b/>
                <w:sz w:val="20"/>
                <w:szCs w:val="20"/>
                <w:lang w:eastAsia="en-US"/>
              </w:rPr>
              <w:t>K § 16 odst. 1</w:t>
            </w:r>
          </w:p>
          <w:p w14:paraId="5A3FC7C7" w14:textId="03E5D2CC" w:rsidR="00BE73FF" w:rsidRPr="0035187E" w:rsidRDefault="00BE73FF" w:rsidP="0035187E">
            <w:pPr>
              <w:jc w:val="both"/>
              <w:rPr>
                <w:rFonts w:ascii="Times New Roman" w:eastAsia="Aptos" w:hAnsi="Times New Roman" w:cs="Times New Roman"/>
                <w:bCs/>
                <w:sz w:val="20"/>
                <w:szCs w:val="20"/>
                <w:lang w:eastAsia="en-US"/>
              </w:rPr>
            </w:pPr>
            <w:r w:rsidRPr="0035187E">
              <w:rPr>
                <w:rFonts w:ascii="Times New Roman" w:eastAsia="Aptos" w:hAnsi="Times New Roman" w:cs="Times New Roman"/>
                <w:bCs/>
                <w:sz w:val="20"/>
                <w:szCs w:val="20"/>
                <w:lang w:eastAsia="en-US"/>
              </w:rPr>
              <w:t xml:space="preserve">Doporučujeme nahradit slova </w:t>
            </w:r>
            <w:r w:rsidRPr="0035187E">
              <w:rPr>
                <w:rFonts w:ascii="Times New Roman" w:eastAsia="Aptos" w:hAnsi="Times New Roman" w:cs="Times New Roman"/>
                <w:bCs/>
                <w:i/>
                <w:iCs/>
                <w:sz w:val="20"/>
                <w:szCs w:val="20"/>
                <w:lang w:eastAsia="en-US"/>
              </w:rPr>
              <w:t xml:space="preserve">„pokud v nejméně jedné z nich“ </w:t>
            </w:r>
            <w:r w:rsidRPr="0035187E">
              <w:rPr>
                <w:rFonts w:ascii="Times New Roman" w:eastAsia="Aptos" w:hAnsi="Times New Roman" w:cs="Times New Roman"/>
                <w:bCs/>
                <w:sz w:val="20"/>
                <w:szCs w:val="20"/>
                <w:lang w:eastAsia="en-US"/>
              </w:rPr>
              <w:t xml:space="preserve">slovy </w:t>
            </w:r>
            <w:r w:rsidRPr="0035187E">
              <w:rPr>
                <w:rFonts w:ascii="Times New Roman" w:eastAsia="Aptos" w:hAnsi="Times New Roman" w:cs="Times New Roman"/>
                <w:bCs/>
                <w:i/>
                <w:iCs/>
                <w:sz w:val="20"/>
                <w:szCs w:val="20"/>
                <w:lang w:eastAsia="en-US"/>
              </w:rPr>
              <w:t>„pokud alespoň v jedné z nich“</w:t>
            </w:r>
            <w:r w:rsidRPr="0035187E">
              <w:rPr>
                <w:rFonts w:ascii="Times New Roman" w:eastAsia="Aptos" w:hAnsi="Times New Roman" w:cs="Times New Roman"/>
                <w:bCs/>
                <w:sz w:val="20"/>
                <w:szCs w:val="20"/>
                <w:lang w:eastAsia="en-US"/>
              </w:rPr>
              <w:t>.</w:t>
            </w:r>
          </w:p>
        </w:tc>
        <w:tc>
          <w:tcPr>
            <w:tcW w:w="1453" w:type="pct"/>
            <w:tcBorders>
              <w:top w:val="single" w:sz="4" w:space="0" w:color="auto"/>
              <w:left w:val="single" w:sz="4" w:space="0" w:color="auto"/>
              <w:right w:val="single" w:sz="4" w:space="0" w:color="auto"/>
            </w:tcBorders>
            <w:shd w:val="clear" w:color="auto" w:fill="auto"/>
          </w:tcPr>
          <w:p w14:paraId="4B1F23A2" w14:textId="77777777" w:rsidR="00BE73FF" w:rsidRPr="0035187E" w:rsidRDefault="00D15238" w:rsidP="0035187E">
            <w:pPr>
              <w:jc w:val="both"/>
              <w:rPr>
                <w:rFonts w:ascii="Times New Roman" w:hAnsi="Times New Roman" w:cs="Times New Roman"/>
                <w:b/>
                <w:sz w:val="20"/>
                <w:szCs w:val="20"/>
              </w:rPr>
            </w:pPr>
            <w:r w:rsidRPr="0035187E">
              <w:rPr>
                <w:rFonts w:ascii="Times New Roman" w:hAnsi="Times New Roman" w:cs="Times New Roman"/>
                <w:b/>
                <w:sz w:val="20"/>
                <w:szCs w:val="20"/>
              </w:rPr>
              <w:t>Nevyhověno.</w:t>
            </w:r>
          </w:p>
          <w:p w14:paraId="5BDFF40F" w14:textId="1E1BD98B" w:rsidR="00D15238" w:rsidRPr="0035187E" w:rsidRDefault="00D15238" w:rsidP="0035187E">
            <w:pPr>
              <w:jc w:val="both"/>
              <w:rPr>
                <w:rFonts w:ascii="Times New Roman" w:hAnsi="Times New Roman" w:cs="Times New Roman"/>
                <w:sz w:val="20"/>
                <w:szCs w:val="20"/>
              </w:rPr>
            </w:pPr>
            <w:r w:rsidRPr="0035187E">
              <w:rPr>
                <w:rFonts w:ascii="Times New Roman" w:hAnsi="Times New Roman" w:cs="Times New Roman"/>
                <w:sz w:val="20"/>
                <w:szCs w:val="20"/>
              </w:rPr>
              <w:t>Obě formulace vyjadřují stejnou věc.</w:t>
            </w:r>
          </w:p>
        </w:tc>
      </w:tr>
      <w:tr w:rsidR="0035187E" w:rsidRPr="0035187E" w14:paraId="505B1318"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538BB0E" w14:textId="06F76D63"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7.</w:t>
            </w:r>
          </w:p>
        </w:tc>
        <w:tc>
          <w:tcPr>
            <w:tcW w:w="583" w:type="pct"/>
            <w:tcBorders>
              <w:top w:val="single" w:sz="4" w:space="0" w:color="auto"/>
              <w:left w:val="single" w:sz="4" w:space="0" w:color="auto"/>
              <w:right w:val="single" w:sz="4" w:space="0" w:color="auto"/>
            </w:tcBorders>
            <w:shd w:val="clear" w:color="auto" w:fill="auto"/>
          </w:tcPr>
          <w:p w14:paraId="5C6CC6F3" w14:textId="5D2C158D"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spravedlnosti</w:t>
            </w:r>
          </w:p>
        </w:tc>
        <w:tc>
          <w:tcPr>
            <w:tcW w:w="168" w:type="pct"/>
            <w:tcBorders>
              <w:top w:val="single" w:sz="4" w:space="0" w:color="auto"/>
              <w:left w:val="single" w:sz="4" w:space="0" w:color="auto"/>
              <w:right w:val="single" w:sz="4" w:space="0" w:color="auto"/>
            </w:tcBorders>
            <w:shd w:val="clear" w:color="auto" w:fill="auto"/>
          </w:tcPr>
          <w:p w14:paraId="54194153" w14:textId="3FDA3679"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11.</w:t>
            </w:r>
          </w:p>
        </w:tc>
        <w:tc>
          <w:tcPr>
            <w:tcW w:w="169" w:type="pct"/>
            <w:tcBorders>
              <w:top w:val="single" w:sz="4" w:space="0" w:color="auto"/>
              <w:left w:val="single" w:sz="4" w:space="0" w:color="auto"/>
              <w:right w:val="single" w:sz="4" w:space="0" w:color="auto"/>
            </w:tcBorders>
            <w:shd w:val="clear" w:color="auto" w:fill="auto"/>
          </w:tcPr>
          <w:p w14:paraId="67EC0051" w14:textId="31689AB2"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3352277" w14:textId="77777777" w:rsidR="00BE73FF" w:rsidRPr="0035187E" w:rsidRDefault="00BE73FF" w:rsidP="0035187E">
            <w:pPr>
              <w:numPr>
                <w:ilvl w:val="0"/>
                <w:numId w:val="25"/>
              </w:numPr>
              <w:ind w:left="0" w:firstLine="0"/>
              <w:jc w:val="both"/>
              <w:rPr>
                <w:rFonts w:ascii="Times New Roman" w:eastAsia="Aptos" w:hAnsi="Times New Roman" w:cs="Times New Roman"/>
                <w:bCs/>
                <w:sz w:val="20"/>
                <w:szCs w:val="20"/>
                <w:lang w:eastAsia="en-US"/>
              </w:rPr>
            </w:pPr>
            <w:r w:rsidRPr="0035187E">
              <w:rPr>
                <w:rFonts w:ascii="Times New Roman" w:eastAsia="Aptos" w:hAnsi="Times New Roman" w:cs="Times New Roman"/>
                <w:b/>
                <w:sz w:val="20"/>
                <w:szCs w:val="20"/>
                <w:lang w:eastAsia="en-US"/>
              </w:rPr>
              <w:t>K § 19 odst. 1</w:t>
            </w:r>
          </w:p>
          <w:p w14:paraId="63D5043B" w14:textId="73D34B99" w:rsidR="00BE73FF" w:rsidRPr="0035187E" w:rsidRDefault="00BE73FF" w:rsidP="0035187E">
            <w:pPr>
              <w:jc w:val="both"/>
              <w:rPr>
                <w:rFonts w:ascii="Times New Roman" w:eastAsia="Aptos" w:hAnsi="Times New Roman" w:cs="Times New Roman"/>
                <w:bCs/>
                <w:sz w:val="20"/>
                <w:szCs w:val="20"/>
                <w:lang w:eastAsia="en-US"/>
              </w:rPr>
            </w:pPr>
            <w:r w:rsidRPr="0035187E">
              <w:rPr>
                <w:rFonts w:ascii="Times New Roman" w:eastAsia="Aptos" w:hAnsi="Times New Roman" w:cs="Times New Roman"/>
                <w:bCs/>
                <w:sz w:val="20"/>
                <w:szCs w:val="20"/>
                <w:lang w:eastAsia="en-US"/>
              </w:rPr>
              <w:t xml:space="preserve">Doporučujeme doplnit zřejmě nedopatřením vypuštěné slovo </w:t>
            </w:r>
            <w:r w:rsidRPr="0035187E">
              <w:rPr>
                <w:rFonts w:ascii="Times New Roman" w:eastAsia="Aptos" w:hAnsi="Times New Roman" w:cs="Times New Roman"/>
                <w:bCs/>
                <w:i/>
                <w:iCs/>
                <w:sz w:val="20"/>
                <w:szCs w:val="20"/>
                <w:lang w:eastAsia="en-US"/>
              </w:rPr>
              <w:t>„poplatníka“</w:t>
            </w:r>
            <w:r w:rsidRPr="0035187E">
              <w:rPr>
                <w:rFonts w:ascii="Times New Roman" w:eastAsia="Aptos" w:hAnsi="Times New Roman" w:cs="Times New Roman"/>
                <w:bCs/>
                <w:sz w:val="20"/>
                <w:szCs w:val="20"/>
                <w:lang w:eastAsia="en-US"/>
              </w:rPr>
              <w:t xml:space="preserve"> před slova </w:t>
            </w:r>
            <w:r w:rsidRPr="0035187E">
              <w:rPr>
                <w:rFonts w:ascii="Times New Roman" w:eastAsia="Aptos" w:hAnsi="Times New Roman" w:cs="Times New Roman"/>
                <w:bCs/>
                <w:i/>
                <w:iCs/>
                <w:sz w:val="20"/>
                <w:szCs w:val="20"/>
                <w:lang w:eastAsia="en-US"/>
              </w:rPr>
              <w:t>„je jeho“</w:t>
            </w:r>
            <w:r w:rsidRPr="0035187E">
              <w:rPr>
                <w:rFonts w:ascii="Times New Roman" w:eastAsia="Aptos" w:hAnsi="Times New Roman" w:cs="Times New Roman"/>
                <w:bCs/>
                <w:sz w:val="20"/>
                <w:szCs w:val="20"/>
                <w:lang w:eastAsia="en-US"/>
              </w:rPr>
              <w:t>.</w:t>
            </w:r>
          </w:p>
        </w:tc>
        <w:tc>
          <w:tcPr>
            <w:tcW w:w="1453" w:type="pct"/>
            <w:tcBorders>
              <w:top w:val="single" w:sz="4" w:space="0" w:color="auto"/>
              <w:left w:val="single" w:sz="4" w:space="0" w:color="auto"/>
              <w:right w:val="single" w:sz="4" w:space="0" w:color="auto"/>
            </w:tcBorders>
            <w:shd w:val="clear" w:color="auto" w:fill="auto"/>
          </w:tcPr>
          <w:p w14:paraId="55B83D55" w14:textId="77777777" w:rsidR="00BE73FF" w:rsidRPr="0035187E" w:rsidRDefault="00D15238" w:rsidP="0035187E">
            <w:pPr>
              <w:jc w:val="both"/>
              <w:rPr>
                <w:rFonts w:ascii="Times New Roman" w:hAnsi="Times New Roman" w:cs="Times New Roman"/>
                <w:b/>
                <w:sz w:val="20"/>
                <w:szCs w:val="20"/>
              </w:rPr>
            </w:pPr>
            <w:r w:rsidRPr="0035187E">
              <w:rPr>
                <w:rFonts w:ascii="Times New Roman" w:hAnsi="Times New Roman" w:cs="Times New Roman"/>
                <w:b/>
                <w:sz w:val="20"/>
                <w:szCs w:val="20"/>
              </w:rPr>
              <w:t>Vyhověno jinak.</w:t>
            </w:r>
          </w:p>
          <w:p w14:paraId="7E103F58" w14:textId="39C4CE95" w:rsidR="00D15238" w:rsidRPr="0035187E" w:rsidRDefault="00D15238"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tc>
      </w:tr>
      <w:tr w:rsidR="0035187E" w:rsidRPr="0035187E" w14:paraId="59700745"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0F870EF" w14:textId="7F43B0F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7.</w:t>
            </w:r>
          </w:p>
        </w:tc>
        <w:tc>
          <w:tcPr>
            <w:tcW w:w="583" w:type="pct"/>
            <w:tcBorders>
              <w:top w:val="single" w:sz="4" w:space="0" w:color="auto"/>
              <w:left w:val="single" w:sz="4" w:space="0" w:color="auto"/>
              <w:right w:val="single" w:sz="4" w:space="0" w:color="auto"/>
            </w:tcBorders>
            <w:shd w:val="clear" w:color="auto" w:fill="auto"/>
          </w:tcPr>
          <w:p w14:paraId="66116C45" w14:textId="62E8DF6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spravedlnosti</w:t>
            </w:r>
          </w:p>
        </w:tc>
        <w:tc>
          <w:tcPr>
            <w:tcW w:w="168" w:type="pct"/>
            <w:tcBorders>
              <w:top w:val="single" w:sz="4" w:space="0" w:color="auto"/>
              <w:left w:val="single" w:sz="4" w:space="0" w:color="auto"/>
              <w:right w:val="single" w:sz="4" w:space="0" w:color="auto"/>
            </w:tcBorders>
            <w:shd w:val="clear" w:color="auto" w:fill="auto"/>
          </w:tcPr>
          <w:p w14:paraId="45737F0A" w14:textId="00175F06"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12.</w:t>
            </w:r>
          </w:p>
        </w:tc>
        <w:tc>
          <w:tcPr>
            <w:tcW w:w="169" w:type="pct"/>
            <w:tcBorders>
              <w:top w:val="single" w:sz="4" w:space="0" w:color="auto"/>
              <w:left w:val="single" w:sz="4" w:space="0" w:color="auto"/>
              <w:right w:val="single" w:sz="4" w:space="0" w:color="auto"/>
            </w:tcBorders>
            <w:shd w:val="clear" w:color="auto" w:fill="auto"/>
          </w:tcPr>
          <w:p w14:paraId="7ADD72A7" w14:textId="1BA50AAD"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3226E755" w14:textId="77777777" w:rsidR="00BE73FF" w:rsidRPr="0035187E" w:rsidRDefault="00BE73FF" w:rsidP="0035187E">
            <w:pPr>
              <w:numPr>
                <w:ilvl w:val="0"/>
                <w:numId w:val="25"/>
              </w:numPr>
              <w:ind w:left="0" w:firstLine="0"/>
              <w:jc w:val="both"/>
              <w:rPr>
                <w:rFonts w:ascii="Times New Roman" w:eastAsia="Aptos" w:hAnsi="Times New Roman" w:cs="Times New Roman"/>
                <w:bCs/>
                <w:sz w:val="20"/>
                <w:szCs w:val="20"/>
                <w:lang w:eastAsia="en-US"/>
              </w:rPr>
            </w:pPr>
            <w:r w:rsidRPr="0035187E">
              <w:rPr>
                <w:rFonts w:ascii="Times New Roman" w:eastAsia="Aptos" w:hAnsi="Times New Roman" w:cs="Times New Roman"/>
                <w:b/>
                <w:sz w:val="20"/>
                <w:szCs w:val="20"/>
                <w:lang w:eastAsia="en-US"/>
              </w:rPr>
              <w:t>K § 19 odst. 2 písm. a)</w:t>
            </w:r>
          </w:p>
          <w:p w14:paraId="1C847093" w14:textId="1F87373E" w:rsidR="00BE73FF" w:rsidRPr="0035187E" w:rsidRDefault="00BE73FF" w:rsidP="0035187E">
            <w:pPr>
              <w:jc w:val="both"/>
              <w:rPr>
                <w:rFonts w:ascii="Times New Roman" w:eastAsia="Aptos" w:hAnsi="Times New Roman" w:cs="Times New Roman"/>
                <w:bCs/>
                <w:sz w:val="20"/>
                <w:szCs w:val="20"/>
                <w:lang w:eastAsia="en-US"/>
              </w:rPr>
            </w:pPr>
            <w:r w:rsidRPr="0035187E">
              <w:rPr>
                <w:rFonts w:ascii="Times New Roman" w:eastAsia="Aptos" w:hAnsi="Times New Roman" w:cs="Times New Roman"/>
                <w:bCs/>
                <w:sz w:val="20"/>
                <w:szCs w:val="20"/>
                <w:lang w:eastAsia="en-US"/>
              </w:rPr>
              <w:t xml:space="preserve">Dáváme ke zvážení, zda by nebylo vhodnější použít vlastní identifikátor správce daně pro všechny poplatníky, kteří nemají DIČ, oproti omezení na poplatníky bez rodného čísla, jestliže je v důvodové zprávě deklarovaným záměrem předkladatele využít evidenční identifikační číslo i v jiných situacích a v jiných právních předpisech. </w:t>
            </w:r>
          </w:p>
        </w:tc>
        <w:tc>
          <w:tcPr>
            <w:tcW w:w="1453" w:type="pct"/>
            <w:tcBorders>
              <w:top w:val="single" w:sz="4" w:space="0" w:color="auto"/>
              <w:left w:val="single" w:sz="4" w:space="0" w:color="auto"/>
              <w:right w:val="single" w:sz="4" w:space="0" w:color="auto"/>
            </w:tcBorders>
            <w:shd w:val="clear" w:color="auto" w:fill="auto"/>
          </w:tcPr>
          <w:p w14:paraId="647576E8" w14:textId="77777777" w:rsidR="00BE73FF" w:rsidRPr="0035187E" w:rsidRDefault="00DA1FBF" w:rsidP="0035187E">
            <w:pPr>
              <w:jc w:val="both"/>
              <w:rPr>
                <w:rFonts w:ascii="Times New Roman" w:hAnsi="Times New Roman" w:cs="Times New Roman"/>
                <w:b/>
                <w:sz w:val="20"/>
                <w:szCs w:val="20"/>
              </w:rPr>
            </w:pPr>
            <w:r w:rsidRPr="0035187E">
              <w:rPr>
                <w:rFonts w:ascii="Times New Roman" w:hAnsi="Times New Roman" w:cs="Times New Roman"/>
                <w:b/>
                <w:sz w:val="20"/>
                <w:szCs w:val="20"/>
              </w:rPr>
              <w:t>Nevyhověno.</w:t>
            </w:r>
          </w:p>
          <w:p w14:paraId="1FDF6D47" w14:textId="714B03E3" w:rsidR="00DA1FBF" w:rsidRPr="0035187E" w:rsidRDefault="00DA1FBF"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Evidenční číslo poplatníka je záměrně konstruováno tak, aby nemuselo dojít k jeho změně v případě, kdy se daný poplatník stane registrovaným daňovým subjektem (typicky plátcem daně z přidané hodnoty). Pak mu je přiděleno </w:t>
            </w:r>
            <w:proofErr w:type="gramStart"/>
            <w:r w:rsidRPr="0035187E">
              <w:rPr>
                <w:rFonts w:ascii="Times New Roman" w:hAnsi="Times New Roman" w:cs="Times New Roman"/>
                <w:sz w:val="20"/>
                <w:szCs w:val="20"/>
              </w:rPr>
              <w:t>DIČ</w:t>
            </w:r>
            <w:proofErr w:type="gramEnd"/>
            <w:r w:rsidRPr="0035187E">
              <w:rPr>
                <w:rFonts w:ascii="Times New Roman" w:hAnsi="Times New Roman" w:cs="Times New Roman"/>
                <w:sz w:val="20"/>
                <w:szCs w:val="20"/>
              </w:rPr>
              <w:t xml:space="preserve"> a to je konstruováno</w:t>
            </w:r>
            <w:r w:rsidR="00C76369" w:rsidRPr="0035187E">
              <w:rPr>
                <w:rFonts w:ascii="Times New Roman" w:hAnsi="Times New Roman" w:cs="Times New Roman"/>
                <w:sz w:val="20"/>
                <w:szCs w:val="20"/>
              </w:rPr>
              <w:t xml:space="preserve"> tak, že prioritně se použije rodné číslo (viz § 130 daňového řádu). Řešení je tedy zvoleno tak, aby maximálně šetřilo administrativní náklady poplatníků.</w:t>
            </w:r>
          </w:p>
        </w:tc>
      </w:tr>
      <w:tr w:rsidR="0035187E" w:rsidRPr="0035187E" w14:paraId="6E908D75"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9D3D109" w14:textId="1ACF4D02"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7.</w:t>
            </w:r>
          </w:p>
        </w:tc>
        <w:tc>
          <w:tcPr>
            <w:tcW w:w="583" w:type="pct"/>
            <w:tcBorders>
              <w:top w:val="single" w:sz="4" w:space="0" w:color="auto"/>
              <w:left w:val="single" w:sz="4" w:space="0" w:color="auto"/>
              <w:right w:val="single" w:sz="4" w:space="0" w:color="auto"/>
            </w:tcBorders>
            <w:shd w:val="clear" w:color="auto" w:fill="auto"/>
          </w:tcPr>
          <w:p w14:paraId="0E07207D" w14:textId="1DCA105C"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spravedlnosti</w:t>
            </w:r>
          </w:p>
        </w:tc>
        <w:tc>
          <w:tcPr>
            <w:tcW w:w="168" w:type="pct"/>
            <w:tcBorders>
              <w:top w:val="single" w:sz="4" w:space="0" w:color="auto"/>
              <w:left w:val="single" w:sz="4" w:space="0" w:color="auto"/>
              <w:right w:val="single" w:sz="4" w:space="0" w:color="auto"/>
            </w:tcBorders>
            <w:shd w:val="clear" w:color="auto" w:fill="auto"/>
          </w:tcPr>
          <w:p w14:paraId="42760332" w14:textId="47C202AE"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13.</w:t>
            </w:r>
          </w:p>
        </w:tc>
        <w:tc>
          <w:tcPr>
            <w:tcW w:w="169" w:type="pct"/>
            <w:tcBorders>
              <w:top w:val="single" w:sz="4" w:space="0" w:color="auto"/>
              <w:left w:val="single" w:sz="4" w:space="0" w:color="auto"/>
              <w:right w:val="single" w:sz="4" w:space="0" w:color="auto"/>
            </w:tcBorders>
            <w:shd w:val="clear" w:color="auto" w:fill="auto"/>
          </w:tcPr>
          <w:p w14:paraId="44658050" w14:textId="78EDAB65"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4889030" w14:textId="77777777" w:rsidR="00BE73FF" w:rsidRPr="0035187E" w:rsidRDefault="00BE73FF" w:rsidP="0035187E">
            <w:pPr>
              <w:numPr>
                <w:ilvl w:val="0"/>
                <w:numId w:val="25"/>
              </w:numPr>
              <w:ind w:left="0" w:firstLine="0"/>
              <w:jc w:val="both"/>
              <w:rPr>
                <w:rFonts w:ascii="Times New Roman" w:eastAsia="Aptos" w:hAnsi="Times New Roman" w:cs="Times New Roman"/>
                <w:bCs/>
                <w:sz w:val="20"/>
                <w:szCs w:val="20"/>
                <w:lang w:eastAsia="en-US"/>
              </w:rPr>
            </w:pPr>
            <w:r w:rsidRPr="0035187E">
              <w:rPr>
                <w:rFonts w:ascii="Times New Roman" w:eastAsia="Aptos" w:hAnsi="Times New Roman" w:cs="Times New Roman"/>
                <w:b/>
                <w:sz w:val="20"/>
                <w:szCs w:val="20"/>
                <w:lang w:eastAsia="en-US"/>
              </w:rPr>
              <w:t>K § 20 odst. 2 a zvláštní části důvodové zprávy k § 20</w:t>
            </w:r>
          </w:p>
          <w:p w14:paraId="04F84D2A" w14:textId="6879524E" w:rsidR="00BE73FF" w:rsidRPr="0035187E" w:rsidRDefault="00BE73FF" w:rsidP="0035187E">
            <w:pPr>
              <w:jc w:val="both"/>
              <w:rPr>
                <w:rFonts w:ascii="Times New Roman" w:eastAsia="Aptos" w:hAnsi="Times New Roman" w:cs="Times New Roman"/>
                <w:bCs/>
                <w:sz w:val="20"/>
                <w:szCs w:val="20"/>
                <w:lang w:eastAsia="en-US"/>
              </w:rPr>
            </w:pPr>
            <w:r w:rsidRPr="0035187E">
              <w:rPr>
                <w:rFonts w:ascii="Times New Roman" w:eastAsia="Aptos" w:hAnsi="Times New Roman" w:cs="Times New Roman"/>
                <w:bCs/>
                <w:sz w:val="20"/>
                <w:szCs w:val="20"/>
                <w:lang w:eastAsia="en-US"/>
              </w:rPr>
              <w:t xml:space="preserve">Text důvodové zprávy hovoří ve vztahu k § 20 odst. 2 návrhu o tom, že minimální výše mezní doby odezvy činí 2 sekundy, nicméně v textu samotného navrhovaného ustanovení se hovoří o době </w:t>
            </w:r>
            <w:r w:rsidRPr="0035187E">
              <w:rPr>
                <w:rFonts w:ascii="Times New Roman" w:eastAsia="Aptos" w:hAnsi="Times New Roman" w:cs="Times New Roman"/>
                <w:bCs/>
                <w:i/>
                <w:iCs/>
                <w:sz w:val="20"/>
                <w:szCs w:val="20"/>
                <w:lang w:eastAsia="en-US"/>
              </w:rPr>
              <w:t>„delší než 2 sekundy“</w:t>
            </w:r>
            <w:r w:rsidRPr="0035187E">
              <w:rPr>
                <w:rFonts w:ascii="Times New Roman" w:eastAsia="Aptos" w:hAnsi="Times New Roman" w:cs="Times New Roman"/>
                <w:bCs/>
                <w:sz w:val="20"/>
                <w:szCs w:val="20"/>
                <w:lang w:eastAsia="en-US"/>
              </w:rPr>
              <w:t xml:space="preserve">. Doporučujeme tento nesoulad mezi obsahem ustanovení a jeho odůvodněním odstranit. Pokud bylo záměrem předkladatele stanovit jako minimální dobu odezvy 2 sekundy (včetně), pak doporučujeme nahradit slova </w:t>
            </w:r>
            <w:r w:rsidRPr="0035187E">
              <w:rPr>
                <w:rFonts w:ascii="Times New Roman" w:eastAsia="Aptos" w:hAnsi="Times New Roman" w:cs="Times New Roman"/>
                <w:bCs/>
                <w:i/>
                <w:iCs/>
                <w:sz w:val="20"/>
                <w:szCs w:val="20"/>
                <w:lang w:eastAsia="en-US"/>
              </w:rPr>
              <w:t>„delší než“</w:t>
            </w:r>
            <w:r w:rsidRPr="0035187E">
              <w:rPr>
                <w:rFonts w:ascii="Times New Roman" w:eastAsia="Aptos" w:hAnsi="Times New Roman" w:cs="Times New Roman"/>
                <w:bCs/>
                <w:sz w:val="20"/>
                <w:szCs w:val="20"/>
                <w:lang w:eastAsia="en-US"/>
              </w:rPr>
              <w:t xml:space="preserve"> slovy </w:t>
            </w:r>
            <w:r w:rsidRPr="0035187E">
              <w:rPr>
                <w:rFonts w:ascii="Times New Roman" w:eastAsia="Aptos" w:hAnsi="Times New Roman" w:cs="Times New Roman"/>
                <w:bCs/>
                <w:i/>
                <w:iCs/>
                <w:sz w:val="20"/>
                <w:szCs w:val="20"/>
                <w:lang w:eastAsia="en-US"/>
              </w:rPr>
              <w:t>„nejméně na“</w:t>
            </w:r>
            <w:r w:rsidRPr="0035187E">
              <w:rPr>
                <w:rFonts w:ascii="Times New Roman" w:eastAsia="Aptos" w:hAnsi="Times New Roman" w:cs="Times New Roman"/>
                <w:bCs/>
                <w:sz w:val="20"/>
                <w:szCs w:val="20"/>
                <w:lang w:eastAsia="en-US"/>
              </w:rPr>
              <w:t>.</w:t>
            </w:r>
          </w:p>
        </w:tc>
        <w:tc>
          <w:tcPr>
            <w:tcW w:w="1453" w:type="pct"/>
            <w:tcBorders>
              <w:top w:val="single" w:sz="4" w:space="0" w:color="auto"/>
              <w:left w:val="single" w:sz="4" w:space="0" w:color="auto"/>
              <w:right w:val="single" w:sz="4" w:space="0" w:color="auto"/>
            </w:tcBorders>
            <w:shd w:val="clear" w:color="auto" w:fill="auto"/>
          </w:tcPr>
          <w:p w14:paraId="314719F0" w14:textId="77777777" w:rsidR="00BE73FF" w:rsidRPr="0035187E" w:rsidRDefault="009265FF" w:rsidP="0035187E">
            <w:pPr>
              <w:jc w:val="both"/>
              <w:rPr>
                <w:rFonts w:ascii="Times New Roman" w:hAnsi="Times New Roman" w:cs="Times New Roman"/>
                <w:b/>
                <w:sz w:val="20"/>
                <w:szCs w:val="20"/>
              </w:rPr>
            </w:pPr>
            <w:r w:rsidRPr="0035187E">
              <w:rPr>
                <w:rFonts w:ascii="Times New Roman" w:hAnsi="Times New Roman" w:cs="Times New Roman"/>
                <w:b/>
                <w:sz w:val="20"/>
                <w:szCs w:val="20"/>
              </w:rPr>
              <w:t>Vyhověno jinak.</w:t>
            </w:r>
          </w:p>
          <w:p w14:paraId="44B4FE67" w14:textId="74E73FB1" w:rsidR="009265FF" w:rsidRPr="0035187E" w:rsidRDefault="009265FF" w:rsidP="0035187E">
            <w:pPr>
              <w:jc w:val="both"/>
              <w:rPr>
                <w:rFonts w:ascii="Times New Roman" w:hAnsi="Times New Roman" w:cs="Times New Roman"/>
                <w:sz w:val="20"/>
                <w:szCs w:val="20"/>
              </w:rPr>
            </w:pPr>
            <w:r w:rsidRPr="0035187E">
              <w:rPr>
                <w:rFonts w:ascii="Times New Roman" w:hAnsi="Times New Roman" w:cs="Times New Roman"/>
                <w:sz w:val="20"/>
                <w:szCs w:val="20"/>
              </w:rPr>
              <w:t>Došlo k úpravě přímo v textu návrhu zákona.</w:t>
            </w:r>
          </w:p>
        </w:tc>
      </w:tr>
      <w:tr w:rsidR="0035187E" w:rsidRPr="0035187E" w14:paraId="42559B7A"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A8FABC1" w14:textId="6BE24999"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7.</w:t>
            </w:r>
          </w:p>
        </w:tc>
        <w:tc>
          <w:tcPr>
            <w:tcW w:w="583" w:type="pct"/>
            <w:tcBorders>
              <w:top w:val="single" w:sz="4" w:space="0" w:color="auto"/>
              <w:left w:val="single" w:sz="4" w:space="0" w:color="auto"/>
              <w:right w:val="single" w:sz="4" w:space="0" w:color="auto"/>
            </w:tcBorders>
            <w:shd w:val="clear" w:color="auto" w:fill="auto"/>
          </w:tcPr>
          <w:p w14:paraId="34BCD478" w14:textId="632E6AEA"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spravedlnosti</w:t>
            </w:r>
          </w:p>
        </w:tc>
        <w:tc>
          <w:tcPr>
            <w:tcW w:w="168" w:type="pct"/>
            <w:tcBorders>
              <w:top w:val="single" w:sz="4" w:space="0" w:color="auto"/>
              <w:left w:val="single" w:sz="4" w:space="0" w:color="auto"/>
              <w:right w:val="single" w:sz="4" w:space="0" w:color="auto"/>
            </w:tcBorders>
            <w:shd w:val="clear" w:color="auto" w:fill="auto"/>
          </w:tcPr>
          <w:p w14:paraId="4B2FD2C4" w14:textId="6854D29D"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14.</w:t>
            </w:r>
          </w:p>
        </w:tc>
        <w:tc>
          <w:tcPr>
            <w:tcW w:w="169" w:type="pct"/>
            <w:tcBorders>
              <w:top w:val="single" w:sz="4" w:space="0" w:color="auto"/>
              <w:left w:val="single" w:sz="4" w:space="0" w:color="auto"/>
              <w:right w:val="single" w:sz="4" w:space="0" w:color="auto"/>
            </w:tcBorders>
            <w:shd w:val="clear" w:color="auto" w:fill="auto"/>
          </w:tcPr>
          <w:p w14:paraId="04B57483" w14:textId="1920B6B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404BFFE" w14:textId="77777777" w:rsidR="00BE73FF" w:rsidRPr="0035187E" w:rsidRDefault="00BE73FF" w:rsidP="0035187E">
            <w:pPr>
              <w:numPr>
                <w:ilvl w:val="0"/>
                <w:numId w:val="25"/>
              </w:numPr>
              <w:ind w:left="0" w:firstLine="0"/>
              <w:jc w:val="both"/>
              <w:rPr>
                <w:rFonts w:ascii="Times New Roman" w:eastAsia="Aptos" w:hAnsi="Times New Roman" w:cs="Times New Roman"/>
                <w:bCs/>
                <w:sz w:val="20"/>
                <w:szCs w:val="20"/>
                <w:lang w:eastAsia="en-US"/>
              </w:rPr>
            </w:pPr>
            <w:r w:rsidRPr="0035187E">
              <w:rPr>
                <w:rFonts w:ascii="Times New Roman" w:eastAsia="Aptos" w:hAnsi="Times New Roman" w:cs="Times New Roman"/>
                <w:b/>
                <w:sz w:val="20"/>
                <w:szCs w:val="20"/>
                <w:lang w:eastAsia="en-US"/>
              </w:rPr>
              <w:t>K § 24 odst. 2 a zvláštní části důvodové zprávy k § 24</w:t>
            </w:r>
          </w:p>
          <w:p w14:paraId="404367C2" w14:textId="7D5D304D" w:rsidR="00BE73FF" w:rsidRPr="0035187E" w:rsidRDefault="00BE73FF" w:rsidP="0035187E">
            <w:pPr>
              <w:jc w:val="both"/>
              <w:rPr>
                <w:rFonts w:ascii="Times New Roman" w:eastAsia="Aptos" w:hAnsi="Times New Roman" w:cs="Times New Roman"/>
                <w:bCs/>
                <w:sz w:val="20"/>
                <w:szCs w:val="20"/>
                <w:lang w:val="en-GB" w:eastAsia="en-US"/>
              </w:rPr>
            </w:pPr>
            <w:r w:rsidRPr="0035187E">
              <w:rPr>
                <w:rFonts w:ascii="Times New Roman" w:eastAsia="Aptos" w:hAnsi="Times New Roman" w:cs="Times New Roman"/>
                <w:bCs/>
                <w:sz w:val="20"/>
                <w:szCs w:val="20"/>
                <w:lang w:eastAsia="en-US"/>
              </w:rPr>
              <w:t xml:space="preserve">Text důvodové zprávy hovoří ve vztahu k § 24 odst. 1 a 2 návrhu o tom, že z hlediska subjektivní stránky se vyžaduje zavinění ve formě úmyslu, v § 24 odst. 2 návrhu však podmínka úmyslného ztížení nebo zmaření evidence tržeb není stanovena. Doporučujeme </w:t>
            </w:r>
            <w:r w:rsidRPr="0035187E">
              <w:rPr>
                <w:rFonts w:ascii="Times New Roman" w:eastAsia="Aptos" w:hAnsi="Times New Roman" w:cs="Times New Roman"/>
                <w:bCs/>
                <w:sz w:val="20"/>
                <w:szCs w:val="20"/>
                <w:lang w:eastAsia="en-US"/>
              </w:rPr>
              <w:lastRenderedPageBreak/>
              <w:t>tento nesoulad mezi obsahem ustanovení a jeho odůvodněním odstranit. Pokud bylo záměrem předkladatele podmínku úmyslu stanovit pro všechny subjekty přestupku, pak doporučujeme sloučit § 24 odst. 1 a 2 návrhu.</w:t>
            </w:r>
          </w:p>
        </w:tc>
        <w:tc>
          <w:tcPr>
            <w:tcW w:w="1453" w:type="pct"/>
            <w:tcBorders>
              <w:top w:val="single" w:sz="4" w:space="0" w:color="auto"/>
              <w:left w:val="single" w:sz="4" w:space="0" w:color="auto"/>
              <w:right w:val="single" w:sz="4" w:space="0" w:color="auto"/>
            </w:tcBorders>
            <w:shd w:val="clear" w:color="auto" w:fill="auto"/>
          </w:tcPr>
          <w:p w14:paraId="763935CC" w14:textId="77777777" w:rsidR="009265FF" w:rsidRPr="0035187E" w:rsidRDefault="009265FF"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Vyhověno.</w:t>
            </w:r>
          </w:p>
          <w:p w14:paraId="74F050B8" w14:textId="0BD1DB1C" w:rsidR="00BE73FF" w:rsidRPr="0035187E" w:rsidRDefault="009265FF"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tc>
      </w:tr>
      <w:tr w:rsidR="0035187E" w:rsidRPr="0035187E" w14:paraId="03418878"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93A823E" w14:textId="06C8886D"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7.</w:t>
            </w:r>
          </w:p>
        </w:tc>
        <w:tc>
          <w:tcPr>
            <w:tcW w:w="583" w:type="pct"/>
            <w:tcBorders>
              <w:top w:val="single" w:sz="4" w:space="0" w:color="auto"/>
              <w:left w:val="single" w:sz="4" w:space="0" w:color="auto"/>
              <w:right w:val="single" w:sz="4" w:space="0" w:color="auto"/>
            </w:tcBorders>
            <w:shd w:val="clear" w:color="auto" w:fill="auto"/>
          </w:tcPr>
          <w:p w14:paraId="04A36616" w14:textId="562662E9"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spravedlnosti</w:t>
            </w:r>
          </w:p>
        </w:tc>
        <w:tc>
          <w:tcPr>
            <w:tcW w:w="168" w:type="pct"/>
            <w:tcBorders>
              <w:top w:val="single" w:sz="4" w:space="0" w:color="auto"/>
              <w:left w:val="single" w:sz="4" w:space="0" w:color="auto"/>
              <w:right w:val="single" w:sz="4" w:space="0" w:color="auto"/>
            </w:tcBorders>
            <w:shd w:val="clear" w:color="auto" w:fill="auto"/>
          </w:tcPr>
          <w:p w14:paraId="0B8FFA24" w14:textId="39091203"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15.</w:t>
            </w:r>
          </w:p>
        </w:tc>
        <w:tc>
          <w:tcPr>
            <w:tcW w:w="169" w:type="pct"/>
            <w:tcBorders>
              <w:top w:val="single" w:sz="4" w:space="0" w:color="auto"/>
              <w:left w:val="single" w:sz="4" w:space="0" w:color="auto"/>
              <w:right w:val="single" w:sz="4" w:space="0" w:color="auto"/>
            </w:tcBorders>
            <w:shd w:val="clear" w:color="auto" w:fill="auto"/>
          </w:tcPr>
          <w:p w14:paraId="2D7BE7A2" w14:textId="2C04DBE0"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AC1A063" w14:textId="77777777" w:rsidR="00BE73FF" w:rsidRPr="0035187E" w:rsidRDefault="00BE73FF" w:rsidP="0035187E">
            <w:pPr>
              <w:numPr>
                <w:ilvl w:val="0"/>
                <w:numId w:val="25"/>
              </w:numPr>
              <w:ind w:left="0" w:firstLine="0"/>
              <w:jc w:val="both"/>
              <w:rPr>
                <w:rFonts w:ascii="Times New Roman" w:eastAsia="Aptos" w:hAnsi="Times New Roman" w:cs="Times New Roman"/>
                <w:bCs/>
                <w:sz w:val="20"/>
                <w:szCs w:val="20"/>
                <w:lang w:eastAsia="en-US"/>
              </w:rPr>
            </w:pPr>
            <w:r w:rsidRPr="0035187E">
              <w:rPr>
                <w:rFonts w:ascii="Times New Roman" w:eastAsia="Aptos" w:hAnsi="Times New Roman" w:cs="Times New Roman"/>
                <w:b/>
                <w:sz w:val="20"/>
                <w:szCs w:val="20"/>
                <w:lang w:eastAsia="en-US"/>
              </w:rPr>
              <w:t>K § 30 bodu 6</w:t>
            </w:r>
          </w:p>
          <w:p w14:paraId="0572004E" w14:textId="3A089A8D" w:rsidR="00BE73FF" w:rsidRPr="0035187E" w:rsidRDefault="00BE73FF" w:rsidP="0035187E">
            <w:pPr>
              <w:jc w:val="both"/>
              <w:rPr>
                <w:rFonts w:ascii="Times New Roman" w:eastAsia="Aptos" w:hAnsi="Times New Roman" w:cs="Times New Roman"/>
                <w:bCs/>
                <w:sz w:val="20"/>
                <w:szCs w:val="20"/>
                <w:lang w:eastAsia="en-US"/>
              </w:rPr>
            </w:pPr>
            <w:r w:rsidRPr="0035187E">
              <w:rPr>
                <w:rFonts w:ascii="Times New Roman" w:eastAsia="Aptos" w:hAnsi="Times New Roman" w:cs="Times New Roman"/>
                <w:bCs/>
                <w:sz w:val="20"/>
                <w:szCs w:val="20"/>
                <w:lang w:eastAsia="en-US"/>
              </w:rPr>
              <w:t xml:space="preserve">Text návrhu obsahuje dvojitou mezeru ve spojení </w:t>
            </w:r>
            <w:r w:rsidRPr="0035187E">
              <w:rPr>
                <w:rFonts w:ascii="Times New Roman" w:eastAsia="Aptos" w:hAnsi="Times New Roman" w:cs="Times New Roman"/>
                <w:bCs/>
                <w:i/>
                <w:iCs/>
                <w:sz w:val="20"/>
                <w:szCs w:val="20"/>
                <w:lang w:eastAsia="en-US"/>
              </w:rPr>
              <w:t xml:space="preserve">„nepřekročil </w:t>
            </w:r>
            <w:proofErr w:type="gramStart"/>
            <w:r w:rsidRPr="0035187E">
              <w:rPr>
                <w:rFonts w:ascii="Times New Roman" w:eastAsia="Aptos" w:hAnsi="Times New Roman" w:cs="Times New Roman"/>
                <w:bCs/>
                <w:i/>
                <w:iCs/>
                <w:sz w:val="20"/>
                <w:szCs w:val="20"/>
                <w:lang w:eastAsia="en-US"/>
              </w:rPr>
              <w:t>7  %</w:t>
            </w:r>
            <w:proofErr w:type="gramEnd"/>
            <w:r w:rsidRPr="0035187E">
              <w:rPr>
                <w:rFonts w:ascii="Times New Roman" w:eastAsia="Aptos" w:hAnsi="Times New Roman" w:cs="Times New Roman"/>
                <w:bCs/>
                <w:i/>
                <w:iCs/>
                <w:sz w:val="20"/>
                <w:szCs w:val="20"/>
                <w:lang w:eastAsia="en-US"/>
              </w:rPr>
              <w:t>“</w:t>
            </w:r>
            <w:r w:rsidRPr="0035187E">
              <w:rPr>
                <w:rFonts w:ascii="Times New Roman" w:eastAsia="Aptos" w:hAnsi="Times New Roman" w:cs="Times New Roman"/>
                <w:bCs/>
                <w:sz w:val="20"/>
                <w:szCs w:val="20"/>
                <w:lang w:eastAsia="en-US"/>
              </w:rPr>
              <w:t>.</w:t>
            </w:r>
          </w:p>
        </w:tc>
        <w:tc>
          <w:tcPr>
            <w:tcW w:w="1453" w:type="pct"/>
            <w:tcBorders>
              <w:top w:val="single" w:sz="4" w:space="0" w:color="auto"/>
              <w:left w:val="single" w:sz="4" w:space="0" w:color="auto"/>
              <w:right w:val="single" w:sz="4" w:space="0" w:color="auto"/>
            </w:tcBorders>
            <w:shd w:val="clear" w:color="auto" w:fill="auto"/>
          </w:tcPr>
          <w:p w14:paraId="4BC8C30C" w14:textId="77777777" w:rsidR="00BE73FF" w:rsidRPr="0035187E" w:rsidRDefault="00BE73FF"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Vyhověno.</w:t>
            </w:r>
          </w:p>
          <w:p w14:paraId="01826AA2" w14:textId="6FEF898F"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tc>
      </w:tr>
      <w:tr w:rsidR="0035187E" w:rsidRPr="0035187E" w14:paraId="7F0AC2FE"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41D1F3E" w14:textId="19AD7005"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7.</w:t>
            </w:r>
          </w:p>
        </w:tc>
        <w:tc>
          <w:tcPr>
            <w:tcW w:w="583" w:type="pct"/>
            <w:tcBorders>
              <w:top w:val="single" w:sz="4" w:space="0" w:color="auto"/>
              <w:left w:val="single" w:sz="4" w:space="0" w:color="auto"/>
              <w:right w:val="single" w:sz="4" w:space="0" w:color="auto"/>
            </w:tcBorders>
            <w:shd w:val="clear" w:color="auto" w:fill="auto"/>
          </w:tcPr>
          <w:p w14:paraId="6C443C9C" w14:textId="2DAF2E75"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spravedlnosti</w:t>
            </w:r>
          </w:p>
        </w:tc>
        <w:tc>
          <w:tcPr>
            <w:tcW w:w="168" w:type="pct"/>
            <w:tcBorders>
              <w:top w:val="single" w:sz="4" w:space="0" w:color="auto"/>
              <w:left w:val="single" w:sz="4" w:space="0" w:color="auto"/>
              <w:right w:val="single" w:sz="4" w:space="0" w:color="auto"/>
            </w:tcBorders>
            <w:shd w:val="clear" w:color="auto" w:fill="auto"/>
          </w:tcPr>
          <w:p w14:paraId="10D62F3F" w14:textId="22060BA2"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16.</w:t>
            </w:r>
          </w:p>
        </w:tc>
        <w:tc>
          <w:tcPr>
            <w:tcW w:w="169" w:type="pct"/>
            <w:tcBorders>
              <w:top w:val="single" w:sz="4" w:space="0" w:color="auto"/>
              <w:left w:val="single" w:sz="4" w:space="0" w:color="auto"/>
              <w:right w:val="single" w:sz="4" w:space="0" w:color="auto"/>
            </w:tcBorders>
            <w:shd w:val="clear" w:color="auto" w:fill="auto"/>
          </w:tcPr>
          <w:p w14:paraId="03DF471A" w14:textId="5CF90F5B"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5E755CF" w14:textId="77777777" w:rsidR="00BE73FF" w:rsidRPr="0035187E" w:rsidRDefault="00BE73FF" w:rsidP="0035187E">
            <w:pPr>
              <w:numPr>
                <w:ilvl w:val="0"/>
                <w:numId w:val="25"/>
              </w:numPr>
              <w:ind w:left="0" w:firstLine="0"/>
              <w:jc w:val="both"/>
              <w:rPr>
                <w:rFonts w:ascii="Times New Roman" w:eastAsia="Aptos" w:hAnsi="Times New Roman" w:cs="Times New Roman"/>
                <w:b/>
                <w:sz w:val="20"/>
                <w:szCs w:val="20"/>
                <w:lang w:eastAsia="en-US"/>
              </w:rPr>
            </w:pPr>
            <w:r w:rsidRPr="0035187E">
              <w:rPr>
                <w:rFonts w:ascii="Times New Roman" w:eastAsia="Aptos" w:hAnsi="Times New Roman" w:cs="Times New Roman"/>
                <w:b/>
                <w:sz w:val="20"/>
                <w:szCs w:val="20"/>
                <w:lang w:eastAsia="en-US"/>
              </w:rPr>
              <w:t>K § 30 bodu 14</w:t>
            </w:r>
          </w:p>
          <w:p w14:paraId="27B7614D" w14:textId="3C864D4F" w:rsidR="00BE73FF" w:rsidRPr="0035187E" w:rsidRDefault="00BE73FF" w:rsidP="0035187E">
            <w:pPr>
              <w:jc w:val="both"/>
              <w:rPr>
                <w:rFonts w:ascii="Times New Roman" w:eastAsia="Aptos" w:hAnsi="Times New Roman" w:cs="Times New Roman"/>
                <w:bCs/>
                <w:sz w:val="20"/>
                <w:szCs w:val="20"/>
                <w:lang w:eastAsia="en-US"/>
              </w:rPr>
            </w:pPr>
            <w:r w:rsidRPr="0035187E">
              <w:rPr>
                <w:rFonts w:ascii="Times New Roman" w:eastAsia="Aptos" w:hAnsi="Times New Roman" w:cs="Times New Roman"/>
                <w:bCs/>
                <w:sz w:val="20"/>
                <w:szCs w:val="20"/>
                <w:lang w:eastAsia="en-US"/>
              </w:rPr>
              <w:t>Není nám jasný účel navrhovaného § 35bd odst. 5 zákona o daních z příjmů. Doporučujeme doplnit důvodovou zprávu, případně dáváme ke zvážení vypuštění ustanovení.</w:t>
            </w:r>
            <w:r w:rsidRPr="0035187E">
              <w:rPr>
                <w:rFonts w:ascii="Times New Roman" w:eastAsia="Aptos" w:hAnsi="Times New Roman" w:cs="Times New Roman"/>
                <w:sz w:val="20"/>
                <w:szCs w:val="20"/>
                <w:shd w:val="clear" w:color="auto" w:fill="FFFFFF"/>
                <w:lang w:eastAsia="en-US"/>
              </w:rPr>
              <w:t xml:space="preserve"> </w:t>
            </w:r>
            <w:r w:rsidRPr="0035187E">
              <w:rPr>
                <w:rFonts w:ascii="Times New Roman" w:eastAsia="Aptos" w:hAnsi="Times New Roman" w:cs="Times New Roman"/>
                <w:bCs/>
                <w:sz w:val="20"/>
                <w:szCs w:val="20"/>
                <w:lang w:eastAsia="en-US"/>
              </w:rPr>
              <w:t xml:space="preserve">Původní omezení bylo podle důvodové zprávy k zákonu č. 247/2014 Sb. stanoveno se záměrem podpořit rodiče dítěte, kteří za účelem zapojení se do výdělečné činnosti využijí služeb péče o děti, přičemž zákon zřejmě předpokládal, že prarodiče nejsou výdělečně činní. To však nutně neplatí. Uplatnit slevu za umístění dítěte bude navíc možné i ve vztahu k příjmům z kapitálového majetku a nájmu, které mohou mít rovněž osoby zcela hospodářsky neaktivní, vytvářela by se tak nedůvodná nerovnost. Ani jiné nevhodné využití slevy prarodiči se nezdá být možné vzhledem k podmínce, aby vyživované dítě žilo s poplatníkem ve společně hospodařící domácnosti a omezení možnosti využít slevu pouze na jednoho poplatníka v rámci jedné společně hospodařící domácnosti (navrhovaný § 35bd odst. 2 a 3 zákona o daních z příjmů). </w:t>
            </w:r>
          </w:p>
        </w:tc>
        <w:tc>
          <w:tcPr>
            <w:tcW w:w="1453" w:type="pct"/>
            <w:tcBorders>
              <w:top w:val="single" w:sz="4" w:space="0" w:color="auto"/>
              <w:left w:val="single" w:sz="4" w:space="0" w:color="auto"/>
              <w:right w:val="single" w:sz="4" w:space="0" w:color="auto"/>
            </w:tcBorders>
            <w:shd w:val="clear" w:color="auto" w:fill="auto"/>
          </w:tcPr>
          <w:p w14:paraId="5C5B14E5" w14:textId="77777777" w:rsidR="00641217" w:rsidRPr="0035187E" w:rsidRDefault="00641217"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Nevyhověno.</w:t>
            </w:r>
          </w:p>
          <w:p w14:paraId="2C34D0E9" w14:textId="57030720" w:rsidR="00641217" w:rsidRPr="0035187E" w:rsidRDefault="00641217" w:rsidP="0035187E">
            <w:pPr>
              <w:jc w:val="both"/>
              <w:rPr>
                <w:rFonts w:ascii="Times New Roman" w:hAnsi="Times New Roman" w:cs="Times New Roman"/>
                <w:sz w:val="20"/>
                <w:szCs w:val="20"/>
              </w:rPr>
            </w:pPr>
            <w:r w:rsidRPr="0035187E">
              <w:rPr>
                <w:rFonts w:ascii="Times New Roman" w:hAnsi="Times New Roman" w:cs="Times New Roman"/>
                <w:sz w:val="20"/>
                <w:szCs w:val="20"/>
              </w:rPr>
              <w:t>Opětovné zavedení slevy za umístnění dítěte má za cíl zvýšení dostupnosti využívání kapacit předškolních zařízení. Tomuto cíli odpovídá i vymezení okruhu oprávněných osob.</w:t>
            </w:r>
          </w:p>
          <w:p w14:paraId="74D85361" w14:textId="2A353EC7" w:rsidR="00641217" w:rsidRPr="0035187E" w:rsidRDefault="00641217" w:rsidP="0035187E">
            <w:pPr>
              <w:jc w:val="both"/>
              <w:rPr>
                <w:rFonts w:ascii="Times New Roman" w:hAnsi="Times New Roman" w:cs="Times New Roman"/>
                <w:sz w:val="20"/>
                <w:szCs w:val="20"/>
              </w:rPr>
            </w:pPr>
            <w:r w:rsidRPr="0035187E">
              <w:rPr>
                <w:rFonts w:ascii="Times New Roman" w:hAnsi="Times New Roman" w:cs="Times New Roman"/>
                <w:sz w:val="20"/>
                <w:szCs w:val="20"/>
              </w:rPr>
              <w:t>Omezení vylučující uplatnění slevy prarodiči, kteří nemají dítě svěřeno do péče nahrazující péči rodičů, sleduje zajištění přímé vazby mezi daňovou podporou a osobou, která nese primární odpovědnost za umístění dítěte do předškolního zařízení a fakticky vytváří poptávku po těchto službách. V případě prarodičů bez svěřené péče tato vazba zpravidla absentuje, neboť nejde o osoby, které by systémově rozhodovaly o zajištění institucionální péče o dítě.</w:t>
            </w:r>
          </w:p>
          <w:p w14:paraId="411C8AEF" w14:textId="5C7CE9CC" w:rsidR="00BE73FF" w:rsidRPr="0035187E" w:rsidRDefault="00641217" w:rsidP="0035187E">
            <w:pPr>
              <w:pStyle w:val="Dvodovzprva"/>
              <w:spacing w:before="0"/>
              <w:rPr>
                <w:rFonts w:eastAsia="Aptos"/>
                <w:bCs/>
                <w:sz w:val="20"/>
                <w:lang w:eastAsia="en-US"/>
              </w:rPr>
            </w:pPr>
            <w:r w:rsidRPr="0035187E">
              <w:rPr>
                <w:sz w:val="20"/>
              </w:rPr>
              <w:t>Naopak v situacích, kdy je dítě prarodiči svěřeno do péče nahrazující péči rodičů, je jejich postavení srovnatelné s rodiči, a proto jim zůstává možnost slevu uplatnit. Navržená úprava tak zachovává vnitřní konzistenci právní úpravy a směřuje podporu cíleně na ty subjekty, které svým rozhodováním přímo ovlivňují využívání kapacit předškolních zařízení.</w:t>
            </w:r>
          </w:p>
        </w:tc>
      </w:tr>
      <w:tr w:rsidR="0035187E" w:rsidRPr="0035187E" w14:paraId="038BAC7A" w14:textId="77777777" w:rsidTr="0035187E">
        <w:trPr>
          <w:trHeight w:val="132"/>
        </w:trPr>
        <w:tc>
          <w:tcPr>
            <w:tcW w:w="227" w:type="pct"/>
            <w:tcBorders>
              <w:top w:val="single" w:sz="4" w:space="0" w:color="auto"/>
              <w:left w:val="single" w:sz="4" w:space="0" w:color="auto"/>
              <w:right w:val="single" w:sz="4" w:space="0" w:color="auto"/>
            </w:tcBorders>
            <w:shd w:val="clear" w:color="auto" w:fill="auto"/>
          </w:tcPr>
          <w:p w14:paraId="774F7571" w14:textId="349612A6"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7.</w:t>
            </w:r>
          </w:p>
        </w:tc>
        <w:tc>
          <w:tcPr>
            <w:tcW w:w="583" w:type="pct"/>
            <w:tcBorders>
              <w:top w:val="single" w:sz="4" w:space="0" w:color="auto"/>
              <w:left w:val="single" w:sz="4" w:space="0" w:color="auto"/>
              <w:right w:val="single" w:sz="4" w:space="0" w:color="auto"/>
            </w:tcBorders>
            <w:shd w:val="clear" w:color="auto" w:fill="auto"/>
          </w:tcPr>
          <w:p w14:paraId="3E596098" w14:textId="7C56437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spravedlnosti</w:t>
            </w:r>
          </w:p>
        </w:tc>
        <w:tc>
          <w:tcPr>
            <w:tcW w:w="168" w:type="pct"/>
            <w:tcBorders>
              <w:top w:val="single" w:sz="4" w:space="0" w:color="auto"/>
              <w:left w:val="single" w:sz="4" w:space="0" w:color="auto"/>
              <w:right w:val="single" w:sz="4" w:space="0" w:color="auto"/>
            </w:tcBorders>
            <w:shd w:val="clear" w:color="auto" w:fill="auto"/>
          </w:tcPr>
          <w:p w14:paraId="05DB7A78" w14:textId="63B3D5DA"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17.</w:t>
            </w:r>
          </w:p>
        </w:tc>
        <w:tc>
          <w:tcPr>
            <w:tcW w:w="169" w:type="pct"/>
            <w:tcBorders>
              <w:top w:val="single" w:sz="4" w:space="0" w:color="auto"/>
              <w:left w:val="single" w:sz="4" w:space="0" w:color="auto"/>
              <w:right w:val="single" w:sz="4" w:space="0" w:color="auto"/>
            </w:tcBorders>
            <w:shd w:val="clear" w:color="auto" w:fill="auto"/>
          </w:tcPr>
          <w:p w14:paraId="4FF5F980" w14:textId="051FFEEA"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2096F74" w14:textId="77777777" w:rsidR="00BE73FF" w:rsidRPr="0035187E" w:rsidRDefault="00BE73FF" w:rsidP="0035187E">
            <w:pPr>
              <w:numPr>
                <w:ilvl w:val="0"/>
                <w:numId w:val="25"/>
              </w:numPr>
              <w:ind w:left="0" w:firstLine="0"/>
              <w:jc w:val="both"/>
              <w:rPr>
                <w:rFonts w:ascii="Times New Roman" w:eastAsia="Aptos" w:hAnsi="Times New Roman" w:cs="Times New Roman"/>
                <w:b/>
                <w:sz w:val="20"/>
                <w:szCs w:val="20"/>
                <w:lang w:eastAsia="en-US"/>
              </w:rPr>
            </w:pPr>
            <w:r w:rsidRPr="0035187E">
              <w:rPr>
                <w:rFonts w:ascii="Times New Roman" w:eastAsia="Aptos" w:hAnsi="Times New Roman" w:cs="Times New Roman"/>
                <w:b/>
                <w:sz w:val="20"/>
                <w:szCs w:val="20"/>
                <w:lang w:eastAsia="en-US"/>
              </w:rPr>
              <w:t>K § 30 bodu 16 a 18</w:t>
            </w:r>
          </w:p>
          <w:p w14:paraId="2A718E46" w14:textId="2F761A4C" w:rsidR="00BE73FF" w:rsidRPr="0035187E" w:rsidRDefault="00BE73FF" w:rsidP="0035187E">
            <w:pPr>
              <w:jc w:val="both"/>
              <w:rPr>
                <w:rFonts w:ascii="Times New Roman" w:eastAsia="Aptos" w:hAnsi="Times New Roman" w:cs="Times New Roman"/>
                <w:bCs/>
                <w:i/>
                <w:iCs/>
                <w:sz w:val="20"/>
                <w:szCs w:val="20"/>
                <w:lang w:eastAsia="en-US"/>
              </w:rPr>
            </w:pPr>
            <w:r w:rsidRPr="0035187E">
              <w:rPr>
                <w:rFonts w:ascii="Times New Roman" w:eastAsia="Aptos" w:hAnsi="Times New Roman" w:cs="Times New Roman"/>
                <w:bCs/>
                <w:sz w:val="20"/>
                <w:szCs w:val="20"/>
                <w:lang w:eastAsia="en-US"/>
              </w:rPr>
              <w:t xml:space="preserve">Doporučujeme v obou novelizačních bodech doplnit uzavírací uvozovku na konci textu </w:t>
            </w:r>
            <w:r w:rsidRPr="0035187E">
              <w:rPr>
                <w:rFonts w:ascii="Times New Roman" w:eastAsia="Aptos" w:hAnsi="Times New Roman" w:cs="Times New Roman"/>
                <w:bCs/>
                <w:i/>
                <w:iCs/>
                <w:sz w:val="20"/>
                <w:szCs w:val="20"/>
                <w:lang w:eastAsia="en-US"/>
              </w:rPr>
              <w:t>„„e)“.</w:t>
            </w:r>
          </w:p>
        </w:tc>
        <w:tc>
          <w:tcPr>
            <w:tcW w:w="1453" w:type="pct"/>
            <w:tcBorders>
              <w:top w:val="single" w:sz="4" w:space="0" w:color="auto"/>
              <w:left w:val="single" w:sz="4" w:space="0" w:color="auto"/>
              <w:right w:val="single" w:sz="4" w:space="0" w:color="auto"/>
            </w:tcBorders>
            <w:shd w:val="clear" w:color="auto" w:fill="auto"/>
          </w:tcPr>
          <w:p w14:paraId="088E735E" w14:textId="77777777" w:rsidR="00BE73FF" w:rsidRPr="0035187E" w:rsidRDefault="00BE73FF"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Vyhověno.</w:t>
            </w:r>
          </w:p>
          <w:p w14:paraId="616BE70C" w14:textId="5BECA035"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tc>
      </w:tr>
      <w:tr w:rsidR="0035187E" w:rsidRPr="0035187E" w14:paraId="50426A39"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4FBB39A" w14:textId="14673248"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7.</w:t>
            </w:r>
          </w:p>
        </w:tc>
        <w:tc>
          <w:tcPr>
            <w:tcW w:w="583" w:type="pct"/>
            <w:tcBorders>
              <w:top w:val="single" w:sz="4" w:space="0" w:color="auto"/>
              <w:left w:val="single" w:sz="4" w:space="0" w:color="auto"/>
              <w:right w:val="single" w:sz="4" w:space="0" w:color="auto"/>
            </w:tcBorders>
            <w:shd w:val="clear" w:color="auto" w:fill="auto"/>
          </w:tcPr>
          <w:p w14:paraId="3725DBE9" w14:textId="5600A5FC"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spravedlnosti</w:t>
            </w:r>
          </w:p>
        </w:tc>
        <w:tc>
          <w:tcPr>
            <w:tcW w:w="168" w:type="pct"/>
            <w:tcBorders>
              <w:top w:val="single" w:sz="4" w:space="0" w:color="auto"/>
              <w:left w:val="single" w:sz="4" w:space="0" w:color="auto"/>
              <w:right w:val="single" w:sz="4" w:space="0" w:color="auto"/>
            </w:tcBorders>
            <w:shd w:val="clear" w:color="auto" w:fill="auto"/>
          </w:tcPr>
          <w:p w14:paraId="42723FA1" w14:textId="27E6C519"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18.</w:t>
            </w:r>
          </w:p>
        </w:tc>
        <w:tc>
          <w:tcPr>
            <w:tcW w:w="169" w:type="pct"/>
            <w:tcBorders>
              <w:top w:val="single" w:sz="4" w:space="0" w:color="auto"/>
              <w:left w:val="single" w:sz="4" w:space="0" w:color="auto"/>
              <w:right w:val="single" w:sz="4" w:space="0" w:color="auto"/>
            </w:tcBorders>
            <w:shd w:val="clear" w:color="auto" w:fill="auto"/>
          </w:tcPr>
          <w:p w14:paraId="33FFCFFE" w14:textId="5B24098D"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CB1C79E" w14:textId="77777777" w:rsidR="00BE73FF" w:rsidRPr="0035187E" w:rsidRDefault="00BE73FF" w:rsidP="0035187E">
            <w:pPr>
              <w:numPr>
                <w:ilvl w:val="0"/>
                <w:numId w:val="25"/>
              </w:numPr>
              <w:ind w:left="0" w:firstLine="0"/>
              <w:jc w:val="both"/>
              <w:rPr>
                <w:rFonts w:ascii="Times New Roman" w:eastAsia="Aptos" w:hAnsi="Times New Roman" w:cs="Times New Roman"/>
                <w:bCs/>
                <w:sz w:val="20"/>
                <w:szCs w:val="20"/>
                <w:lang w:eastAsia="en-US"/>
              </w:rPr>
            </w:pPr>
            <w:r w:rsidRPr="0035187E">
              <w:rPr>
                <w:rFonts w:ascii="Times New Roman" w:eastAsia="Aptos" w:hAnsi="Times New Roman" w:cs="Times New Roman"/>
                <w:b/>
                <w:sz w:val="20"/>
                <w:szCs w:val="20"/>
                <w:lang w:eastAsia="en-US"/>
              </w:rPr>
              <w:t>K § 35 úvodní větě</w:t>
            </w:r>
          </w:p>
          <w:p w14:paraId="77DB0834" w14:textId="5153C2F9" w:rsidR="00BE73FF" w:rsidRPr="0035187E" w:rsidRDefault="00BE73FF" w:rsidP="0035187E">
            <w:pPr>
              <w:jc w:val="both"/>
              <w:rPr>
                <w:rFonts w:ascii="Times New Roman" w:eastAsia="Aptos" w:hAnsi="Times New Roman" w:cs="Times New Roman"/>
                <w:bCs/>
                <w:sz w:val="20"/>
                <w:szCs w:val="20"/>
                <w:lang w:eastAsia="en-US"/>
              </w:rPr>
            </w:pPr>
            <w:r w:rsidRPr="0035187E">
              <w:rPr>
                <w:rFonts w:ascii="Times New Roman" w:eastAsia="Aptos" w:hAnsi="Times New Roman" w:cs="Times New Roman"/>
                <w:bCs/>
                <w:sz w:val="20"/>
                <w:szCs w:val="20"/>
                <w:lang w:eastAsia="en-US"/>
              </w:rPr>
              <w:t>Text návrhu obsahuje dvojitou mezeru v názvu 15 zákonů uvedených v úvodní větě části páté.</w:t>
            </w:r>
          </w:p>
        </w:tc>
        <w:tc>
          <w:tcPr>
            <w:tcW w:w="1453" w:type="pct"/>
            <w:tcBorders>
              <w:top w:val="single" w:sz="4" w:space="0" w:color="auto"/>
              <w:left w:val="single" w:sz="4" w:space="0" w:color="auto"/>
              <w:right w:val="single" w:sz="4" w:space="0" w:color="auto"/>
            </w:tcBorders>
            <w:shd w:val="clear" w:color="auto" w:fill="auto"/>
          </w:tcPr>
          <w:p w14:paraId="6AC1458B" w14:textId="77777777" w:rsidR="00BE73FF" w:rsidRPr="0035187E" w:rsidRDefault="00BE73FF"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Vyhověno.</w:t>
            </w:r>
          </w:p>
          <w:p w14:paraId="28D6B74A" w14:textId="1395D49E"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tc>
      </w:tr>
      <w:tr w:rsidR="0035187E" w:rsidRPr="0035187E" w14:paraId="47B22038"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D2E0228" w14:textId="71EC865E"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7.</w:t>
            </w:r>
          </w:p>
        </w:tc>
        <w:tc>
          <w:tcPr>
            <w:tcW w:w="583" w:type="pct"/>
            <w:tcBorders>
              <w:top w:val="single" w:sz="4" w:space="0" w:color="auto"/>
              <w:left w:val="single" w:sz="4" w:space="0" w:color="auto"/>
              <w:right w:val="single" w:sz="4" w:space="0" w:color="auto"/>
            </w:tcBorders>
            <w:shd w:val="clear" w:color="auto" w:fill="auto"/>
          </w:tcPr>
          <w:p w14:paraId="6915B7C2" w14:textId="19EBAB7A"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spravedlnosti</w:t>
            </w:r>
          </w:p>
        </w:tc>
        <w:tc>
          <w:tcPr>
            <w:tcW w:w="168" w:type="pct"/>
            <w:tcBorders>
              <w:top w:val="single" w:sz="4" w:space="0" w:color="auto"/>
              <w:left w:val="single" w:sz="4" w:space="0" w:color="auto"/>
              <w:right w:val="single" w:sz="4" w:space="0" w:color="auto"/>
            </w:tcBorders>
            <w:shd w:val="clear" w:color="auto" w:fill="auto"/>
          </w:tcPr>
          <w:p w14:paraId="013777CE" w14:textId="6B5F159D"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19.</w:t>
            </w:r>
          </w:p>
        </w:tc>
        <w:tc>
          <w:tcPr>
            <w:tcW w:w="169" w:type="pct"/>
            <w:tcBorders>
              <w:top w:val="single" w:sz="4" w:space="0" w:color="auto"/>
              <w:left w:val="single" w:sz="4" w:space="0" w:color="auto"/>
              <w:right w:val="single" w:sz="4" w:space="0" w:color="auto"/>
            </w:tcBorders>
            <w:shd w:val="clear" w:color="auto" w:fill="auto"/>
          </w:tcPr>
          <w:p w14:paraId="47FBC3A5" w14:textId="39CD0CF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B94B2F9" w14:textId="77777777" w:rsidR="00BE73FF" w:rsidRPr="0035187E" w:rsidRDefault="00BE73FF" w:rsidP="0035187E">
            <w:pPr>
              <w:numPr>
                <w:ilvl w:val="0"/>
                <w:numId w:val="25"/>
              </w:numPr>
              <w:ind w:left="0" w:firstLine="0"/>
              <w:jc w:val="both"/>
              <w:rPr>
                <w:rFonts w:ascii="Times New Roman" w:eastAsia="Aptos" w:hAnsi="Times New Roman" w:cs="Times New Roman"/>
                <w:bCs/>
                <w:sz w:val="20"/>
                <w:szCs w:val="20"/>
                <w:lang w:eastAsia="en-US"/>
              </w:rPr>
            </w:pPr>
            <w:r w:rsidRPr="0035187E">
              <w:rPr>
                <w:rFonts w:ascii="Times New Roman" w:eastAsia="Aptos" w:hAnsi="Times New Roman" w:cs="Times New Roman"/>
                <w:b/>
                <w:sz w:val="20"/>
                <w:szCs w:val="20"/>
                <w:lang w:eastAsia="en-US"/>
              </w:rPr>
              <w:t>Formální připomínky k návrhu vládního usnesení</w:t>
            </w:r>
          </w:p>
          <w:p w14:paraId="208D786C" w14:textId="73331C85" w:rsidR="00BE73FF" w:rsidRPr="0035187E" w:rsidRDefault="00BE73FF" w:rsidP="0035187E">
            <w:pPr>
              <w:jc w:val="both"/>
              <w:rPr>
                <w:rFonts w:ascii="Times New Roman" w:eastAsia="Aptos" w:hAnsi="Times New Roman" w:cs="Times New Roman"/>
                <w:bCs/>
                <w:sz w:val="20"/>
                <w:szCs w:val="20"/>
                <w:lang w:eastAsia="en-US"/>
              </w:rPr>
            </w:pPr>
            <w:r w:rsidRPr="0035187E">
              <w:rPr>
                <w:rFonts w:ascii="Times New Roman" w:eastAsia="Aptos" w:hAnsi="Times New Roman" w:cs="Times New Roman"/>
                <w:bCs/>
                <w:sz w:val="20"/>
                <w:szCs w:val="20"/>
                <w:lang w:eastAsia="en-US"/>
              </w:rPr>
              <w:t xml:space="preserve">Doporučujeme v bodu II. návrhu usnesení opravit tečku za slovy </w:t>
            </w:r>
            <w:r w:rsidRPr="0035187E">
              <w:rPr>
                <w:rFonts w:ascii="Times New Roman" w:eastAsia="Aptos" w:hAnsi="Times New Roman" w:cs="Times New Roman"/>
                <w:bCs/>
                <w:i/>
                <w:iCs/>
                <w:sz w:val="20"/>
                <w:szCs w:val="20"/>
                <w:lang w:eastAsia="en-US"/>
              </w:rPr>
              <w:t>„bodu I“</w:t>
            </w:r>
            <w:r w:rsidRPr="0035187E">
              <w:rPr>
                <w:rFonts w:ascii="Times New Roman" w:eastAsia="Aptos" w:hAnsi="Times New Roman" w:cs="Times New Roman"/>
                <w:bCs/>
                <w:sz w:val="20"/>
                <w:szCs w:val="20"/>
                <w:lang w:eastAsia="en-US"/>
              </w:rPr>
              <w:t xml:space="preserve"> a dále v bodu IV. návrhu usnesení nahradit slova </w:t>
            </w:r>
            <w:r w:rsidRPr="0035187E">
              <w:rPr>
                <w:rFonts w:ascii="Times New Roman" w:eastAsia="Aptos" w:hAnsi="Times New Roman" w:cs="Times New Roman"/>
                <w:bCs/>
                <w:i/>
                <w:iCs/>
                <w:sz w:val="20"/>
                <w:szCs w:val="20"/>
                <w:lang w:eastAsia="en-US"/>
              </w:rPr>
              <w:t>„bodu IV.2.“</w:t>
            </w:r>
            <w:r w:rsidRPr="0035187E">
              <w:rPr>
                <w:rFonts w:ascii="Times New Roman" w:eastAsia="Aptos" w:hAnsi="Times New Roman" w:cs="Times New Roman"/>
                <w:bCs/>
                <w:sz w:val="20"/>
                <w:szCs w:val="20"/>
                <w:lang w:eastAsia="en-US"/>
              </w:rPr>
              <w:t xml:space="preserve"> slovy </w:t>
            </w:r>
            <w:r w:rsidRPr="0035187E">
              <w:rPr>
                <w:rFonts w:ascii="Times New Roman" w:eastAsia="Aptos" w:hAnsi="Times New Roman" w:cs="Times New Roman"/>
                <w:bCs/>
                <w:i/>
                <w:iCs/>
                <w:sz w:val="20"/>
                <w:szCs w:val="20"/>
                <w:lang w:eastAsia="en-US"/>
              </w:rPr>
              <w:t>„bodu III.2.“</w:t>
            </w:r>
            <w:r w:rsidRPr="0035187E">
              <w:rPr>
                <w:rFonts w:ascii="Times New Roman" w:eastAsia="Aptos" w:hAnsi="Times New Roman" w:cs="Times New Roman"/>
                <w:bCs/>
                <w:sz w:val="20"/>
                <w:szCs w:val="20"/>
                <w:lang w:eastAsia="en-US"/>
              </w:rPr>
              <w:t>, odkaz zjevně míří na bod III.2. návrhu usnesení vlády.</w:t>
            </w:r>
          </w:p>
        </w:tc>
        <w:tc>
          <w:tcPr>
            <w:tcW w:w="1453" w:type="pct"/>
            <w:tcBorders>
              <w:top w:val="single" w:sz="4" w:space="0" w:color="auto"/>
              <w:left w:val="single" w:sz="4" w:space="0" w:color="auto"/>
              <w:right w:val="single" w:sz="4" w:space="0" w:color="auto"/>
            </w:tcBorders>
            <w:shd w:val="clear" w:color="auto" w:fill="auto"/>
          </w:tcPr>
          <w:p w14:paraId="7A817944" w14:textId="77777777" w:rsidR="00641217" w:rsidRPr="0035187E" w:rsidRDefault="00641217"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Vyhověno.</w:t>
            </w:r>
          </w:p>
          <w:p w14:paraId="6E518041" w14:textId="541631F8" w:rsidR="00BE73FF" w:rsidRPr="0035187E" w:rsidRDefault="00641217"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tc>
      </w:tr>
      <w:tr w:rsidR="0035187E" w:rsidRPr="0035187E" w14:paraId="326DF69A"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777DA6D" w14:textId="040FB248"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8.</w:t>
            </w:r>
          </w:p>
        </w:tc>
        <w:tc>
          <w:tcPr>
            <w:tcW w:w="583" w:type="pct"/>
            <w:tcBorders>
              <w:top w:val="single" w:sz="4" w:space="0" w:color="auto"/>
              <w:left w:val="single" w:sz="4" w:space="0" w:color="auto"/>
              <w:right w:val="single" w:sz="4" w:space="0" w:color="auto"/>
            </w:tcBorders>
            <w:shd w:val="clear" w:color="auto" w:fill="auto"/>
          </w:tcPr>
          <w:p w14:paraId="1C033D79" w14:textId="5CAEA6E3"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Ministerstvo </w:t>
            </w:r>
            <w:proofErr w:type="gramStart"/>
            <w:r w:rsidRPr="0035187E">
              <w:rPr>
                <w:rFonts w:ascii="Times New Roman" w:hAnsi="Times New Roman" w:cs="Times New Roman"/>
                <w:sz w:val="20"/>
                <w:szCs w:val="20"/>
              </w:rPr>
              <w:t>školství‚ mládeže</w:t>
            </w:r>
            <w:proofErr w:type="gramEnd"/>
            <w:r w:rsidRPr="0035187E">
              <w:rPr>
                <w:rFonts w:ascii="Times New Roman" w:hAnsi="Times New Roman" w:cs="Times New Roman"/>
                <w:sz w:val="20"/>
                <w:szCs w:val="20"/>
              </w:rPr>
              <w:t xml:space="preserve"> a tělovýchovy</w:t>
            </w:r>
          </w:p>
        </w:tc>
        <w:tc>
          <w:tcPr>
            <w:tcW w:w="168" w:type="pct"/>
            <w:tcBorders>
              <w:top w:val="single" w:sz="4" w:space="0" w:color="auto"/>
              <w:left w:val="single" w:sz="4" w:space="0" w:color="auto"/>
              <w:right w:val="single" w:sz="4" w:space="0" w:color="auto"/>
            </w:tcBorders>
            <w:shd w:val="clear" w:color="auto" w:fill="auto"/>
          </w:tcPr>
          <w:p w14:paraId="435A1570" w14:textId="7AD415BA"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71F5324A" w14:textId="35528B7D"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94546B6" w14:textId="2C76D2F7" w:rsidR="00BE73FF" w:rsidRPr="0035187E" w:rsidRDefault="00BE73FF" w:rsidP="0035187E">
            <w:pPr>
              <w:widowControl w:val="0"/>
              <w:autoSpaceDE w:val="0"/>
              <w:autoSpaceDN w:val="0"/>
              <w:adjustRightInd w:val="0"/>
              <w:jc w:val="both"/>
              <w:rPr>
                <w:rFonts w:ascii="Times New Roman" w:hAnsi="Times New Roman" w:cs="Times New Roman"/>
                <w:b/>
                <w:sz w:val="20"/>
                <w:szCs w:val="20"/>
              </w:rPr>
            </w:pPr>
            <w:r w:rsidRPr="0035187E">
              <w:rPr>
                <w:rFonts w:ascii="Times New Roman" w:hAnsi="Times New Roman" w:cs="Times New Roman"/>
                <w:b/>
                <w:sz w:val="20"/>
                <w:szCs w:val="20"/>
              </w:rPr>
              <w:t>Zásadní připomínky:</w:t>
            </w:r>
          </w:p>
          <w:p w14:paraId="65881150" w14:textId="77777777" w:rsidR="00BE73FF" w:rsidRPr="0035187E" w:rsidRDefault="00BE73FF" w:rsidP="0035187E">
            <w:pPr>
              <w:widowControl w:val="0"/>
              <w:autoSpaceDE w:val="0"/>
              <w:autoSpaceDN w:val="0"/>
              <w:adjustRightInd w:val="0"/>
              <w:jc w:val="both"/>
              <w:rPr>
                <w:rFonts w:ascii="Times New Roman" w:hAnsi="Times New Roman" w:cs="Times New Roman"/>
                <w:b/>
                <w:sz w:val="20"/>
                <w:szCs w:val="20"/>
              </w:rPr>
            </w:pPr>
          </w:p>
          <w:p w14:paraId="66974175" w14:textId="42230DBC" w:rsidR="00BE73FF" w:rsidRPr="0035187E" w:rsidRDefault="00BE73FF" w:rsidP="0035187E">
            <w:pPr>
              <w:widowControl w:val="0"/>
              <w:numPr>
                <w:ilvl w:val="0"/>
                <w:numId w:val="46"/>
              </w:numPr>
              <w:autoSpaceDE w:val="0"/>
              <w:autoSpaceDN w:val="0"/>
              <w:adjustRightInd w:val="0"/>
              <w:ind w:left="0" w:firstLine="0"/>
              <w:jc w:val="both"/>
              <w:rPr>
                <w:rFonts w:ascii="Times New Roman" w:hAnsi="Times New Roman" w:cs="Times New Roman"/>
                <w:sz w:val="20"/>
                <w:szCs w:val="20"/>
              </w:rPr>
            </w:pPr>
            <w:r w:rsidRPr="0035187E">
              <w:rPr>
                <w:rFonts w:ascii="Times New Roman" w:hAnsi="Times New Roman" w:cs="Times New Roman"/>
                <w:b/>
                <w:sz w:val="20"/>
                <w:szCs w:val="20"/>
              </w:rPr>
              <w:t>K § 12 odst. 1 návrhu zákona:</w:t>
            </w:r>
            <w:r w:rsidRPr="0035187E">
              <w:rPr>
                <w:rFonts w:ascii="Times New Roman" w:hAnsi="Times New Roman" w:cs="Times New Roman"/>
                <w:bCs/>
                <w:sz w:val="20"/>
                <w:szCs w:val="20"/>
              </w:rPr>
              <w:t xml:space="preserve"> Požadujeme do tohoto ustanovení vložit písmeno d) ve znění „</w:t>
            </w:r>
            <w:r w:rsidRPr="0035187E">
              <w:rPr>
                <w:rFonts w:ascii="Times New Roman" w:hAnsi="Times New Roman" w:cs="Times New Roman"/>
                <w:bCs/>
                <w:i/>
                <w:iCs/>
                <w:sz w:val="20"/>
                <w:szCs w:val="20"/>
              </w:rPr>
              <w:t>d) školské právnické osoby zřízené Ministerstvem školství, mládeže a tělovýchovy, krajem, obcí nebo dobrovolným svazkem obcí, nebo veřejnou vysokou školou společně s těmito zřizovateli</w:t>
            </w:r>
            <w:r w:rsidRPr="0035187E">
              <w:rPr>
                <w:rFonts w:ascii="Times New Roman" w:hAnsi="Times New Roman" w:cs="Times New Roman"/>
                <w:bCs/>
                <w:sz w:val="20"/>
                <w:szCs w:val="20"/>
              </w:rPr>
              <w:t xml:space="preserve">,". Požadujeme z evidence tržeb obecně vyjmout veřejné školy </w:t>
            </w:r>
            <w:r w:rsidRPr="0035187E">
              <w:rPr>
                <w:rFonts w:ascii="Times New Roman" w:hAnsi="Times New Roman" w:cs="Times New Roman"/>
                <w:bCs/>
                <w:sz w:val="20"/>
                <w:szCs w:val="20"/>
              </w:rPr>
              <w:lastRenderedPageBreak/>
              <w:t>a školská zařízení. Ty jsou nejčastěji zřizovány ve formě příspěvkové organizace (v návrhu obsaženo), ale může jít i o školskou právnickou osobu jako specifickou právní formu upravenou v § 124 a následujících školského zákona.</w:t>
            </w:r>
          </w:p>
        </w:tc>
        <w:tc>
          <w:tcPr>
            <w:tcW w:w="1453" w:type="pct"/>
            <w:tcBorders>
              <w:top w:val="single" w:sz="4" w:space="0" w:color="auto"/>
              <w:left w:val="single" w:sz="4" w:space="0" w:color="auto"/>
              <w:right w:val="single" w:sz="4" w:space="0" w:color="auto"/>
            </w:tcBorders>
            <w:shd w:val="clear" w:color="auto" w:fill="auto"/>
          </w:tcPr>
          <w:p w14:paraId="52C66BE0" w14:textId="77777777" w:rsidR="008C5AC6" w:rsidRPr="0035187E" w:rsidRDefault="008C5AC6"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Vyhověno.</w:t>
            </w:r>
          </w:p>
          <w:p w14:paraId="04F15815" w14:textId="77777777" w:rsidR="00BE73FF" w:rsidRPr="0035187E" w:rsidRDefault="008C5AC6"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p w14:paraId="04D2E5F2" w14:textId="77777777" w:rsidR="00210239" w:rsidRPr="0035187E" w:rsidRDefault="00210239" w:rsidP="0035187E">
            <w:pPr>
              <w:jc w:val="both"/>
              <w:rPr>
                <w:rFonts w:ascii="Times New Roman" w:hAnsi="Times New Roman" w:cs="Times New Roman"/>
                <w:sz w:val="20"/>
                <w:szCs w:val="20"/>
              </w:rPr>
            </w:pPr>
          </w:p>
          <w:p w14:paraId="6A1414F0" w14:textId="1C19DC04" w:rsidR="00210239" w:rsidRPr="0035187E" w:rsidRDefault="00210239"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Vyjádření připomínkového místa: vypořádání obecně přijímá a nevzniká rozpor.</w:t>
            </w:r>
          </w:p>
          <w:p w14:paraId="039B322C" w14:textId="77777777" w:rsidR="001A327E" w:rsidRPr="0035187E" w:rsidRDefault="001A327E" w:rsidP="0035187E">
            <w:pPr>
              <w:jc w:val="both"/>
              <w:rPr>
                <w:rFonts w:ascii="Times New Roman" w:hAnsi="Times New Roman" w:cs="Times New Roman"/>
                <w:sz w:val="20"/>
                <w:szCs w:val="20"/>
              </w:rPr>
            </w:pPr>
          </w:p>
          <w:p w14:paraId="53B71A04" w14:textId="1334CE8E" w:rsidR="001A327E" w:rsidRPr="0035187E" w:rsidRDefault="001A327E" w:rsidP="0035187E">
            <w:pPr>
              <w:jc w:val="both"/>
              <w:rPr>
                <w:rFonts w:ascii="Times New Roman" w:hAnsi="Times New Roman" w:cs="Times New Roman"/>
                <w:i/>
                <w:iCs/>
                <w:sz w:val="20"/>
                <w:szCs w:val="20"/>
              </w:rPr>
            </w:pPr>
          </w:p>
        </w:tc>
      </w:tr>
      <w:tr w:rsidR="0035187E" w:rsidRPr="0035187E" w14:paraId="5396DB91"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858D63B" w14:textId="6119B286"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8.</w:t>
            </w:r>
          </w:p>
        </w:tc>
        <w:tc>
          <w:tcPr>
            <w:tcW w:w="583" w:type="pct"/>
            <w:tcBorders>
              <w:top w:val="single" w:sz="4" w:space="0" w:color="auto"/>
              <w:left w:val="single" w:sz="4" w:space="0" w:color="auto"/>
              <w:right w:val="single" w:sz="4" w:space="0" w:color="auto"/>
            </w:tcBorders>
            <w:shd w:val="clear" w:color="auto" w:fill="auto"/>
          </w:tcPr>
          <w:p w14:paraId="231F4457" w14:textId="31E2B9F0"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Ministerstvo </w:t>
            </w:r>
            <w:proofErr w:type="gramStart"/>
            <w:r w:rsidRPr="0035187E">
              <w:rPr>
                <w:rFonts w:ascii="Times New Roman" w:hAnsi="Times New Roman" w:cs="Times New Roman"/>
                <w:sz w:val="20"/>
                <w:szCs w:val="20"/>
              </w:rPr>
              <w:t>školství‚ mládeže</w:t>
            </w:r>
            <w:proofErr w:type="gramEnd"/>
            <w:r w:rsidRPr="0035187E">
              <w:rPr>
                <w:rFonts w:ascii="Times New Roman" w:hAnsi="Times New Roman" w:cs="Times New Roman"/>
                <w:sz w:val="20"/>
                <w:szCs w:val="20"/>
              </w:rPr>
              <w:t xml:space="preserve"> a tělovýchovy</w:t>
            </w:r>
          </w:p>
        </w:tc>
        <w:tc>
          <w:tcPr>
            <w:tcW w:w="168" w:type="pct"/>
            <w:tcBorders>
              <w:top w:val="single" w:sz="4" w:space="0" w:color="auto"/>
              <w:left w:val="single" w:sz="4" w:space="0" w:color="auto"/>
              <w:right w:val="single" w:sz="4" w:space="0" w:color="auto"/>
            </w:tcBorders>
            <w:shd w:val="clear" w:color="auto" w:fill="auto"/>
          </w:tcPr>
          <w:p w14:paraId="018D8C36" w14:textId="27C2BC71"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2.</w:t>
            </w:r>
          </w:p>
        </w:tc>
        <w:tc>
          <w:tcPr>
            <w:tcW w:w="169" w:type="pct"/>
            <w:tcBorders>
              <w:top w:val="single" w:sz="4" w:space="0" w:color="auto"/>
              <w:left w:val="single" w:sz="4" w:space="0" w:color="auto"/>
              <w:right w:val="single" w:sz="4" w:space="0" w:color="auto"/>
            </w:tcBorders>
            <w:shd w:val="clear" w:color="auto" w:fill="auto"/>
          </w:tcPr>
          <w:p w14:paraId="2E48957C" w14:textId="74C4103E"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319B93C9" w14:textId="70818896" w:rsidR="00BE73FF" w:rsidRPr="0035187E" w:rsidRDefault="00BE73FF" w:rsidP="0035187E">
            <w:pPr>
              <w:widowControl w:val="0"/>
              <w:numPr>
                <w:ilvl w:val="0"/>
                <w:numId w:val="46"/>
              </w:numPr>
              <w:autoSpaceDE w:val="0"/>
              <w:autoSpaceDN w:val="0"/>
              <w:adjustRightInd w:val="0"/>
              <w:ind w:left="0" w:firstLine="0"/>
              <w:jc w:val="both"/>
              <w:rPr>
                <w:rFonts w:ascii="Times New Roman" w:hAnsi="Times New Roman" w:cs="Times New Roman"/>
                <w:sz w:val="20"/>
                <w:szCs w:val="20"/>
              </w:rPr>
            </w:pPr>
            <w:r w:rsidRPr="0035187E">
              <w:rPr>
                <w:rFonts w:ascii="Times New Roman" w:hAnsi="Times New Roman" w:cs="Times New Roman"/>
                <w:b/>
                <w:sz w:val="20"/>
                <w:szCs w:val="20"/>
              </w:rPr>
              <w:t>K § 12 odst. 1 návrhu zákona:</w:t>
            </w:r>
            <w:r w:rsidRPr="0035187E">
              <w:rPr>
                <w:rFonts w:ascii="Times New Roman" w:hAnsi="Times New Roman" w:cs="Times New Roman"/>
                <w:bCs/>
                <w:sz w:val="20"/>
                <w:szCs w:val="20"/>
              </w:rPr>
              <w:t xml:space="preserve"> Požadujeme vysvětlit, proč jsou v § 12 z evidence tržeb obecně vyloučeny státní vysoké školy a veřejné školy regionálního školství (ve formě příspěvkových organizací), ale ne veřejné vysoké školy. Pokud není dán důvod pro toto odlišení, požadujeme v daném ustanovení z evidence tržeb vyloučit rovněž veřejné vysoké školy.</w:t>
            </w:r>
          </w:p>
        </w:tc>
        <w:tc>
          <w:tcPr>
            <w:tcW w:w="1453" w:type="pct"/>
            <w:tcBorders>
              <w:top w:val="single" w:sz="4" w:space="0" w:color="auto"/>
              <w:left w:val="single" w:sz="4" w:space="0" w:color="auto"/>
              <w:right w:val="single" w:sz="4" w:space="0" w:color="auto"/>
            </w:tcBorders>
            <w:shd w:val="clear" w:color="auto" w:fill="auto"/>
          </w:tcPr>
          <w:p w14:paraId="260A001B" w14:textId="77777777" w:rsidR="003A20CD" w:rsidRPr="0035187E" w:rsidRDefault="003A20CD"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Vyhověno.</w:t>
            </w:r>
          </w:p>
          <w:p w14:paraId="3D199A81" w14:textId="77777777" w:rsidR="008C5AC6" w:rsidRPr="0035187E" w:rsidRDefault="003A20CD"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p w14:paraId="7748CB39" w14:textId="77777777" w:rsidR="00210239" w:rsidRPr="0035187E" w:rsidRDefault="00210239" w:rsidP="0035187E">
            <w:pPr>
              <w:jc w:val="both"/>
              <w:rPr>
                <w:rFonts w:ascii="Times New Roman" w:hAnsi="Times New Roman" w:cs="Times New Roman"/>
                <w:sz w:val="20"/>
                <w:szCs w:val="20"/>
              </w:rPr>
            </w:pPr>
          </w:p>
          <w:p w14:paraId="38814DEA" w14:textId="736F4B7A" w:rsidR="00210239" w:rsidRPr="0035187E" w:rsidRDefault="00210239"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Vyjádření připomínkového místa: vypořádání obecně přijímá a nevzniká rozpor.</w:t>
            </w:r>
          </w:p>
        </w:tc>
      </w:tr>
      <w:tr w:rsidR="0035187E" w:rsidRPr="0035187E" w14:paraId="02F96BC6"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0765961" w14:textId="6203FE4F"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8.</w:t>
            </w:r>
          </w:p>
        </w:tc>
        <w:tc>
          <w:tcPr>
            <w:tcW w:w="583" w:type="pct"/>
            <w:tcBorders>
              <w:top w:val="single" w:sz="4" w:space="0" w:color="auto"/>
              <w:left w:val="single" w:sz="4" w:space="0" w:color="auto"/>
              <w:right w:val="single" w:sz="4" w:space="0" w:color="auto"/>
            </w:tcBorders>
            <w:shd w:val="clear" w:color="auto" w:fill="auto"/>
          </w:tcPr>
          <w:p w14:paraId="074FD29B" w14:textId="4E3FF989"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Ministerstvo </w:t>
            </w:r>
            <w:proofErr w:type="gramStart"/>
            <w:r w:rsidRPr="0035187E">
              <w:rPr>
                <w:rFonts w:ascii="Times New Roman" w:hAnsi="Times New Roman" w:cs="Times New Roman"/>
                <w:sz w:val="20"/>
                <w:szCs w:val="20"/>
              </w:rPr>
              <w:t>školství‚ mládeže</w:t>
            </w:r>
            <w:proofErr w:type="gramEnd"/>
            <w:r w:rsidRPr="0035187E">
              <w:rPr>
                <w:rFonts w:ascii="Times New Roman" w:hAnsi="Times New Roman" w:cs="Times New Roman"/>
                <w:sz w:val="20"/>
                <w:szCs w:val="20"/>
              </w:rPr>
              <w:t xml:space="preserve"> a tělovýchovy</w:t>
            </w:r>
          </w:p>
        </w:tc>
        <w:tc>
          <w:tcPr>
            <w:tcW w:w="168" w:type="pct"/>
            <w:tcBorders>
              <w:top w:val="single" w:sz="4" w:space="0" w:color="auto"/>
              <w:left w:val="single" w:sz="4" w:space="0" w:color="auto"/>
              <w:right w:val="single" w:sz="4" w:space="0" w:color="auto"/>
            </w:tcBorders>
            <w:shd w:val="clear" w:color="auto" w:fill="auto"/>
          </w:tcPr>
          <w:p w14:paraId="1C4F3B3C" w14:textId="1C43A2AC"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3.</w:t>
            </w:r>
          </w:p>
        </w:tc>
        <w:tc>
          <w:tcPr>
            <w:tcW w:w="169" w:type="pct"/>
            <w:tcBorders>
              <w:top w:val="single" w:sz="4" w:space="0" w:color="auto"/>
              <w:left w:val="single" w:sz="4" w:space="0" w:color="auto"/>
              <w:right w:val="single" w:sz="4" w:space="0" w:color="auto"/>
            </w:tcBorders>
            <w:shd w:val="clear" w:color="auto" w:fill="auto"/>
          </w:tcPr>
          <w:p w14:paraId="26A025BF" w14:textId="69C4577B"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EF8C581" w14:textId="77777777" w:rsidR="00BE73FF" w:rsidRPr="0035187E" w:rsidRDefault="00BE73FF" w:rsidP="0035187E">
            <w:pPr>
              <w:widowControl w:val="0"/>
              <w:numPr>
                <w:ilvl w:val="0"/>
                <w:numId w:val="46"/>
              </w:numPr>
              <w:autoSpaceDE w:val="0"/>
              <w:autoSpaceDN w:val="0"/>
              <w:adjustRightInd w:val="0"/>
              <w:ind w:left="0" w:firstLine="0"/>
              <w:jc w:val="both"/>
              <w:rPr>
                <w:rFonts w:ascii="Times New Roman" w:hAnsi="Times New Roman" w:cs="Times New Roman"/>
                <w:bCs/>
                <w:sz w:val="20"/>
                <w:szCs w:val="20"/>
              </w:rPr>
            </w:pPr>
            <w:r w:rsidRPr="0035187E">
              <w:rPr>
                <w:rFonts w:ascii="Times New Roman" w:hAnsi="Times New Roman" w:cs="Times New Roman"/>
                <w:b/>
                <w:sz w:val="20"/>
                <w:szCs w:val="20"/>
              </w:rPr>
              <w:t>K § 13 odst. 1 písm. c) návrhu zákona:</w:t>
            </w:r>
            <w:r w:rsidRPr="0035187E">
              <w:rPr>
                <w:rFonts w:ascii="Times New Roman" w:hAnsi="Times New Roman" w:cs="Times New Roman"/>
                <w:bCs/>
                <w:sz w:val="20"/>
                <w:szCs w:val="20"/>
              </w:rPr>
              <w:t xml:space="preserve"> Požadujeme ustanovení písmene c) přeformulovat a zároveň vložit nové písmeno d) ve znění:</w:t>
            </w:r>
          </w:p>
          <w:p w14:paraId="58BDCD6A" w14:textId="77777777" w:rsidR="00BE73FF" w:rsidRPr="0035187E" w:rsidRDefault="00BE73FF" w:rsidP="0035187E">
            <w:pPr>
              <w:widowControl w:val="0"/>
              <w:autoSpaceDE w:val="0"/>
              <w:autoSpaceDN w:val="0"/>
              <w:adjustRightInd w:val="0"/>
              <w:jc w:val="both"/>
              <w:rPr>
                <w:rFonts w:ascii="Times New Roman" w:hAnsi="Times New Roman" w:cs="Times New Roman"/>
                <w:bCs/>
                <w:i/>
                <w:iCs/>
                <w:sz w:val="20"/>
                <w:szCs w:val="20"/>
              </w:rPr>
            </w:pPr>
            <w:r w:rsidRPr="0035187E">
              <w:rPr>
                <w:rFonts w:ascii="Times New Roman" w:hAnsi="Times New Roman" w:cs="Times New Roman"/>
                <w:bCs/>
                <w:i/>
                <w:iCs/>
                <w:sz w:val="20"/>
                <w:szCs w:val="20"/>
              </w:rPr>
              <w:t>„c) z úplaty za vzdělávání a školské služby ve školách a školských zařízeních podle školského zákona,</w:t>
            </w:r>
          </w:p>
          <w:p w14:paraId="047E368D" w14:textId="77777777" w:rsidR="00BE73FF" w:rsidRPr="0035187E" w:rsidRDefault="00BE73FF" w:rsidP="0035187E">
            <w:pPr>
              <w:widowControl w:val="0"/>
              <w:autoSpaceDE w:val="0"/>
              <w:autoSpaceDN w:val="0"/>
              <w:adjustRightInd w:val="0"/>
              <w:jc w:val="both"/>
              <w:rPr>
                <w:rFonts w:ascii="Times New Roman" w:hAnsi="Times New Roman" w:cs="Times New Roman"/>
                <w:bCs/>
                <w:i/>
                <w:iCs/>
                <w:sz w:val="20"/>
                <w:szCs w:val="20"/>
              </w:rPr>
            </w:pPr>
            <w:r w:rsidRPr="0035187E">
              <w:rPr>
                <w:rFonts w:ascii="Times New Roman" w:hAnsi="Times New Roman" w:cs="Times New Roman"/>
                <w:bCs/>
                <w:i/>
                <w:iCs/>
                <w:sz w:val="20"/>
                <w:szCs w:val="20"/>
              </w:rPr>
              <w:t>d) z poplatku, úhrady, úplaty nebo náhrady nákladů, je-li takové plnění zmíněno v zákoně o vysokých školách, a z tržeb za ubytování nebo stravování poskytované studentům nebo účastníkům celoživotního vzdělávání vysokou školou nebo poskytovatelem zahraničního vysokoškolského vzdělávání na území České republiky,“.</w:t>
            </w:r>
          </w:p>
          <w:p w14:paraId="78FF66EE" w14:textId="52A226BD" w:rsidR="00BE73FF" w:rsidRPr="0035187E" w:rsidRDefault="00BE73FF" w:rsidP="0035187E">
            <w:pPr>
              <w:widowControl w:val="0"/>
              <w:autoSpaceDE w:val="0"/>
              <w:autoSpaceDN w:val="0"/>
              <w:adjustRightInd w:val="0"/>
              <w:jc w:val="both"/>
              <w:rPr>
                <w:rFonts w:ascii="Times New Roman" w:hAnsi="Times New Roman" w:cs="Times New Roman"/>
                <w:bCs/>
                <w:sz w:val="20"/>
                <w:szCs w:val="20"/>
              </w:rPr>
            </w:pPr>
            <w:r w:rsidRPr="0035187E">
              <w:rPr>
                <w:rFonts w:ascii="Times New Roman" w:hAnsi="Times New Roman" w:cs="Times New Roman"/>
                <w:bCs/>
                <w:sz w:val="20"/>
                <w:szCs w:val="20"/>
              </w:rPr>
              <w:t>Není jasné, proč původní návrh zákona zmiňuje pouze stravování a ubytování, ale ne úplatu za vzdělávání nebo školské služby, resp. jiné příjmy předvídané zákonem. Podle našeho názoru k takovému rozlišení není důvod. Proto navrhujeme výjimku rozšířit i na další příjmy spojené se vzděláváním.</w:t>
            </w:r>
          </w:p>
          <w:p w14:paraId="31B50FDB" w14:textId="77777777" w:rsidR="00B342E7" w:rsidRPr="0035187E" w:rsidRDefault="00B342E7" w:rsidP="0035187E">
            <w:pPr>
              <w:widowControl w:val="0"/>
              <w:autoSpaceDE w:val="0"/>
              <w:autoSpaceDN w:val="0"/>
              <w:adjustRightInd w:val="0"/>
              <w:jc w:val="both"/>
              <w:rPr>
                <w:rFonts w:ascii="Times New Roman" w:hAnsi="Times New Roman" w:cs="Times New Roman"/>
                <w:bCs/>
                <w:sz w:val="20"/>
                <w:szCs w:val="20"/>
              </w:rPr>
            </w:pPr>
          </w:p>
          <w:p w14:paraId="68D4C5A9" w14:textId="193DEF46" w:rsidR="00BE73FF" w:rsidRPr="0035187E" w:rsidRDefault="00BE73FF" w:rsidP="0035187E">
            <w:pPr>
              <w:widowControl w:val="0"/>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Cs/>
                <w:sz w:val="20"/>
                <w:szCs w:val="20"/>
              </w:rPr>
              <w:t>K původnímu písmenu c) nadto dodáváme: Původně navrhované znění opomíjí např. i děti v mateřských školách. Na tržby od těchto osob se také nemá vztahovat evidence tržeb. Znění uvedené v připomínce zahrnuje všechny osoby, kterým je poskytováno vzdělávání a školské služby podle školského zákona.</w:t>
            </w:r>
          </w:p>
        </w:tc>
        <w:tc>
          <w:tcPr>
            <w:tcW w:w="1453" w:type="pct"/>
            <w:tcBorders>
              <w:top w:val="single" w:sz="4" w:space="0" w:color="auto"/>
              <w:left w:val="single" w:sz="4" w:space="0" w:color="auto"/>
              <w:right w:val="single" w:sz="4" w:space="0" w:color="auto"/>
            </w:tcBorders>
            <w:shd w:val="clear" w:color="auto" w:fill="auto"/>
          </w:tcPr>
          <w:p w14:paraId="7944E89D" w14:textId="4382CF3C" w:rsidR="00BE73FF" w:rsidRPr="0035187E" w:rsidRDefault="00B342E7" w:rsidP="0035187E">
            <w:pPr>
              <w:jc w:val="both"/>
              <w:rPr>
                <w:rFonts w:ascii="Times New Roman" w:hAnsi="Times New Roman" w:cs="Times New Roman"/>
                <w:b/>
                <w:sz w:val="20"/>
                <w:szCs w:val="20"/>
              </w:rPr>
            </w:pPr>
            <w:r w:rsidRPr="0035187E">
              <w:rPr>
                <w:rFonts w:ascii="Times New Roman" w:hAnsi="Times New Roman" w:cs="Times New Roman"/>
                <w:b/>
                <w:sz w:val="20"/>
                <w:szCs w:val="20"/>
              </w:rPr>
              <w:t>Nevyhověno.</w:t>
            </w:r>
          </w:p>
          <w:p w14:paraId="4D906C56" w14:textId="07BA2AC6" w:rsidR="00B342E7" w:rsidRPr="0035187E" w:rsidRDefault="0048658C" w:rsidP="0035187E">
            <w:pPr>
              <w:jc w:val="both"/>
              <w:rPr>
                <w:rFonts w:ascii="Times New Roman" w:hAnsi="Times New Roman" w:cs="Times New Roman"/>
                <w:sz w:val="20"/>
                <w:szCs w:val="20"/>
              </w:rPr>
            </w:pPr>
            <w:r w:rsidRPr="0035187E">
              <w:rPr>
                <w:rFonts w:ascii="Times New Roman" w:hAnsi="Times New Roman" w:cs="Times New Roman"/>
                <w:sz w:val="20"/>
                <w:szCs w:val="20"/>
              </w:rPr>
              <w:t>S ohledem na plošnou výjimku ve prospěch příspěvkových organizací a nově též veřejných vysokých škol v § 12 se jeví doplňování výjimek na vybrané činnosti soukromých podnikatelských subjektů jako nežádoucí eroze účelu evidence tržeb.</w:t>
            </w:r>
            <w:r w:rsidR="00B342E7" w:rsidRPr="0035187E">
              <w:rPr>
                <w:rFonts w:ascii="Times New Roman" w:hAnsi="Times New Roman" w:cs="Times New Roman"/>
                <w:sz w:val="20"/>
                <w:szCs w:val="20"/>
              </w:rPr>
              <w:t xml:space="preserve"> Rozsah původní výjimky bude nicméně zachován a upraven ve prospěch změny kumulativní spojky „a“ ve prospěch slučovací spojky „nebo“.</w:t>
            </w:r>
          </w:p>
          <w:p w14:paraId="24E2BBB4" w14:textId="6C6A9EB2" w:rsidR="00B342E7" w:rsidRPr="0035187E" w:rsidRDefault="00B342E7" w:rsidP="0035187E">
            <w:pPr>
              <w:jc w:val="both"/>
              <w:rPr>
                <w:rFonts w:ascii="Times New Roman" w:hAnsi="Times New Roman" w:cs="Times New Roman"/>
                <w:sz w:val="20"/>
                <w:szCs w:val="20"/>
              </w:rPr>
            </w:pPr>
          </w:p>
          <w:p w14:paraId="515703BB" w14:textId="73988FCE" w:rsidR="00B342E7" w:rsidRPr="0035187E" w:rsidRDefault="00B342E7" w:rsidP="0035187E">
            <w:pPr>
              <w:jc w:val="both"/>
              <w:rPr>
                <w:rFonts w:ascii="Times New Roman" w:hAnsi="Times New Roman" w:cs="Times New Roman"/>
                <w:sz w:val="20"/>
                <w:szCs w:val="20"/>
              </w:rPr>
            </w:pPr>
          </w:p>
          <w:p w14:paraId="3ED1CD8B" w14:textId="0CD4E3F0" w:rsidR="00B342E7" w:rsidRPr="0035187E" w:rsidRDefault="00B342E7" w:rsidP="0035187E">
            <w:pPr>
              <w:jc w:val="both"/>
              <w:rPr>
                <w:rFonts w:ascii="Times New Roman" w:hAnsi="Times New Roman" w:cs="Times New Roman"/>
                <w:sz w:val="20"/>
                <w:szCs w:val="20"/>
              </w:rPr>
            </w:pPr>
          </w:p>
          <w:p w14:paraId="476F8F8E" w14:textId="177968C2" w:rsidR="00D90AEB" w:rsidRPr="0035187E" w:rsidRDefault="00B342E7" w:rsidP="0035187E">
            <w:pPr>
              <w:jc w:val="both"/>
              <w:rPr>
                <w:rFonts w:ascii="Times New Roman" w:hAnsi="Times New Roman" w:cs="Times New Roman"/>
                <w:sz w:val="20"/>
                <w:szCs w:val="20"/>
              </w:rPr>
            </w:pPr>
            <w:r w:rsidRPr="0035187E">
              <w:rPr>
                <w:rFonts w:ascii="Times New Roman" w:hAnsi="Times New Roman" w:cs="Times New Roman"/>
                <w:b/>
                <w:sz w:val="20"/>
                <w:szCs w:val="20"/>
              </w:rPr>
              <w:t>Vyhověno.</w:t>
            </w:r>
          </w:p>
          <w:p w14:paraId="4C5F0EB0" w14:textId="77777777" w:rsidR="0048658C" w:rsidRPr="0035187E" w:rsidRDefault="00B342E7" w:rsidP="0035187E">
            <w:pPr>
              <w:jc w:val="both"/>
              <w:rPr>
                <w:rFonts w:ascii="Times New Roman" w:hAnsi="Times New Roman" w:cs="Times New Roman"/>
                <w:sz w:val="20"/>
                <w:szCs w:val="20"/>
              </w:rPr>
            </w:pPr>
            <w:r w:rsidRPr="0035187E">
              <w:rPr>
                <w:rFonts w:ascii="Times New Roman" w:hAnsi="Times New Roman" w:cs="Times New Roman"/>
                <w:sz w:val="20"/>
                <w:szCs w:val="20"/>
              </w:rPr>
              <w:t>V</w:t>
            </w:r>
            <w:r w:rsidR="00D90AEB" w:rsidRPr="0035187E">
              <w:rPr>
                <w:rFonts w:ascii="Times New Roman" w:hAnsi="Times New Roman" w:cs="Times New Roman"/>
                <w:sz w:val="20"/>
                <w:szCs w:val="20"/>
              </w:rPr>
              <w:t>e vztahu k mateřským školám bylo doplněno slovo „dětem“.</w:t>
            </w:r>
          </w:p>
          <w:p w14:paraId="2836A34F" w14:textId="77777777" w:rsidR="00210239" w:rsidRPr="0035187E" w:rsidRDefault="00210239" w:rsidP="0035187E">
            <w:pPr>
              <w:jc w:val="both"/>
              <w:rPr>
                <w:rFonts w:ascii="Times New Roman" w:hAnsi="Times New Roman" w:cs="Times New Roman"/>
                <w:sz w:val="20"/>
                <w:szCs w:val="20"/>
              </w:rPr>
            </w:pPr>
          </w:p>
          <w:p w14:paraId="3E1A0CF3" w14:textId="77777777" w:rsidR="00210239" w:rsidRPr="0035187E" w:rsidRDefault="00210239"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Vyjádření připomínkového místa: vypořádání obecně přijímá a nevzniká rozpor.</w:t>
            </w:r>
          </w:p>
          <w:p w14:paraId="5C6D9CB8" w14:textId="77777777" w:rsidR="00207291" w:rsidRPr="0035187E" w:rsidRDefault="00207291" w:rsidP="0035187E">
            <w:pPr>
              <w:jc w:val="both"/>
              <w:rPr>
                <w:rFonts w:ascii="Times New Roman" w:hAnsi="Times New Roman" w:cs="Times New Roman"/>
                <w:i/>
                <w:iCs/>
                <w:sz w:val="20"/>
                <w:szCs w:val="20"/>
              </w:rPr>
            </w:pPr>
          </w:p>
          <w:p w14:paraId="06F63707" w14:textId="3867706D" w:rsidR="00207291" w:rsidRPr="0035187E" w:rsidRDefault="00207291"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Nadále však doporučuje upravit terminologii</w:t>
            </w:r>
            <w:r w:rsidRPr="0035187E">
              <w:rPr>
                <w:rFonts w:ascii="Times New Roman" w:hAnsi="Times New Roman" w:cs="Times New Roman"/>
                <w:b/>
                <w:bCs/>
                <w:i/>
                <w:iCs/>
                <w:sz w:val="20"/>
                <w:szCs w:val="20"/>
              </w:rPr>
              <w:t xml:space="preserve"> </w:t>
            </w:r>
            <w:r w:rsidRPr="0035187E">
              <w:rPr>
                <w:rFonts w:ascii="Times New Roman" w:hAnsi="Times New Roman" w:cs="Times New Roman"/>
                <w:i/>
                <w:iCs/>
                <w:sz w:val="20"/>
                <w:szCs w:val="20"/>
              </w:rPr>
              <w:t>tak, aby v příslušném ustanovení namísto slov „školou“ „nebo školským zařízením“ bylo použito „školou podle školského zákona“ respektive „školským zařízením podle školského zákona“, případně „právnickou osobou vykonávající činnost školy nebo školského zařízení“. V terminologii školských právních předpisů je „škola nebo školské zařízení“ pouze samotná činnost, nikoliv právnická osoba.</w:t>
            </w:r>
          </w:p>
          <w:p w14:paraId="41F9AF29" w14:textId="259DE69F" w:rsidR="00207291" w:rsidRPr="0035187E" w:rsidRDefault="00207291"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Tedy např. „c) ze stravování nebo ubytování dětem, žákům a studentům poskytovaného školou nebo školským zařízením podle školského zákona nebo vysokou školou“.</w:t>
            </w:r>
          </w:p>
          <w:p w14:paraId="45AFC3DA" w14:textId="27DAFC33" w:rsidR="00207291" w:rsidRPr="0035187E" w:rsidRDefault="00207291"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 xml:space="preserve">Současně upozorňuje, že ani nadále není dostatečně zřejmé, proč jsou u všech „škol, školských zařízeních a vysokých škol“, tedy včetně soukromých subjektů, </w:t>
            </w:r>
            <w:r w:rsidRPr="0035187E">
              <w:rPr>
                <w:rFonts w:ascii="Times New Roman" w:hAnsi="Times New Roman" w:cs="Times New Roman"/>
                <w:i/>
                <w:iCs/>
                <w:sz w:val="20"/>
                <w:szCs w:val="20"/>
              </w:rPr>
              <w:lastRenderedPageBreak/>
              <w:t>vyňaty úplaty za stravování a ubytování, a nikoliv i za samotné vzdělávání, resp. ostatní příjmy škol předvídané příslušných zákonem. Teoreticky by mohlo dojít k situaci, kdy soukromé subjekty „uměle“ navýší úplaty za stravování a ubytování, když tyto jsou vyňaty z EET, zatímco ostatní příjmy vyňaty nebudou. A konečně vzdělávání (a školské služby) jsou veřejnou službou. Podle našeho názoru u jejího poskytování nemá být činěno rozdílu mezi zřizovateli. Např. registrované církve (ale i ostatní právnické nebo fyzické osoby) mohou zřizovat školy jako školské právnické osoby, přičemž tyto osoby nebudou vyňaty na</w:t>
            </w:r>
            <w:r w:rsidR="001E2875" w:rsidRPr="0035187E">
              <w:rPr>
                <w:rFonts w:ascii="Times New Roman" w:hAnsi="Times New Roman" w:cs="Times New Roman"/>
                <w:i/>
                <w:iCs/>
                <w:sz w:val="20"/>
                <w:szCs w:val="20"/>
              </w:rPr>
              <w:t xml:space="preserve"> </w:t>
            </w:r>
            <w:r w:rsidRPr="0035187E">
              <w:rPr>
                <w:rFonts w:ascii="Times New Roman" w:hAnsi="Times New Roman" w:cs="Times New Roman"/>
                <w:i/>
                <w:iCs/>
                <w:sz w:val="20"/>
                <w:szCs w:val="20"/>
              </w:rPr>
              <w:t>rozdíl od školských právnických osob zřízených veřejným zřizovatelem. </w:t>
            </w:r>
          </w:p>
        </w:tc>
      </w:tr>
      <w:tr w:rsidR="0035187E" w:rsidRPr="0035187E" w14:paraId="0709A148"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5A83BC9" w14:textId="0754D8A3"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8.</w:t>
            </w:r>
          </w:p>
        </w:tc>
        <w:tc>
          <w:tcPr>
            <w:tcW w:w="583" w:type="pct"/>
            <w:tcBorders>
              <w:top w:val="single" w:sz="4" w:space="0" w:color="auto"/>
              <w:left w:val="single" w:sz="4" w:space="0" w:color="auto"/>
              <w:right w:val="single" w:sz="4" w:space="0" w:color="auto"/>
            </w:tcBorders>
            <w:shd w:val="clear" w:color="auto" w:fill="auto"/>
          </w:tcPr>
          <w:p w14:paraId="120A51FC" w14:textId="5D078CDA"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Ministerstvo </w:t>
            </w:r>
            <w:proofErr w:type="gramStart"/>
            <w:r w:rsidRPr="0035187E">
              <w:rPr>
                <w:rFonts w:ascii="Times New Roman" w:hAnsi="Times New Roman" w:cs="Times New Roman"/>
                <w:sz w:val="20"/>
                <w:szCs w:val="20"/>
              </w:rPr>
              <w:t>školství‚ mládeže</w:t>
            </w:r>
            <w:proofErr w:type="gramEnd"/>
            <w:r w:rsidRPr="0035187E">
              <w:rPr>
                <w:rFonts w:ascii="Times New Roman" w:hAnsi="Times New Roman" w:cs="Times New Roman"/>
                <w:sz w:val="20"/>
                <w:szCs w:val="20"/>
              </w:rPr>
              <w:t xml:space="preserve"> a tělovýchovy</w:t>
            </w:r>
          </w:p>
        </w:tc>
        <w:tc>
          <w:tcPr>
            <w:tcW w:w="168" w:type="pct"/>
            <w:tcBorders>
              <w:top w:val="single" w:sz="4" w:space="0" w:color="auto"/>
              <w:left w:val="single" w:sz="4" w:space="0" w:color="auto"/>
              <w:right w:val="single" w:sz="4" w:space="0" w:color="auto"/>
            </w:tcBorders>
            <w:shd w:val="clear" w:color="auto" w:fill="auto"/>
          </w:tcPr>
          <w:p w14:paraId="30F7F15C" w14:textId="046E87E3"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4.</w:t>
            </w:r>
          </w:p>
        </w:tc>
        <w:tc>
          <w:tcPr>
            <w:tcW w:w="169" w:type="pct"/>
            <w:tcBorders>
              <w:top w:val="single" w:sz="4" w:space="0" w:color="auto"/>
              <w:left w:val="single" w:sz="4" w:space="0" w:color="auto"/>
              <w:right w:val="single" w:sz="4" w:space="0" w:color="auto"/>
            </w:tcBorders>
            <w:shd w:val="clear" w:color="auto" w:fill="auto"/>
          </w:tcPr>
          <w:p w14:paraId="32F334D5" w14:textId="1F5FC8F0"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147B472" w14:textId="77777777" w:rsidR="00BE73FF" w:rsidRPr="0035187E" w:rsidRDefault="00BE73FF" w:rsidP="0035187E">
            <w:pPr>
              <w:widowControl w:val="0"/>
              <w:numPr>
                <w:ilvl w:val="0"/>
                <w:numId w:val="46"/>
              </w:numPr>
              <w:autoSpaceDE w:val="0"/>
              <w:autoSpaceDN w:val="0"/>
              <w:adjustRightInd w:val="0"/>
              <w:ind w:left="0" w:firstLine="0"/>
              <w:jc w:val="both"/>
              <w:rPr>
                <w:rFonts w:ascii="Times New Roman" w:hAnsi="Times New Roman" w:cs="Times New Roman"/>
                <w:bCs/>
                <w:sz w:val="20"/>
                <w:szCs w:val="20"/>
              </w:rPr>
            </w:pPr>
            <w:r w:rsidRPr="0035187E">
              <w:rPr>
                <w:rFonts w:ascii="Times New Roman" w:hAnsi="Times New Roman" w:cs="Times New Roman"/>
                <w:b/>
                <w:sz w:val="20"/>
                <w:szCs w:val="20"/>
              </w:rPr>
              <w:t xml:space="preserve">K § 38l odst. 2 písm. g) zákona o daních z příjmů: </w:t>
            </w:r>
            <w:r w:rsidRPr="0035187E">
              <w:rPr>
                <w:rFonts w:ascii="Times New Roman" w:hAnsi="Times New Roman" w:cs="Times New Roman"/>
                <w:bCs/>
                <w:sz w:val="20"/>
                <w:szCs w:val="20"/>
              </w:rPr>
              <w:t xml:space="preserve">Požadujeme zrušit bod 1, který předpokládá vydávání potvrzení o výši výdajů mj. i mateřskou školou. V § 38t odst. 8 stejného zákona se totiž upravuje elektronické předávání těchto údajů mj. i mateřskou školou pro správce daně. Z toho důvodu je pak nadbytečné vydávat potvrzení zákonnému zástupci, když již byly údaje předány elektronicky. </w:t>
            </w:r>
          </w:p>
          <w:p w14:paraId="373EA420" w14:textId="76E2411E" w:rsidR="00BE73FF" w:rsidRPr="0035187E" w:rsidRDefault="00BE73FF" w:rsidP="0035187E">
            <w:pPr>
              <w:widowControl w:val="0"/>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Cs/>
                <w:sz w:val="20"/>
                <w:szCs w:val="20"/>
              </w:rPr>
              <w:t>Nadto obecně dodáváme, že stanovení informační povinnosti školy administrativně zatěžuje, přičemž prostředky na zajištění takové práce nejsou návrhem garantovány.</w:t>
            </w:r>
          </w:p>
        </w:tc>
        <w:tc>
          <w:tcPr>
            <w:tcW w:w="1453" w:type="pct"/>
            <w:tcBorders>
              <w:top w:val="single" w:sz="4" w:space="0" w:color="auto"/>
              <w:left w:val="single" w:sz="4" w:space="0" w:color="auto"/>
              <w:right w:val="single" w:sz="4" w:space="0" w:color="auto"/>
            </w:tcBorders>
            <w:shd w:val="clear" w:color="auto" w:fill="auto"/>
          </w:tcPr>
          <w:p w14:paraId="28877CDF" w14:textId="77777777" w:rsidR="0080059D" w:rsidRPr="0035187E" w:rsidRDefault="0080059D"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Nevyhověno.</w:t>
            </w:r>
          </w:p>
          <w:p w14:paraId="3531962E" w14:textId="2BE3BF09" w:rsidR="0080059D" w:rsidRPr="0035187E" w:rsidRDefault="0080059D" w:rsidP="0035187E">
            <w:pPr>
              <w:jc w:val="both"/>
              <w:rPr>
                <w:rFonts w:ascii="Times New Roman" w:hAnsi="Times New Roman" w:cs="Times New Roman"/>
                <w:sz w:val="20"/>
                <w:szCs w:val="20"/>
              </w:rPr>
            </w:pPr>
            <w:r w:rsidRPr="0035187E">
              <w:rPr>
                <w:rFonts w:ascii="Times New Roman" w:hAnsi="Times New Roman" w:cs="Times New Roman"/>
                <w:sz w:val="20"/>
                <w:szCs w:val="20"/>
              </w:rPr>
              <w:t>Ustanovení § 38l zákona o daních z příjmů upravuje průkazné prostředky, které poplatník předkládá plátci daně pro účely uplatnění slevy v rámci ročního zúčtování záloh a daňového zvýhodnění. Povinnost vydat potvrzení tak plní odlišnou funkci než elektronické předávání údajů správci daně podle navrženého ustanovení § 38t odst. 8 zákona o daních z příjmů. Tyto dva instituty nelze zaměňovat, neboť slouží pro různé procesní situace a vůči odlišným subjektům.</w:t>
            </w:r>
          </w:p>
          <w:p w14:paraId="279C5100" w14:textId="5B2478E3" w:rsidR="0080059D" w:rsidRPr="0035187E" w:rsidRDefault="0080059D" w:rsidP="0035187E">
            <w:pPr>
              <w:jc w:val="both"/>
              <w:rPr>
                <w:rFonts w:ascii="Times New Roman" w:hAnsi="Times New Roman" w:cs="Times New Roman"/>
                <w:sz w:val="20"/>
                <w:szCs w:val="20"/>
              </w:rPr>
            </w:pPr>
            <w:r w:rsidRPr="0035187E">
              <w:rPr>
                <w:rFonts w:ascii="Times New Roman" w:hAnsi="Times New Roman" w:cs="Times New Roman"/>
                <w:sz w:val="20"/>
                <w:szCs w:val="20"/>
              </w:rPr>
              <w:t>Elektronické předávání údajů správci daně nezajišťuje možnost poplatníka doložit nárok na uplatnění slevy vůči plátci daně, který provádí roční zúčtování záloh a daňového zvýhodnění. Zachování povinnosti vydat potvrzení je proto nezbytné pro řádné uplatnění nároku poplatníkem.</w:t>
            </w:r>
          </w:p>
          <w:p w14:paraId="796DF014" w14:textId="77777777" w:rsidR="00BE73FF" w:rsidRPr="0035187E" w:rsidRDefault="0080059D" w:rsidP="0035187E">
            <w:pPr>
              <w:jc w:val="both"/>
              <w:rPr>
                <w:rFonts w:ascii="Times New Roman" w:hAnsi="Times New Roman" w:cs="Times New Roman"/>
                <w:sz w:val="20"/>
                <w:szCs w:val="20"/>
              </w:rPr>
            </w:pPr>
            <w:r w:rsidRPr="0035187E">
              <w:rPr>
                <w:rFonts w:ascii="Times New Roman" w:hAnsi="Times New Roman" w:cs="Times New Roman"/>
                <w:sz w:val="20"/>
                <w:szCs w:val="20"/>
              </w:rPr>
              <w:t>K námitce administrativní zátěže uvádíme, že obdobná povinnost již v minulosti existovala v souvislosti se slevou za umístění dítěte, a nejde tedy o nově zaváděnou agendu. Navrhovaná úprava tak nepředstavuje zásadní navýšení administrativní zátěže dotčených subjektů.</w:t>
            </w:r>
          </w:p>
          <w:p w14:paraId="3E8CDA97" w14:textId="77777777" w:rsidR="00210239" w:rsidRPr="0035187E" w:rsidRDefault="00210239" w:rsidP="0035187E">
            <w:pPr>
              <w:jc w:val="both"/>
              <w:rPr>
                <w:rFonts w:ascii="Times New Roman" w:hAnsi="Times New Roman" w:cs="Times New Roman"/>
                <w:sz w:val="20"/>
                <w:szCs w:val="20"/>
              </w:rPr>
            </w:pPr>
          </w:p>
          <w:p w14:paraId="792B23CE" w14:textId="12583287" w:rsidR="00210239" w:rsidRPr="0035187E" w:rsidRDefault="00210239"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Vyjádření připomínkového místa: vypořádání obecně přijímá a nevzniká rozpor.</w:t>
            </w:r>
          </w:p>
        </w:tc>
      </w:tr>
      <w:tr w:rsidR="0035187E" w:rsidRPr="0035187E" w14:paraId="749168FE"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4D778A0" w14:textId="05B36469"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8.</w:t>
            </w:r>
          </w:p>
        </w:tc>
        <w:tc>
          <w:tcPr>
            <w:tcW w:w="583" w:type="pct"/>
            <w:tcBorders>
              <w:top w:val="single" w:sz="4" w:space="0" w:color="auto"/>
              <w:left w:val="single" w:sz="4" w:space="0" w:color="auto"/>
              <w:right w:val="single" w:sz="4" w:space="0" w:color="auto"/>
            </w:tcBorders>
            <w:shd w:val="clear" w:color="auto" w:fill="auto"/>
          </w:tcPr>
          <w:p w14:paraId="693B83CA" w14:textId="4E1FC21F"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Ministerstvo </w:t>
            </w:r>
            <w:proofErr w:type="gramStart"/>
            <w:r w:rsidRPr="0035187E">
              <w:rPr>
                <w:rFonts w:ascii="Times New Roman" w:hAnsi="Times New Roman" w:cs="Times New Roman"/>
                <w:sz w:val="20"/>
                <w:szCs w:val="20"/>
              </w:rPr>
              <w:t>školství‚ mládeže</w:t>
            </w:r>
            <w:proofErr w:type="gramEnd"/>
            <w:r w:rsidRPr="0035187E">
              <w:rPr>
                <w:rFonts w:ascii="Times New Roman" w:hAnsi="Times New Roman" w:cs="Times New Roman"/>
                <w:sz w:val="20"/>
                <w:szCs w:val="20"/>
              </w:rPr>
              <w:t xml:space="preserve"> a tělovýchovy</w:t>
            </w:r>
          </w:p>
        </w:tc>
        <w:tc>
          <w:tcPr>
            <w:tcW w:w="168" w:type="pct"/>
            <w:tcBorders>
              <w:top w:val="single" w:sz="4" w:space="0" w:color="auto"/>
              <w:left w:val="single" w:sz="4" w:space="0" w:color="auto"/>
              <w:right w:val="single" w:sz="4" w:space="0" w:color="auto"/>
            </w:tcBorders>
            <w:shd w:val="clear" w:color="auto" w:fill="auto"/>
          </w:tcPr>
          <w:p w14:paraId="2B3BCB47" w14:textId="47C0A059"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5.</w:t>
            </w:r>
          </w:p>
        </w:tc>
        <w:tc>
          <w:tcPr>
            <w:tcW w:w="169" w:type="pct"/>
            <w:tcBorders>
              <w:top w:val="single" w:sz="4" w:space="0" w:color="auto"/>
              <w:left w:val="single" w:sz="4" w:space="0" w:color="auto"/>
              <w:right w:val="single" w:sz="4" w:space="0" w:color="auto"/>
            </w:tcBorders>
            <w:shd w:val="clear" w:color="auto" w:fill="auto"/>
          </w:tcPr>
          <w:p w14:paraId="2FF2360A" w14:textId="43D4628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85D46D0" w14:textId="77777777" w:rsidR="00BE73FF" w:rsidRPr="0035187E" w:rsidRDefault="00BE73FF" w:rsidP="0035187E">
            <w:pPr>
              <w:widowControl w:val="0"/>
              <w:autoSpaceDE w:val="0"/>
              <w:autoSpaceDN w:val="0"/>
              <w:adjustRightInd w:val="0"/>
              <w:jc w:val="both"/>
              <w:rPr>
                <w:rFonts w:ascii="Times New Roman" w:hAnsi="Times New Roman" w:cs="Times New Roman"/>
                <w:b/>
                <w:sz w:val="20"/>
                <w:szCs w:val="20"/>
              </w:rPr>
            </w:pPr>
            <w:r w:rsidRPr="0035187E">
              <w:rPr>
                <w:rFonts w:ascii="Times New Roman" w:hAnsi="Times New Roman" w:cs="Times New Roman"/>
                <w:b/>
                <w:sz w:val="20"/>
                <w:szCs w:val="20"/>
              </w:rPr>
              <w:t>Připomínky:</w:t>
            </w:r>
          </w:p>
          <w:p w14:paraId="7A0FEFE7" w14:textId="5E2D6857" w:rsidR="00BE73FF" w:rsidRPr="0035187E" w:rsidRDefault="00BE73FF" w:rsidP="0035187E">
            <w:pPr>
              <w:widowControl w:val="0"/>
              <w:numPr>
                <w:ilvl w:val="0"/>
                <w:numId w:val="47"/>
              </w:numPr>
              <w:autoSpaceDE w:val="0"/>
              <w:autoSpaceDN w:val="0"/>
              <w:adjustRightInd w:val="0"/>
              <w:ind w:left="0" w:firstLine="0"/>
              <w:jc w:val="both"/>
              <w:rPr>
                <w:rFonts w:ascii="Times New Roman" w:hAnsi="Times New Roman" w:cs="Times New Roman"/>
                <w:sz w:val="20"/>
                <w:szCs w:val="20"/>
              </w:rPr>
            </w:pPr>
            <w:r w:rsidRPr="0035187E">
              <w:rPr>
                <w:rFonts w:ascii="Times New Roman" w:hAnsi="Times New Roman" w:cs="Times New Roman"/>
                <w:b/>
                <w:sz w:val="20"/>
                <w:szCs w:val="20"/>
              </w:rPr>
              <w:t>K § 3 odst. 1 návrhu zákona:</w:t>
            </w:r>
            <w:r w:rsidRPr="0035187E">
              <w:rPr>
                <w:rFonts w:ascii="Times New Roman" w:hAnsi="Times New Roman" w:cs="Times New Roman"/>
                <w:bCs/>
                <w:sz w:val="20"/>
                <w:szCs w:val="20"/>
              </w:rPr>
              <w:t xml:space="preserve"> Doporučujeme toto ustanovení přeformulovat. Tak, jak je ustanovení formulováno, by mohlo být interpretováno, že subjektem evidence </w:t>
            </w:r>
            <w:r w:rsidRPr="0035187E">
              <w:rPr>
                <w:rFonts w:ascii="Times New Roman" w:hAnsi="Times New Roman" w:cs="Times New Roman"/>
                <w:bCs/>
                <w:sz w:val="20"/>
                <w:szCs w:val="20"/>
              </w:rPr>
              <w:lastRenderedPageBreak/>
              <w:t>tržeb je pouze takový subjekt, který je současně poplatníkem daně z příjmů fyzických osob i poplatníkem daně z příjmů právnických osob.</w:t>
            </w:r>
          </w:p>
        </w:tc>
        <w:tc>
          <w:tcPr>
            <w:tcW w:w="1453" w:type="pct"/>
            <w:tcBorders>
              <w:top w:val="single" w:sz="4" w:space="0" w:color="auto"/>
              <w:left w:val="single" w:sz="4" w:space="0" w:color="auto"/>
              <w:right w:val="single" w:sz="4" w:space="0" w:color="auto"/>
            </w:tcBorders>
            <w:shd w:val="clear" w:color="auto" w:fill="auto"/>
          </w:tcPr>
          <w:p w14:paraId="2BBA9C1E" w14:textId="77777777" w:rsidR="00BE73FF" w:rsidRPr="0035187E" w:rsidRDefault="00AB78FC"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Vysvětleno.</w:t>
            </w:r>
          </w:p>
          <w:p w14:paraId="50735BB1" w14:textId="53BE95BB" w:rsidR="00620C25" w:rsidRPr="0035187E" w:rsidRDefault="00AB78FC"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Předmětná norma říká, že pod pojem „subjekt evidence tržeb“ je nutné subsumovat poplatníky daně </w:t>
            </w:r>
            <w:r w:rsidRPr="0035187E">
              <w:rPr>
                <w:rFonts w:ascii="Times New Roman" w:hAnsi="Times New Roman" w:cs="Times New Roman"/>
                <w:sz w:val="20"/>
                <w:szCs w:val="20"/>
              </w:rPr>
              <w:lastRenderedPageBreak/>
              <w:t>z příjmů fyzických osob a poplatníky daně z příjmů právnických osob. Obě podmnožiny tedy musí být zastoupeny. Neplatí, že subjektem evidence tržeb by mohla být pouze jedna tato podmnožina, což by vyjadřovala spojka „nebo“.</w:t>
            </w:r>
          </w:p>
        </w:tc>
      </w:tr>
      <w:tr w:rsidR="0035187E" w:rsidRPr="0035187E" w14:paraId="046B6D8F"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975D45C" w14:textId="3366FF05"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8.</w:t>
            </w:r>
          </w:p>
        </w:tc>
        <w:tc>
          <w:tcPr>
            <w:tcW w:w="583" w:type="pct"/>
            <w:tcBorders>
              <w:top w:val="single" w:sz="4" w:space="0" w:color="auto"/>
              <w:left w:val="single" w:sz="4" w:space="0" w:color="auto"/>
              <w:right w:val="single" w:sz="4" w:space="0" w:color="auto"/>
            </w:tcBorders>
            <w:shd w:val="clear" w:color="auto" w:fill="auto"/>
          </w:tcPr>
          <w:p w14:paraId="0860791C" w14:textId="115241E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Ministerstvo </w:t>
            </w:r>
            <w:proofErr w:type="gramStart"/>
            <w:r w:rsidRPr="0035187E">
              <w:rPr>
                <w:rFonts w:ascii="Times New Roman" w:hAnsi="Times New Roman" w:cs="Times New Roman"/>
                <w:sz w:val="20"/>
                <w:szCs w:val="20"/>
              </w:rPr>
              <w:t>školství‚ mládeže</w:t>
            </w:r>
            <w:proofErr w:type="gramEnd"/>
            <w:r w:rsidRPr="0035187E">
              <w:rPr>
                <w:rFonts w:ascii="Times New Roman" w:hAnsi="Times New Roman" w:cs="Times New Roman"/>
                <w:sz w:val="20"/>
                <w:szCs w:val="20"/>
              </w:rPr>
              <w:t xml:space="preserve"> a tělovýchovy</w:t>
            </w:r>
          </w:p>
        </w:tc>
        <w:tc>
          <w:tcPr>
            <w:tcW w:w="168" w:type="pct"/>
            <w:tcBorders>
              <w:top w:val="single" w:sz="4" w:space="0" w:color="auto"/>
              <w:left w:val="single" w:sz="4" w:space="0" w:color="auto"/>
              <w:right w:val="single" w:sz="4" w:space="0" w:color="auto"/>
            </w:tcBorders>
            <w:shd w:val="clear" w:color="auto" w:fill="auto"/>
          </w:tcPr>
          <w:p w14:paraId="7812D6AC" w14:textId="0CEF52A3"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6.</w:t>
            </w:r>
          </w:p>
        </w:tc>
        <w:tc>
          <w:tcPr>
            <w:tcW w:w="169" w:type="pct"/>
            <w:tcBorders>
              <w:top w:val="single" w:sz="4" w:space="0" w:color="auto"/>
              <w:left w:val="single" w:sz="4" w:space="0" w:color="auto"/>
              <w:right w:val="single" w:sz="4" w:space="0" w:color="auto"/>
            </w:tcBorders>
            <w:shd w:val="clear" w:color="auto" w:fill="auto"/>
          </w:tcPr>
          <w:p w14:paraId="05C28AD6" w14:textId="079085D2"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354DB15" w14:textId="459E8B7D" w:rsidR="00BE73FF" w:rsidRPr="0035187E" w:rsidRDefault="00BE73FF" w:rsidP="0035187E">
            <w:pPr>
              <w:widowControl w:val="0"/>
              <w:numPr>
                <w:ilvl w:val="0"/>
                <w:numId w:val="47"/>
              </w:numPr>
              <w:autoSpaceDE w:val="0"/>
              <w:autoSpaceDN w:val="0"/>
              <w:adjustRightInd w:val="0"/>
              <w:ind w:left="0" w:firstLine="0"/>
              <w:jc w:val="both"/>
              <w:rPr>
                <w:rFonts w:ascii="Times New Roman" w:hAnsi="Times New Roman" w:cs="Times New Roman"/>
                <w:sz w:val="20"/>
                <w:szCs w:val="20"/>
              </w:rPr>
            </w:pPr>
            <w:r w:rsidRPr="0035187E">
              <w:rPr>
                <w:rFonts w:ascii="Times New Roman" w:hAnsi="Times New Roman" w:cs="Times New Roman"/>
                <w:b/>
                <w:sz w:val="20"/>
                <w:szCs w:val="20"/>
              </w:rPr>
              <w:t xml:space="preserve">K § 5 a § 17 odst. 2 písm. b) návrhu zákona: </w:t>
            </w:r>
            <w:r w:rsidRPr="0035187E">
              <w:rPr>
                <w:rFonts w:ascii="Times New Roman" w:hAnsi="Times New Roman" w:cs="Times New Roman"/>
                <w:bCs/>
                <w:sz w:val="20"/>
                <w:szCs w:val="20"/>
              </w:rPr>
              <w:t>Upozorňujeme na možný rozpor mezi ustanoveními (resp. mezi evidovanou tržbou jako platbou a okamžikem evidence. Ustanovení § 5 definuje evidovanou tržbu jako „</w:t>
            </w:r>
            <w:r w:rsidRPr="0035187E">
              <w:rPr>
                <w:rFonts w:ascii="Times New Roman" w:hAnsi="Times New Roman" w:cs="Times New Roman"/>
                <w:bCs/>
                <w:i/>
                <w:iCs/>
                <w:sz w:val="20"/>
                <w:szCs w:val="20"/>
              </w:rPr>
              <w:t>platbu</w:t>
            </w:r>
            <w:r w:rsidRPr="0035187E">
              <w:rPr>
                <w:rFonts w:ascii="Times New Roman" w:hAnsi="Times New Roman" w:cs="Times New Roman"/>
                <w:bCs/>
                <w:sz w:val="20"/>
                <w:szCs w:val="20"/>
              </w:rPr>
              <w:t>“. Ustanovení § 17 odst. 2 písm. b) ale říká, že uskutečněním evidované tržby je i vydání příkazu k jejímu provedení, pokud byl vydán dříve. Vydání příkazu (např. k převodu) ještě není platba a ani nemusí vést k připsání/obdržení prostředků; tím se rozchází definice předmětu evidence (platba) a okamžik evidence. Je proto nejasné, co se eviduje (platba vs. pokyn), a kdy vzniká delikt podle § 25. Navrhuje se proto zvážit, zda v § 17 odst. 2 písm. b) např. neuvést, že „</w:t>
            </w:r>
            <w:r w:rsidRPr="0035187E">
              <w:rPr>
                <w:rFonts w:ascii="Times New Roman" w:hAnsi="Times New Roman" w:cs="Times New Roman"/>
                <w:bCs/>
                <w:i/>
                <w:iCs/>
                <w:sz w:val="20"/>
                <w:szCs w:val="20"/>
              </w:rPr>
              <w:t>Uskutečněním evidované tržby je</w:t>
            </w:r>
            <w:proofErr w:type="gramStart"/>
            <w:r w:rsidRPr="0035187E">
              <w:rPr>
                <w:rFonts w:ascii="Times New Roman" w:hAnsi="Times New Roman" w:cs="Times New Roman"/>
                <w:bCs/>
                <w:i/>
                <w:iCs/>
                <w:sz w:val="20"/>
                <w:szCs w:val="20"/>
              </w:rPr>
              <w:t xml:space="preserve"> ..</w:t>
            </w:r>
            <w:proofErr w:type="gramEnd"/>
            <w:r w:rsidRPr="0035187E">
              <w:rPr>
                <w:rFonts w:ascii="Times New Roman" w:hAnsi="Times New Roman" w:cs="Times New Roman"/>
                <w:bCs/>
                <w:i/>
                <w:iCs/>
                <w:sz w:val="20"/>
                <w:szCs w:val="20"/>
              </w:rPr>
              <w:t xml:space="preserve"> b) pro účely tohoto zákona též okamžik, kdy plátce vydal příkaz k provedení bezhotovostního převodu peněžních prostředků, pokud na základě tohoto příkazu poplatník poskytl zboží nebo službu“</w:t>
            </w:r>
            <w:r w:rsidRPr="0035187E">
              <w:rPr>
                <w:rFonts w:ascii="Times New Roman" w:hAnsi="Times New Roman" w:cs="Times New Roman"/>
                <w:bCs/>
                <w:sz w:val="20"/>
                <w:szCs w:val="20"/>
              </w:rPr>
              <w:t>. Tím se zachová, že § 5 pracuje s „</w:t>
            </w:r>
            <w:r w:rsidRPr="0035187E">
              <w:rPr>
                <w:rFonts w:ascii="Times New Roman" w:hAnsi="Times New Roman" w:cs="Times New Roman"/>
                <w:bCs/>
                <w:i/>
                <w:iCs/>
                <w:sz w:val="20"/>
                <w:szCs w:val="20"/>
              </w:rPr>
              <w:t>platbou</w:t>
            </w:r>
            <w:r w:rsidRPr="0035187E">
              <w:rPr>
                <w:rFonts w:ascii="Times New Roman" w:hAnsi="Times New Roman" w:cs="Times New Roman"/>
                <w:bCs/>
                <w:sz w:val="20"/>
                <w:szCs w:val="20"/>
              </w:rPr>
              <w:t>“, ale § 17 řeší praktické načasování evidence u bezhotovostních způsobů.</w:t>
            </w:r>
          </w:p>
        </w:tc>
        <w:tc>
          <w:tcPr>
            <w:tcW w:w="1453" w:type="pct"/>
            <w:tcBorders>
              <w:top w:val="single" w:sz="4" w:space="0" w:color="auto"/>
              <w:left w:val="single" w:sz="4" w:space="0" w:color="auto"/>
              <w:right w:val="single" w:sz="4" w:space="0" w:color="auto"/>
            </w:tcBorders>
            <w:shd w:val="clear" w:color="auto" w:fill="auto"/>
          </w:tcPr>
          <w:p w14:paraId="0E032A9E" w14:textId="77777777" w:rsidR="00BE73FF" w:rsidRPr="0035187E" w:rsidRDefault="00620C25"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396575F8" w14:textId="6EB85F63" w:rsidR="001E4F3D" w:rsidRPr="0035187E" w:rsidRDefault="00620C25"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Uvedené si nekonkuruje ani neprotiřečí. Cílem § 17 není definovat evidovanou tržbu, nýbrž časově ukotvit okamžik jejího uskutečnění. v případě vydání příkazu k platbě (typicky u platebních karet) je naplněn předpoklad pro to, že tržba má být zaevidována (což je logické, neboť v daný okamžik je interakce s prodávajícím ukončena). Skutečnost, že k připsání peněžních prostředků na účet obchodníka dojde později (což je u platby kartou zcela běžné), již nemá na okamžik, ke kterému má být tržba zaevidována vliv. </w:t>
            </w:r>
            <w:proofErr w:type="gramStart"/>
            <w:r w:rsidRPr="0035187E">
              <w:rPr>
                <w:rFonts w:ascii="Times New Roman" w:hAnsi="Times New Roman" w:cs="Times New Roman"/>
                <w:sz w:val="20"/>
                <w:szCs w:val="20"/>
              </w:rPr>
              <w:t>Má</w:t>
            </w:r>
            <w:proofErr w:type="gramEnd"/>
            <w:r w:rsidRPr="0035187E">
              <w:rPr>
                <w:rFonts w:ascii="Times New Roman" w:hAnsi="Times New Roman" w:cs="Times New Roman"/>
                <w:sz w:val="20"/>
                <w:szCs w:val="20"/>
              </w:rPr>
              <w:t xml:space="preserve"> ale zpětně vliv na posouzení, zda k tržbě došlo. Pokud peněžní prostředky nedorazí</w:t>
            </w:r>
            <w:r w:rsidR="001E4F3D" w:rsidRPr="0035187E">
              <w:rPr>
                <w:rFonts w:ascii="Times New Roman" w:hAnsi="Times New Roman" w:cs="Times New Roman"/>
                <w:sz w:val="20"/>
                <w:szCs w:val="20"/>
              </w:rPr>
              <w:t xml:space="preserve"> obchodníkovi, může obchodník využít institut storna, aby faktický stav učinil souladným se stavem právním.</w:t>
            </w:r>
          </w:p>
        </w:tc>
      </w:tr>
      <w:tr w:rsidR="0035187E" w:rsidRPr="0035187E" w14:paraId="282D1601"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856BED9" w14:textId="1BB701A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8.</w:t>
            </w:r>
          </w:p>
        </w:tc>
        <w:tc>
          <w:tcPr>
            <w:tcW w:w="583" w:type="pct"/>
            <w:tcBorders>
              <w:top w:val="single" w:sz="4" w:space="0" w:color="auto"/>
              <w:left w:val="single" w:sz="4" w:space="0" w:color="auto"/>
              <w:right w:val="single" w:sz="4" w:space="0" w:color="auto"/>
            </w:tcBorders>
            <w:shd w:val="clear" w:color="auto" w:fill="auto"/>
          </w:tcPr>
          <w:p w14:paraId="22E451A4" w14:textId="56C72920"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Ministerstvo </w:t>
            </w:r>
            <w:proofErr w:type="gramStart"/>
            <w:r w:rsidRPr="0035187E">
              <w:rPr>
                <w:rFonts w:ascii="Times New Roman" w:hAnsi="Times New Roman" w:cs="Times New Roman"/>
                <w:sz w:val="20"/>
                <w:szCs w:val="20"/>
              </w:rPr>
              <w:t>školství‚ mládeže</w:t>
            </w:r>
            <w:proofErr w:type="gramEnd"/>
            <w:r w:rsidRPr="0035187E">
              <w:rPr>
                <w:rFonts w:ascii="Times New Roman" w:hAnsi="Times New Roman" w:cs="Times New Roman"/>
                <w:sz w:val="20"/>
                <w:szCs w:val="20"/>
              </w:rPr>
              <w:t xml:space="preserve"> a tělovýchovy</w:t>
            </w:r>
          </w:p>
        </w:tc>
        <w:tc>
          <w:tcPr>
            <w:tcW w:w="168" w:type="pct"/>
            <w:tcBorders>
              <w:top w:val="single" w:sz="4" w:space="0" w:color="auto"/>
              <w:left w:val="single" w:sz="4" w:space="0" w:color="auto"/>
              <w:right w:val="single" w:sz="4" w:space="0" w:color="auto"/>
            </w:tcBorders>
            <w:shd w:val="clear" w:color="auto" w:fill="auto"/>
          </w:tcPr>
          <w:p w14:paraId="2C1CCD02" w14:textId="6718E18D"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7.</w:t>
            </w:r>
          </w:p>
        </w:tc>
        <w:tc>
          <w:tcPr>
            <w:tcW w:w="169" w:type="pct"/>
            <w:tcBorders>
              <w:top w:val="single" w:sz="4" w:space="0" w:color="auto"/>
              <w:left w:val="single" w:sz="4" w:space="0" w:color="auto"/>
              <w:right w:val="single" w:sz="4" w:space="0" w:color="auto"/>
            </w:tcBorders>
            <w:shd w:val="clear" w:color="auto" w:fill="auto"/>
          </w:tcPr>
          <w:p w14:paraId="67F183B1" w14:textId="4091C7B9"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3755FF75" w14:textId="72CBC689" w:rsidR="00BE73FF" w:rsidRPr="0035187E" w:rsidRDefault="00BE73FF" w:rsidP="0035187E">
            <w:pPr>
              <w:widowControl w:val="0"/>
              <w:numPr>
                <w:ilvl w:val="0"/>
                <w:numId w:val="47"/>
              </w:numPr>
              <w:autoSpaceDE w:val="0"/>
              <w:autoSpaceDN w:val="0"/>
              <w:adjustRightInd w:val="0"/>
              <w:ind w:left="0" w:firstLine="0"/>
              <w:jc w:val="both"/>
              <w:rPr>
                <w:rFonts w:ascii="Times New Roman" w:hAnsi="Times New Roman" w:cs="Times New Roman"/>
                <w:sz w:val="20"/>
                <w:szCs w:val="20"/>
              </w:rPr>
            </w:pPr>
            <w:r w:rsidRPr="0035187E">
              <w:rPr>
                <w:rFonts w:ascii="Times New Roman" w:hAnsi="Times New Roman" w:cs="Times New Roman"/>
                <w:b/>
                <w:sz w:val="20"/>
                <w:szCs w:val="20"/>
              </w:rPr>
              <w:t>K § 6 a 7 návrhu zákona:</w:t>
            </w:r>
            <w:r w:rsidRPr="0035187E">
              <w:rPr>
                <w:rFonts w:ascii="Times New Roman" w:hAnsi="Times New Roman" w:cs="Times New Roman"/>
                <w:bCs/>
                <w:sz w:val="20"/>
                <w:szCs w:val="20"/>
              </w:rPr>
              <w:t xml:space="preserve"> Upozorňujeme na možný rozpor mezi ustanoveními ohledně kontaktní platby a bezhotovostního převodu. Ustanovení § 6 odst. 1 stanoví, že formální náležitosti splňuje „</w:t>
            </w:r>
            <w:r w:rsidRPr="0035187E">
              <w:rPr>
                <w:rFonts w:ascii="Times New Roman" w:hAnsi="Times New Roman" w:cs="Times New Roman"/>
                <w:bCs/>
                <w:i/>
                <w:iCs/>
                <w:sz w:val="20"/>
                <w:szCs w:val="20"/>
              </w:rPr>
              <w:t>kontaktní platba … uskutečněná“</w:t>
            </w:r>
            <w:r w:rsidRPr="0035187E">
              <w:rPr>
                <w:rFonts w:ascii="Times New Roman" w:hAnsi="Times New Roman" w:cs="Times New Roman"/>
                <w:bCs/>
                <w:sz w:val="20"/>
                <w:szCs w:val="20"/>
              </w:rPr>
              <w:t xml:space="preserve"> mimo jiné bezhotovostním převodem (§ 6 odst. 1 písm. b)). Ustanovení § 7 odst. 1 definuje „</w:t>
            </w:r>
            <w:r w:rsidRPr="0035187E">
              <w:rPr>
                <w:rFonts w:ascii="Times New Roman" w:hAnsi="Times New Roman" w:cs="Times New Roman"/>
                <w:bCs/>
                <w:i/>
                <w:iCs/>
                <w:sz w:val="20"/>
                <w:szCs w:val="20"/>
              </w:rPr>
              <w:t>kontaktní platbu</w:t>
            </w:r>
            <w:r w:rsidRPr="0035187E">
              <w:rPr>
                <w:rFonts w:ascii="Times New Roman" w:hAnsi="Times New Roman" w:cs="Times New Roman"/>
                <w:bCs/>
                <w:sz w:val="20"/>
                <w:szCs w:val="20"/>
              </w:rPr>
              <w:t>“ jako platbu při osobním kontaktu nebo v provozovně v souvislosti s objednáním/přijetím zboží či služby. Ustanovení § 7 odst. 2 pak rozšiřuje vymezení „</w:t>
            </w:r>
            <w:r w:rsidRPr="0035187E">
              <w:rPr>
                <w:rFonts w:ascii="Times New Roman" w:hAnsi="Times New Roman" w:cs="Times New Roman"/>
                <w:bCs/>
                <w:i/>
                <w:iCs/>
                <w:sz w:val="20"/>
                <w:szCs w:val="20"/>
              </w:rPr>
              <w:t>kontaktní platby</w:t>
            </w:r>
            <w:r w:rsidRPr="0035187E">
              <w:rPr>
                <w:rFonts w:ascii="Times New Roman" w:hAnsi="Times New Roman" w:cs="Times New Roman"/>
                <w:bCs/>
                <w:sz w:val="20"/>
                <w:szCs w:val="20"/>
              </w:rPr>
              <w:t>“ i na platbu v hotovosti a jiné formy „</w:t>
            </w:r>
            <w:r w:rsidRPr="0035187E">
              <w:rPr>
                <w:rFonts w:ascii="Times New Roman" w:hAnsi="Times New Roman" w:cs="Times New Roman"/>
                <w:bCs/>
                <w:i/>
                <w:iCs/>
                <w:sz w:val="20"/>
                <w:szCs w:val="20"/>
              </w:rPr>
              <w:t>s hmotnou povahou</w:t>
            </w:r>
            <w:r w:rsidRPr="0035187E">
              <w:rPr>
                <w:rFonts w:ascii="Times New Roman" w:hAnsi="Times New Roman" w:cs="Times New Roman"/>
                <w:bCs/>
                <w:sz w:val="20"/>
                <w:szCs w:val="20"/>
              </w:rPr>
              <w:t>“. Bezhotovostní převod hmotnou povahu ale typicky nemá. Text tedy současně chce zahrnout bezhotovostní převody do „</w:t>
            </w:r>
            <w:r w:rsidRPr="0035187E">
              <w:rPr>
                <w:rFonts w:ascii="Times New Roman" w:hAnsi="Times New Roman" w:cs="Times New Roman"/>
                <w:bCs/>
                <w:i/>
                <w:iCs/>
                <w:sz w:val="20"/>
                <w:szCs w:val="20"/>
              </w:rPr>
              <w:t>kontaktní platby</w:t>
            </w:r>
            <w:r w:rsidRPr="0035187E">
              <w:rPr>
                <w:rFonts w:ascii="Times New Roman" w:hAnsi="Times New Roman" w:cs="Times New Roman"/>
                <w:bCs/>
                <w:sz w:val="20"/>
                <w:szCs w:val="20"/>
              </w:rPr>
              <w:t>“ (§ 6), ale definice „</w:t>
            </w:r>
            <w:r w:rsidRPr="0035187E">
              <w:rPr>
                <w:rFonts w:ascii="Times New Roman" w:hAnsi="Times New Roman" w:cs="Times New Roman"/>
                <w:bCs/>
                <w:i/>
                <w:iCs/>
                <w:sz w:val="20"/>
                <w:szCs w:val="20"/>
              </w:rPr>
              <w:t>kontaktní platby</w:t>
            </w:r>
            <w:r w:rsidRPr="0035187E">
              <w:rPr>
                <w:rFonts w:ascii="Times New Roman" w:hAnsi="Times New Roman" w:cs="Times New Roman"/>
                <w:bCs/>
                <w:sz w:val="20"/>
                <w:szCs w:val="20"/>
              </w:rPr>
              <w:t>“ je k tomu nesourodá (§ 7), což může vést k závěru, že část zamýšlených plateb formální náležitosti nesplní, nebo není jasné, kdy je splní. Navrhuje se zvážit, zda v § 7 u kontaktní platby nedoplnit přímou souvislost s převzetím/poskytnutím plnění. Zda např. neuvést, že „</w:t>
            </w:r>
            <w:r w:rsidRPr="0035187E">
              <w:rPr>
                <w:rFonts w:ascii="Times New Roman" w:hAnsi="Times New Roman" w:cs="Times New Roman"/>
                <w:bCs/>
                <w:i/>
                <w:iCs/>
                <w:sz w:val="20"/>
                <w:szCs w:val="20"/>
              </w:rPr>
              <w:t>Kontaktní platbou je platba, která je uskutečněna v osobním kontaktu s poplatníkem nebo v evidenční jednotce podle § 4 písm. a), a to v přímé věcné a časové souvislosti s převzetím zboží nebo poskytnutím služby</w:t>
            </w:r>
            <w:r w:rsidRPr="0035187E">
              <w:rPr>
                <w:rFonts w:ascii="Times New Roman" w:hAnsi="Times New Roman" w:cs="Times New Roman"/>
                <w:bCs/>
                <w:sz w:val="20"/>
                <w:szCs w:val="20"/>
              </w:rPr>
              <w:t>.“.</w:t>
            </w:r>
          </w:p>
        </w:tc>
        <w:tc>
          <w:tcPr>
            <w:tcW w:w="1453" w:type="pct"/>
            <w:tcBorders>
              <w:top w:val="single" w:sz="4" w:space="0" w:color="auto"/>
              <w:left w:val="single" w:sz="4" w:space="0" w:color="auto"/>
              <w:right w:val="single" w:sz="4" w:space="0" w:color="auto"/>
            </w:tcBorders>
            <w:shd w:val="clear" w:color="auto" w:fill="auto"/>
          </w:tcPr>
          <w:p w14:paraId="1B24C809" w14:textId="77777777" w:rsidR="00BE73FF" w:rsidRPr="0035187E" w:rsidRDefault="001E4F3D" w:rsidP="0035187E">
            <w:pPr>
              <w:jc w:val="both"/>
              <w:rPr>
                <w:rFonts w:ascii="Times New Roman" w:hAnsi="Times New Roman" w:cs="Times New Roman"/>
                <w:b/>
                <w:sz w:val="20"/>
                <w:szCs w:val="20"/>
              </w:rPr>
            </w:pPr>
            <w:r w:rsidRPr="0035187E">
              <w:rPr>
                <w:rFonts w:ascii="Times New Roman" w:hAnsi="Times New Roman" w:cs="Times New Roman"/>
                <w:b/>
                <w:sz w:val="20"/>
                <w:szCs w:val="20"/>
              </w:rPr>
              <w:t>Nevyhověno.</w:t>
            </w:r>
          </w:p>
          <w:p w14:paraId="7D7ECC18" w14:textId="77777777" w:rsidR="001E4F3D" w:rsidRPr="0035187E" w:rsidRDefault="001E4F3D" w:rsidP="0035187E">
            <w:pPr>
              <w:jc w:val="both"/>
              <w:rPr>
                <w:rFonts w:ascii="Times New Roman" w:hAnsi="Times New Roman" w:cs="Times New Roman"/>
                <w:sz w:val="20"/>
                <w:szCs w:val="20"/>
              </w:rPr>
            </w:pPr>
            <w:r w:rsidRPr="0035187E">
              <w:rPr>
                <w:rFonts w:ascii="Times New Roman" w:hAnsi="Times New Roman" w:cs="Times New Roman"/>
                <w:sz w:val="20"/>
                <w:szCs w:val="20"/>
              </w:rPr>
              <w:t>Navržená textace nahrazuje zavedenou legislativní zkratku „provozovna“ zbytečným odkazem</w:t>
            </w:r>
            <w:r w:rsidR="00AE78DD" w:rsidRPr="0035187E">
              <w:rPr>
                <w:rFonts w:ascii="Times New Roman" w:hAnsi="Times New Roman" w:cs="Times New Roman"/>
                <w:sz w:val="20"/>
                <w:szCs w:val="20"/>
              </w:rPr>
              <w:t xml:space="preserve"> a zužuje souvislost pouze na konzumaci zboží či služeb, nikoli na jejich objednání. Převzetí může být přitom časově i prostorově vzdáleno, zatímco objednání je tou skutečností, která tvoří příčinnou souvislost s platbou.</w:t>
            </w:r>
          </w:p>
          <w:p w14:paraId="79360364" w14:textId="1362B26D" w:rsidR="00AE78DD" w:rsidRPr="0035187E" w:rsidRDefault="00AE78DD" w:rsidP="0035187E">
            <w:pPr>
              <w:jc w:val="both"/>
              <w:rPr>
                <w:rFonts w:ascii="Times New Roman" w:hAnsi="Times New Roman" w:cs="Times New Roman"/>
                <w:sz w:val="20"/>
                <w:szCs w:val="20"/>
              </w:rPr>
            </w:pPr>
          </w:p>
        </w:tc>
      </w:tr>
      <w:tr w:rsidR="0035187E" w:rsidRPr="0035187E" w14:paraId="47AF0A06"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4B1F5CF" w14:textId="31819914"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8.</w:t>
            </w:r>
          </w:p>
        </w:tc>
        <w:tc>
          <w:tcPr>
            <w:tcW w:w="583" w:type="pct"/>
            <w:tcBorders>
              <w:top w:val="single" w:sz="4" w:space="0" w:color="auto"/>
              <w:left w:val="single" w:sz="4" w:space="0" w:color="auto"/>
              <w:right w:val="single" w:sz="4" w:space="0" w:color="auto"/>
            </w:tcBorders>
            <w:shd w:val="clear" w:color="auto" w:fill="auto"/>
          </w:tcPr>
          <w:p w14:paraId="1A2FF10D" w14:textId="53DA4FAF"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Ministerstvo </w:t>
            </w:r>
            <w:proofErr w:type="gramStart"/>
            <w:r w:rsidRPr="0035187E">
              <w:rPr>
                <w:rFonts w:ascii="Times New Roman" w:hAnsi="Times New Roman" w:cs="Times New Roman"/>
                <w:sz w:val="20"/>
                <w:szCs w:val="20"/>
              </w:rPr>
              <w:t>školství‚ mládeže</w:t>
            </w:r>
            <w:proofErr w:type="gramEnd"/>
            <w:r w:rsidRPr="0035187E">
              <w:rPr>
                <w:rFonts w:ascii="Times New Roman" w:hAnsi="Times New Roman" w:cs="Times New Roman"/>
                <w:sz w:val="20"/>
                <w:szCs w:val="20"/>
              </w:rPr>
              <w:t xml:space="preserve"> a tělovýchovy</w:t>
            </w:r>
          </w:p>
        </w:tc>
        <w:tc>
          <w:tcPr>
            <w:tcW w:w="168" w:type="pct"/>
            <w:tcBorders>
              <w:top w:val="single" w:sz="4" w:space="0" w:color="auto"/>
              <w:left w:val="single" w:sz="4" w:space="0" w:color="auto"/>
              <w:right w:val="single" w:sz="4" w:space="0" w:color="auto"/>
            </w:tcBorders>
            <w:shd w:val="clear" w:color="auto" w:fill="auto"/>
          </w:tcPr>
          <w:p w14:paraId="3C3F33F3" w14:textId="488E5496"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8.</w:t>
            </w:r>
          </w:p>
        </w:tc>
        <w:tc>
          <w:tcPr>
            <w:tcW w:w="169" w:type="pct"/>
            <w:tcBorders>
              <w:top w:val="single" w:sz="4" w:space="0" w:color="auto"/>
              <w:left w:val="single" w:sz="4" w:space="0" w:color="auto"/>
              <w:right w:val="single" w:sz="4" w:space="0" w:color="auto"/>
            </w:tcBorders>
            <w:shd w:val="clear" w:color="auto" w:fill="auto"/>
          </w:tcPr>
          <w:p w14:paraId="5FB8BBE8" w14:textId="174FCE4B"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D0D89D3" w14:textId="1B667738" w:rsidR="00BE73FF" w:rsidRPr="0035187E" w:rsidRDefault="00BE73FF" w:rsidP="0035187E">
            <w:pPr>
              <w:widowControl w:val="0"/>
              <w:numPr>
                <w:ilvl w:val="0"/>
                <w:numId w:val="47"/>
              </w:numPr>
              <w:autoSpaceDE w:val="0"/>
              <w:autoSpaceDN w:val="0"/>
              <w:adjustRightInd w:val="0"/>
              <w:ind w:left="0" w:firstLine="0"/>
              <w:jc w:val="both"/>
              <w:rPr>
                <w:rFonts w:ascii="Times New Roman" w:hAnsi="Times New Roman" w:cs="Times New Roman"/>
                <w:sz w:val="20"/>
                <w:szCs w:val="20"/>
              </w:rPr>
            </w:pPr>
            <w:r w:rsidRPr="0035187E">
              <w:rPr>
                <w:rFonts w:ascii="Times New Roman" w:hAnsi="Times New Roman" w:cs="Times New Roman"/>
                <w:b/>
                <w:sz w:val="20"/>
                <w:szCs w:val="20"/>
              </w:rPr>
              <w:t>K § 8 odst. 1 písm. b) bod 3 návrhu zákona:</w:t>
            </w:r>
            <w:r w:rsidRPr="0035187E">
              <w:rPr>
                <w:rFonts w:ascii="Times New Roman" w:hAnsi="Times New Roman" w:cs="Times New Roman"/>
                <w:bCs/>
                <w:sz w:val="20"/>
                <w:szCs w:val="20"/>
              </w:rPr>
              <w:t xml:space="preserve"> Doporučujeme za slovo „</w:t>
            </w:r>
            <w:r w:rsidRPr="0035187E">
              <w:rPr>
                <w:rFonts w:ascii="Times New Roman" w:hAnsi="Times New Roman" w:cs="Times New Roman"/>
                <w:bCs/>
                <w:i/>
                <w:iCs/>
                <w:sz w:val="20"/>
                <w:szCs w:val="20"/>
              </w:rPr>
              <w:t>daně</w:t>
            </w:r>
            <w:r w:rsidRPr="0035187E">
              <w:rPr>
                <w:rFonts w:ascii="Times New Roman" w:hAnsi="Times New Roman" w:cs="Times New Roman"/>
                <w:bCs/>
                <w:sz w:val="20"/>
                <w:szCs w:val="20"/>
              </w:rPr>
              <w:t>" vložit čárku. Podle Legislativních pravidel vlády se u alternativního výčtu mezi poslední dvě položky klade slovo "nebo", před kterým se píše čárka.</w:t>
            </w:r>
          </w:p>
        </w:tc>
        <w:tc>
          <w:tcPr>
            <w:tcW w:w="1453" w:type="pct"/>
            <w:tcBorders>
              <w:top w:val="single" w:sz="4" w:space="0" w:color="auto"/>
              <w:left w:val="single" w:sz="4" w:space="0" w:color="auto"/>
              <w:right w:val="single" w:sz="4" w:space="0" w:color="auto"/>
            </w:tcBorders>
            <w:shd w:val="clear" w:color="auto" w:fill="auto"/>
          </w:tcPr>
          <w:p w14:paraId="51ADED01" w14:textId="77777777" w:rsidR="00BE73FF" w:rsidRPr="0035187E" w:rsidRDefault="00AE78DD" w:rsidP="0035187E">
            <w:pPr>
              <w:jc w:val="both"/>
              <w:rPr>
                <w:rFonts w:ascii="Times New Roman" w:hAnsi="Times New Roman" w:cs="Times New Roman"/>
                <w:b/>
                <w:sz w:val="20"/>
                <w:szCs w:val="20"/>
              </w:rPr>
            </w:pPr>
            <w:r w:rsidRPr="0035187E">
              <w:rPr>
                <w:rFonts w:ascii="Times New Roman" w:hAnsi="Times New Roman" w:cs="Times New Roman"/>
                <w:b/>
                <w:sz w:val="20"/>
                <w:szCs w:val="20"/>
              </w:rPr>
              <w:t>Nevyhověno.</w:t>
            </w:r>
          </w:p>
          <w:p w14:paraId="1B6D35A0" w14:textId="268BB55E" w:rsidR="00AE78DD" w:rsidRPr="0035187E" w:rsidRDefault="00AE78DD" w:rsidP="0035187E">
            <w:pPr>
              <w:jc w:val="both"/>
              <w:rPr>
                <w:rFonts w:ascii="Times New Roman" w:hAnsi="Times New Roman" w:cs="Times New Roman"/>
                <w:sz w:val="20"/>
                <w:szCs w:val="20"/>
              </w:rPr>
            </w:pPr>
            <w:r w:rsidRPr="0035187E">
              <w:rPr>
                <w:rFonts w:ascii="Times New Roman" w:hAnsi="Times New Roman" w:cs="Times New Roman"/>
                <w:sz w:val="20"/>
                <w:szCs w:val="20"/>
              </w:rPr>
              <w:t>Uvedený výčet položek připouští, že některé mohou nastat současně. Nejde tedy o vylučovací, nýbrž slučovací poměr, který se vyjadřuje absencí čárky před slovem „nebo“.</w:t>
            </w:r>
          </w:p>
        </w:tc>
      </w:tr>
      <w:tr w:rsidR="0035187E" w:rsidRPr="0035187E" w14:paraId="7B022324"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3338A56" w14:textId="792FC7FC"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8.</w:t>
            </w:r>
          </w:p>
        </w:tc>
        <w:tc>
          <w:tcPr>
            <w:tcW w:w="583" w:type="pct"/>
            <w:tcBorders>
              <w:top w:val="single" w:sz="4" w:space="0" w:color="auto"/>
              <w:left w:val="single" w:sz="4" w:space="0" w:color="auto"/>
              <w:right w:val="single" w:sz="4" w:space="0" w:color="auto"/>
            </w:tcBorders>
            <w:shd w:val="clear" w:color="auto" w:fill="auto"/>
          </w:tcPr>
          <w:p w14:paraId="1B4F0BF7" w14:textId="3917FF7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Ministerstvo </w:t>
            </w:r>
            <w:proofErr w:type="gramStart"/>
            <w:r w:rsidRPr="0035187E">
              <w:rPr>
                <w:rFonts w:ascii="Times New Roman" w:hAnsi="Times New Roman" w:cs="Times New Roman"/>
                <w:sz w:val="20"/>
                <w:szCs w:val="20"/>
              </w:rPr>
              <w:t>školství‚ mládeže</w:t>
            </w:r>
            <w:proofErr w:type="gramEnd"/>
            <w:r w:rsidRPr="0035187E">
              <w:rPr>
                <w:rFonts w:ascii="Times New Roman" w:hAnsi="Times New Roman" w:cs="Times New Roman"/>
                <w:sz w:val="20"/>
                <w:szCs w:val="20"/>
              </w:rPr>
              <w:t xml:space="preserve"> a tělovýchovy</w:t>
            </w:r>
          </w:p>
        </w:tc>
        <w:tc>
          <w:tcPr>
            <w:tcW w:w="168" w:type="pct"/>
            <w:tcBorders>
              <w:top w:val="single" w:sz="4" w:space="0" w:color="auto"/>
              <w:left w:val="single" w:sz="4" w:space="0" w:color="auto"/>
              <w:right w:val="single" w:sz="4" w:space="0" w:color="auto"/>
            </w:tcBorders>
            <w:shd w:val="clear" w:color="auto" w:fill="auto"/>
          </w:tcPr>
          <w:p w14:paraId="428ACCFC" w14:textId="6DCBBB43"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9.</w:t>
            </w:r>
          </w:p>
        </w:tc>
        <w:tc>
          <w:tcPr>
            <w:tcW w:w="169" w:type="pct"/>
            <w:tcBorders>
              <w:top w:val="single" w:sz="4" w:space="0" w:color="auto"/>
              <w:left w:val="single" w:sz="4" w:space="0" w:color="auto"/>
              <w:right w:val="single" w:sz="4" w:space="0" w:color="auto"/>
            </w:tcBorders>
            <w:shd w:val="clear" w:color="auto" w:fill="auto"/>
          </w:tcPr>
          <w:p w14:paraId="61E6B99C" w14:textId="3BDBE22A"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B6B7C3F" w14:textId="362E09F7" w:rsidR="00BE73FF" w:rsidRPr="0035187E" w:rsidRDefault="00BE73FF" w:rsidP="0035187E">
            <w:pPr>
              <w:widowControl w:val="0"/>
              <w:numPr>
                <w:ilvl w:val="0"/>
                <w:numId w:val="47"/>
              </w:numPr>
              <w:autoSpaceDE w:val="0"/>
              <w:autoSpaceDN w:val="0"/>
              <w:adjustRightInd w:val="0"/>
              <w:ind w:left="0" w:firstLine="0"/>
              <w:jc w:val="both"/>
              <w:rPr>
                <w:rFonts w:ascii="Times New Roman" w:hAnsi="Times New Roman" w:cs="Times New Roman"/>
                <w:sz w:val="20"/>
                <w:szCs w:val="20"/>
              </w:rPr>
            </w:pPr>
            <w:r w:rsidRPr="0035187E">
              <w:rPr>
                <w:rFonts w:ascii="Times New Roman" w:hAnsi="Times New Roman" w:cs="Times New Roman"/>
                <w:b/>
                <w:sz w:val="20"/>
                <w:szCs w:val="20"/>
              </w:rPr>
              <w:t xml:space="preserve">K § 11 odst. 3 návrhu zákona: </w:t>
            </w:r>
            <w:r w:rsidRPr="0035187E">
              <w:rPr>
                <w:rFonts w:ascii="Times New Roman" w:hAnsi="Times New Roman" w:cs="Times New Roman"/>
                <w:bCs/>
                <w:sz w:val="20"/>
                <w:szCs w:val="20"/>
              </w:rPr>
              <w:t>Doporučujeme na konci písmene a) tečku nahradit čárkou.</w:t>
            </w:r>
          </w:p>
        </w:tc>
        <w:tc>
          <w:tcPr>
            <w:tcW w:w="1453" w:type="pct"/>
            <w:tcBorders>
              <w:top w:val="single" w:sz="4" w:space="0" w:color="auto"/>
              <w:left w:val="single" w:sz="4" w:space="0" w:color="auto"/>
              <w:right w:val="single" w:sz="4" w:space="0" w:color="auto"/>
            </w:tcBorders>
            <w:shd w:val="clear" w:color="auto" w:fill="auto"/>
          </w:tcPr>
          <w:p w14:paraId="677D40C7" w14:textId="77777777" w:rsidR="00BE73FF" w:rsidRPr="0035187E" w:rsidRDefault="00BE73FF"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Vyhověno.</w:t>
            </w:r>
          </w:p>
          <w:p w14:paraId="158A7047" w14:textId="4B2B01A3"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tc>
      </w:tr>
      <w:tr w:rsidR="0035187E" w:rsidRPr="0035187E" w14:paraId="6B057EC0"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C0B03A2" w14:textId="68B047E1"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8.</w:t>
            </w:r>
          </w:p>
        </w:tc>
        <w:tc>
          <w:tcPr>
            <w:tcW w:w="583" w:type="pct"/>
            <w:tcBorders>
              <w:top w:val="single" w:sz="4" w:space="0" w:color="auto"/>
              <w:left w:val="single" w:sz="4" w:space="0" w:color="auto"/>
              <w:right w:val="single" w:sz="4" w:space="0" w:color="auto"/>
            </w:tcBorders>
            <w:shd w:val="clear" w:color="auto" w:fill="auto"/>
          </w:tcPr>
          <w:p w14:paraId="6D971286" w14:textId="4DC25FCC"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Ministerstvo </w:t>
            </w:r>
            <w:proofErr w:type="gramStart"/>
            <w:r w:rsidRPr="0035187E">
              <w:rPr>
                <w:rFonts w:ascii="Times New Roman" w:hAnsi="Times New Roman" w:cs="Times New Roman"/>
                <w:sz w:val="20"/>
                <w:szCs w:val="20"/>
              </w:rPr>
              <w:t>školství‚ mládeže</w:t>
            </w:r>
            <w:proofErr w:type="gramEnd"/>
            <w:r w:rsidRPr="0035187E">
              <w:rPr>
                <w:rFonts w:ascii="Times New Roman" w:hAnsi="Times New Roman" w:cs="Times New Roman"/>
                <w:sz w:val="20"/>
                <w:szCs w:val="20"/>
              </w:rPr>
              <w:t xml:space="preserve"> a tělovýchovy</w:t>
            </w:r>
          </w:p>
        </w:tc>
        <w:tc>
          <w:tcPr>
            <w:tcW w:w="168" w:type="pct"/>
            <w:tcBorders>
              <w:top w:val="single" w:sz="4" w:space="0" w:color="auto"/>
              <w:left w:val="single" w:sz="4" w:space="0" w:color="auto"/>
              <w:right w:val="single" w:sz="4" w:space="0" w:color="auto"/>
            </w:tcBorders>
            <w:shd w:val="clear" w:color="auto" w:fill="auto"/>
          </w:tcPr>
          <w:p w14:paraId="57AE931E" w14:textId="77435E1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10.</w:t>
            </w:r>
          </w:p>
        </w:tc>
        <w:tc>
          <w:tcPr>
            <w:tcW w:w="169" w:type="pct"/>
            <w:tcBorders>
              <w:top w:val="single" w:sz="4" w:space="0" w:color="auto"/>
              <w:left w:val="single" w:sz="4" w:space="0" w:color="auto"/>
              <w:right w:val="single" w:sz="4" w:space="0" w:color="auto"/>
            </w:tcBorders>
            <w:shd w:val="clear" w:color="auto" w:fill="auto"/>
          </w:tcPr>
          <w:p w14:paraId="5F4ECA3A" w14:textId="6E7D8AFE"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CB0F539" w14:textId="021F3DFE" w:rsidR="00BE73FF" w:rsidRPr="0035187E" w:rsidRDefault="00BE73FF" w:rsidP="0035187E">
            <w:pPr>
              <w:widowControl w:val="0"/>
              <w:numPr>
                <w:ilvl w:val="0"/>
                <w:numId w:val="47"/>
              </w:numPr>
              <w:autoSpaceDE w:val="0"/>
              <w:autoSpaceDN w:val="0"/>
              <w:adjustRightInd w:val="0"/>
              <w:ind w:left="0" w:firstLine="0"/>
              <w:jc w:val="both"/>
              <w:rPr>
                <w:rFonts w:ascii="Times New Roman" w:hAnsi="Times New Roman" w:cs="Times New Roman"/>
                <w:sz w:val="20"/>
                <w:szCs w:val="20"/>
              </w:rPr>
            </w:pPr>
            <w:r w:rsidRPr="0035187E">
              <w:rPr>
                <w:rFonts w:ascii="Times New Roman" w:hAnsi="Times New Roman" w:cs="Times New Roman"/>
                <w:b/>
                <w:sz w:val="20"/>
                <w:szCs w:val="20"/>
              </w:rPr>
              <w:t>K § 12 odst. 5 návrhu zákona:</w:t>
            </w:r>
            <w:r w:rsidRPr="0035187E">
              <w:rPr>
                <w:rFonts w:ascii="Times New Roman" w:hAnsi="Times New Roman" w:cs="Times New Roman"/>
                <w:bCs/>
                <w:sz w:val="20"/>
                <w:szCs w:val="20"/>
              </w:rPr>
              <w:t xml:space="preserve"> Upozorňujeme na chybný vnitřní odkaz. V § 12 odst. 5 odkazuje na „</w:t>
            </w:r>
            <w:r w:rsidRPr="0035187E">
              <w:rPr>
                <w:rFonts w:ascii="Times New Roman" w:hAnsi="Times New Roman" w:cs="Times New Roman"/>
                <w:bCs/>
                <w:i/>
                <w:iCs/>
                <w:sz w:val="20"/>
                <w:szCs w:val="20"/>
              </w:rPr>
              <w:t>odstavec 3 písm. a)</w:t>
            </w:r>
            <w:r w:rsidRPr="0035187E">
              <w:rPr>
                <w:rFonts w:ascii="Times New Roman" w:hAnsi="Times New Roman" w:cs="Times New Roman"/>
                <w:bCs/>
                <w:sz w:val="20"/>
                <w:szCs w:val="20"/>
              </w:rPr>
              <w:t>“, ale § 12 odst. 3 žádné písmeno a) nemá. Jde zřejmě o písařskou chybu a odkaz má mířit na § 12 odst. 4 písm. a).</w:t>
            </w:r>
          </w:p>
        </w:tc>
        <w:tc>
          <w:tcPr>
            <w:tcW w:w="1453" w:type="pct"/>
            <w:tcBorders>
              <w:top w:val="single" w:sz="4" w:space="0" w:color="auto"/>
              <w:left w:val="single" w:sz="4" w:space="0" w:color="auto"/>
              <w:right w:val="single" w:sz="4" w:space="0" w:color="auto"/>
            </w:tcBorders>
            <w:shd w:val="clear" w:color="auto" w:fill="auto"/>
          </w:tcPr>
          <w:p w14:paraId="4BEAA0E8" w14:textId="77777777" w:rsidR="00BE73FF" w:rsidRPr="0035187E" w:rsidRDefault="00BE73FF"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Vyhověno.</w:t>
            </w:r>
          </w:p>
          <w:p w14:paraId="5BBC89F6" w14:textId="032BC432"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tc>
      </w:tr>
      <w:tr w:rsidR="0035187E" w:rsidRPr="0035187E" w14:paraId="65BF2895"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4CDC8A87" w14:textId="34E205E1"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8.</w:t>
            </w:r>
          </w:p>
        </w:tc>
        <w:tc>
          <w:tcPr>
            <w:tcW w:w="583" w:type="pct"/>
            <w:tcBorders>
              <w:top w:val="single" w:sz="4" w:space="0" w:color="auto"/>
              <w:left w:val="single" w:sz="4" w:space="0" w:color="auto"/>
              <w:right w:val="single" w:sz="4" w:space="0" w:color="auto"/>
            </w:tcBorders>
            <w:shd w:val="clear" w:color="auto" w:fill="auto"/>
          </w:tcPr>
          <w:p w14:paraId="43BB43C5" w14:textId="5E084A60"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Ministerstvo </w:t>
            </w:r>
            <w:proofErr w:type="gramStart"/>
            <w:r w:rsidRPr="0035187E">
              <w:rPr>
                <w:rFonts w:ascii="Times New Roman" w:hAnsi="Times New Roman" w:cs="Times New Roman"/>
                <w:sz w:val="20"/>
                <w:szCs w:val="20"/>
              </w:rPr>
              <w:t>školství‚ mládeže</w:t>
            </w:r>
            <w:proofErr w:type="gramEnd"/>
            <w:r w:rsidRPr="0035187E">
              <w:rPr>
                <w:rFonts w:ascii="Times New Roman" w:hAnsi="Times New Roman" w:cs="Times New Roman"/>
                <w:sz w:val="20"/>
                <w:szCs w:val="20"/>
              </w:rPr>
              <w:t xml:space="preserve"> a tělovýchovy</w:t>
            </w:r>
          </w:p>
        </w:tc>
        <w:tc>
          <w:tcPr>
            <w:tcW w:w="168" w:type="pct"/>
            <w:tcBorders>
              <w:top w:val="single" w:sz="4" w:space="0" w:color="auto"/>
              <w:left w:val="single" w:sz="4" w:space="0" w:color="auto"/>
              <w:right w:val="single" w:sz="4" w:space="0" w:color="auto"/>
            </w:tcBorders>
            <w:shd w:val="clear" w:color="auto" w:fill="auto"/>
          </w:tcPr>
          <w:p w14:paraId="0223B789" w14:textId="1748ED59"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11.</w:t>
            </w:r>
          </w:p>
        </w:tc>
        <w:tc>
          <w:tcPr>
            <w:tcW w:w="169" w:type="pct"/>
            <w:tcBorders>
              <w:top w:val="single" w:sz="4" w:space="0" w:color="auto"/>
              <w:left w:val="single" w:sz="4" w:space="0" w:color="auto"/>
              <w:right w:val="single" w:sz="4" w:space="0" w:color="auto"/>
            </w:tcBorders>
            <w:shd w:val="clear" w:color="auto" w:fill="auto"/>
          </w:tcPr>
          <w:p w14:paraId="2F44A384" w14:textId="63C6291A"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A67C9F1" w14:textId="77777777" w:rsidR="00BE73FF" w:rsidRPr="0035187E" w:rsidRDefault="00BE73FF" w:rsidP="0035187E">
            <w:pPr>
              <w:widowControl w:val="0"/>
              <w:numPr>
                <w:ilvl w:val="0"/>
                <w:numId w:val="47"/>
              </w:numPr>
              <w:autoSpaceDE w:val="0"/>
              <w:autoSpaceDN w:val="0"/>
              <w:adjustRightInd w:val="0"/>
              <w:ind w:left="0" w:firstLine="0"/>
              <w:jc w:val="both"/>
              <w:rPr>
                <w:rFonts w:ascii="Times New Roman" w:hAnsi="Times New Roman" w:cs="Times New Roman"/>
                <w:bCs/>
                <w:sz w:val="20"/>
                <w:szCs w:val="20"/>
              </w:rPr>
            </w:pPr>
            <w:r w:rsidRPr="0035187E">
              <w:rPr>
                <w:rFonts w:ascii="Times New Roman" w:hAnsi="Times New Roman" w:cs="Times New Roman"/>
                <w:b/>
                <w:sz w:val="20"/>
                <w:szCs w:val="20"/>
              </w:rPr>
              <w:t>K § 13 návrhu zákona (Vynětí z evidence tržeb podle druhu činnosti):</w:t>
            </w:r>
            <w:r w:rsidRPr="0035187E">
              <w:rPr>
                <w:rFonts w:ascii="Times New Roman" w:hAnsi="Times New Roman" w:cs="Times New Roman"/>
                <w:bCs/>
                <w:sz w:val="20"/>
                <w:szCs w:val="20"/>
              </w:rPr>
              <w:t xml:space="preserve"> </w:t>
            </w:r>
          </w:p>
          <w:p w14:paraId="1ABAE949" w14:textId="77777777" w:rsidR="00BE73FF" w:rsidRPr="0035187E" w:rsidRDefault="00BE73FF" w:rsidP="0035187E">
            <w:pPr>
              <w:widowControl w:val="0"/>
              <w:autoSpaceDE w:val="0"/>
              <w:autoSpaceDN w:val="0"/>
              <w:adjustRightInd w:val="0"/>
              <w:jc w:val="both"/>
              <w:rPr>
                <w:rFonts w:ascii="Times New Roman" w:hAnsi="Times New Roman" w:cs="Times New Roman"/>
                <w:bCs/>
                <w:sz w:val="20"/>
                <w:szCs w:val="20"/>
              </w:rPr>
            </w:pPr>
            <w:r w:rsidRPr="0035187E">
              <w:rPr>
                <w:rFonts w:ascii="Times New Roman" w:hAnsi="Times New Roman" w:cs="Times New Roman"/>
                <w:bCs/>
                <w:sz w:val="20"/>
                <w:szCs w:val="20"/>
              </w:rPr>
              <w:t xml:space="preserve">Doporučuje se zvážit, zda by výjimka z evidence tržeb neměla být výslovně stanovena mj. i pro tržby, které byly z evidence vyloučeny dle § 12 odst. 2 písm. k) až za) již zrušeného zákona č. 112/2016 Sb. [tj. tržby: </w:t>
            </w:r>
          </w:p>
          <w:p w14:paraId="0F945AFB" w14:textId="77777777" w:rsidR="00BE73FF" w:rsidRPr="0035187E" w:rsidRDefault="00BE73FF" w:rsidP="0035187E">
            <w:pPr>
              <w:widowControl w:val="0"/>
              <w:autoSpaceDE w:val="0"/>
              <w:autoSpaceDN w:val="0"/>
              <w:adjustRightInd w:val="0"/>
              <w:jc w:val="both"/>
              <w:rPr>
                <w:rFonts w:ascii="Times New Roman" w:hAnsi="Times New Roman" w:cs="Times New Roman"/>
                <w:bCs/>
                <w:sz w:val="20"/>
                <w:szCs w:val="20"/>
              </w:rPr>
            </w:pPr>
            <w:r w:rsidRPr="0035187E">
              <w:rPr>
                <w:rFonts w:ascii="Times New Roman" w:hAnsi="Times New Roman" w:cs="Times New Roman"/>
                <w:bCs/>
                <w:sz w:val="20"/>
                <w:szCs w:val="20"/>
              </w:rPr>
              <w:t xml:space="preserve">k) z činností uvedených v klasifikaci NACE pod kódy 87.10 - sociální péče ve zdravotnických zařízeních ústavní péče, </w:t>
            </w:r>
          </w:p>
          <w:p w14:paraId="49731145" w14:textId="77777777" w:rsidR="00BE73FF" w:rsidRPr="0035187E" w:rsidRDefault="00BE73FF" w:rsidP="0035187E">
            <w:pPr>
              <w:widowControl w:val="0"/>
              <w:autoSpaceDE w:val="0"/>
              <w:autoSpaceDN w:val="0"/>
              <w:adjustRightInd w:val="0"/>
              <w:jc w:val="both"/>
              <w:rPr>
                <w:rFonts w:ascii="Times New Roman" w:hAnsi="Times New Roman" w:cs="Times New Roman"/>
                <w:bCs/>
                <w:sz w:val="20"/>
                <w:szCs w:val="20"/>
              </w:rPr>
            </w:pPr>
            <w:r w:rsidRPr="0035187E">
              <w:rPr>
                <w:rFonts w:ascii="Times New Roman" w:hAnsi="Times New Roman" w:cs="Times New Roman"/>
                <w:bCs/>
                <w:sz w:val="20"/>
                <w:szCs w:val="20"/>
              </w:rPr>
              <w:t>l) z činností uvedených v klasifikaci NACE pod kódy 87.20 - sociální péče v zařízeních pro osoby s chronickým duševním onemocněním a osoby závislé na návykových látkách,</w:t>
            </w:r>
          </w:p>
          <w:p w14:paraId="5E6A65D9" w14:textId="77777777" w:rsidR="00BE73FF" w:rsidRPr="0035187E" w:rsidRDefault="00BE73FF" w:rsidP="0035187E">
            <w:pPr>
              <w:widowControl w:val="0"/>
              <w:autoSpaceDE w:val="0"/>
              <w:autoSpaceDN w:val="0"/>
              <w:adjustRightInd w:val="0"/>
              <w:jc w:val="both"/>
              <w:rPr>
                <w:rFonts w:ascii="Times New Roman" w:hAnsi="Times New Roman" w:cs="Times New Roman"/>
                <w:bCs/>
                <w:sz w:val="20"/>
                <w:szCs w:val="20"/>
              </w:rPr>
            </w:pPr>
            <w:r w:rsidRPr="0035187E">
              <w:rPr>
                <w:rFonts w:ascii="Times New Roman" w:hAnsi="Times New Roman" w:cs="Times New Roman"/>
                <w:bCs/>
                <w:sz w:val="20"/>
                <w:szCs w:val="20"/>
              </w:rPr>
              <w:t>m) z činností uvedených v klasifikaci NACE pod kódy 87.20.1 - sociální péče v zařízeních pro osoby s chronickým duševním onemocněním,</w:t>
            </w:r>
          </w:p>
          <w:p w14:paraId="32D2113F" w14:textId="77777777" w:rsidR="00BE73FF" w:rsidRPr="0035187E" w:rsidRDefault="00BE73FF" w:rsidP="0035187E">
            <w:pPr>
              <w:widowControl w:val="0"/>
              <w:autoSpaceDE w:val="0"/>
              <w:autoSpaceDN w:val="0"/>
              <w:adjustRightInd w:val="0"/>
              <w:jc w:val="both"/>
              <w:rPr>
                <w:rFonts w:ascii="Times New Roman" w:hAnsi="Times New Roman" w:cs="Times New Roman"/>
                <w:bCs/>
                <w:sz w:val="20"/>
                <w:szCs w:val="20"/>
              </w:rPr>
            </w:pPr>
            <w:r w:rsidRPr="0035187E">
              <w:rPr>
                <w:rFonts w:ascii="Times New Roman" w:hAnsi="Times New Roman" w:cs="Times New Roman"/>
                <w:bCs/>
                <w:sz w:val="20"/>
                <w:szCs w:val="20"/>
              </w:rPr>
              <w:t xml:space="preserve">n) z činností uvedených v klasifikaci NACE pod kódy 87.20.2 - sociální péče v zařízeních pro osoby závislé na návykových látkách, </w:t>
            </w:r>
          </w:p>
          <w:p w14:paraId="3FEC6871" w14:textId="77777777" w:rsidR="00BE73FF" w:rsidRPr="0035187E" w:rsidRDefault="00BE73FF" w:rsidP="0035187E">
            <w:pPr>
              <w:widowControl w:val="0"/>
              <w:autoSpaceDE w:val="0"/>
              <w:autoSpaceDN w:val="0"/>
              <w:adjustRightInd w:val="0"/>
              <w:jc w:val="both"/>
              <w:rPr>
                <w:rFonts w:ascii="Times New Roman" w:hAnsi="Times New Roman" w:cs="Times New Roman"/>
                <w:bCs/>
                <w:sz w:val="20"/>
                <w:szCs w:val="20"/>
              </w:rPr>
            </w:pPr>
            <w:r w:rsidRPr="0035187E">
              <w:rPr>
                <w:rFonts w:ascii="Times New Roman" w:hAnsi="Times New Roman" w:cs="Times New Roman"/>
                <w:bCs/>
                <w:sz w:val="20"/>
                <w:szCs w:val="20"/>
              </w:rPr>
              <w:t xml:space="preserve">o) z činností uvedených v klasifikaci NACE pod kódy 87.30 - sociální péče v domovech pro seniory a osoby se zdravotním postižením, </w:t>
            </w:r>
          </w:p>
          <w:p w14:paraId="6B6F869F" w14:textId="77777777" w:rsidR="00BE73FF" w:rsidRPr="0035187E" w:rsidRDefault="00BE73FF" w:rsidP="0035187E">
            <w:pPr>
              <w:widowControl w:val="0"/>
              <w:autoSpaceDE w:val="0"/>
              <w:autoSpaceDN w:val="0"/>
              <w:adjustRightInd w:val="0"/>
              <w:jc w:val="both"/>
              <w:rPr>
                <w:rFonts w:ascii="Times New Roman" w:hAnsi="Times New Roman" w:cs="Times New Roman"/>
                <w:bCs/>
                <w:sz w:val="20"/>
                <w:szCs w:val="20"/>
              </w:rPr>
            </w:pPr>
            <w:r w:rsidRPr="0035187E">
              <w:rPr>
                <w:rFonts w:ascii="Times New Roman" w:hAnsi="Times New Roman" w:cs="Times New Roman"/>
                <w:bCs/>
                <w:sz w:val="20"/>
                <w:szCs w:val="20"/>
              </w:rPr>
              <w:t xml:space="preserve">p) z činností uvedených v klasifikaci NACE pod kódy 87.30.1 - sociální péče v domovech pro seniory, </w:t>
            </w:r>
          </w:p>
          <w:p w14:paraId="308C7E38" w14:textId="77777777" w:rsidR="00BE73FF" w:rsidRPr="0035187E" w:rsidRDefault="00BE73FF" w:rsidP="0035187E">
            <w:pPr>
              <w:widowControl w:val="0"/>
              <w:autoSpaceDE w:val="0"/>
              <w:autoSpaceDN w:val="0"/>
              <w:adjustRightInd w:val="0"/>
              <w:jc w:val="both"/>
              <w:rPr>
                <w:rFonts w:ascii="Times New Roman" w:hAnsi="Times New Roman" w:cs="Times New Roman"/>
                <w:bCs/>
                <w:sz w:val="20"/>
                <w:szCs w:val="20"/>
              </w:rPr>
            </w:pPr>
            <w:r w:rsidRPr="0035187E">
              <w:rPr>
                <w:rFonts w:ascii="Times New Roman" w:hAnsi="Times New Roman" w:cs="Times New Roman"/>
                <w:bCs/>
                <w:sz w:val="20"/>
                <w:szCs w:val="20"/>
              </w:rPr>
              <w:t>q) z činností uvedených v klasifikaci NACE pod kódy 87.30.2 - sociální péče v domovech pro osoby se zdravotním postižením,</w:t>
            </w:r>
          </w:p>
          <w:p w14:paraId="18D2F8F2" w14:textId="77777777" w:rsidR="00BE73FF" w:rsidRPr="0035187E" w:rsidRDefault="00BE73FF" w:rsidP="0035187E">
            <w:pPr>
              <w:widowControl w:val="0"/>
              <w:autoSpaceDE w:val="0"/>
              <w:autoSpaceDN w:val="0"/>
              <w:adjustRightInd w:val="0"/>
              <w:jc w:val="both"/>
              <w:rPr>
                <w:rFonts w:ascii="Times New Roman" w:hAnsi="Times New Roman" w:cs="Times New Roman"/>
                <w:bCs/>
                <w:sz w:val="20"/>
                <w:szCs w:val="20"/>
              </w:rPr>
            </w:pPr>
            <w:r w:rsidRPr="0035187E">
              <w:rPr>
                <w:rFonts w:ascii="Times New Roman" w:hAnsi="Times New Roman" w:cs="Times New Roman"/>
                <w:bCs/>
                <w:sz w:val="20"/>
                <w:szCs w:val="20"/>
              </w:rPr>
              <w:t xml:space="preserve">r) z činností uvedených v klasifikaci NACE pod kódy 87.90 - ostatní pobytové služby sociální péče, </w:t>
            </w:r>
          </w:p>
          <w:p w14:paraId="70A52424" w14:textId="77777777" w:rsidR="00BE73FF" w:rsidRPr="0035187E" w:rsidRDefault="00BE73FF" w:rsidP="0035187E">
            <w:pPr>
              <w:widowControl w:val="0"/>
              <w:autoSpaceDE w:val="0"/>
              <w:autoSpaceDN w:val="0"/>
              <w:adjustRightInd w:val="0"/>
              <w:jc w:val="both"/>
              <w:rPr>
                <w:rFonts w:ascii="Times New Roman" w:hAnsi="Times New Roman" w:cs="Times New Roman"/>
                <w:bCs/>
                <w:sz w:val="20"/>
                <w:szCs w:val="20"/>
              </w:rPr>
            </w:pPr>
            <w:r w:rsidRPr="0035187E">
              <w:rPr>
                <w:rFonts w:ascii="Times New Roman" w:hAnsi="Times New Roman" w:cs="Times New Roman"/>
                <w:bCs/>
                <w:sz w:val="20"/>
                <w:szCs w:val="20"/>
              </w:rPr>
              <w:t xml:space="preserve">s) z činností uvedených v klasifikaci NACE pod kódy 88.10 - ambulantní nebo terénní sociální služby pro seniory a osoby se zdravotním postižením, </w:t>
            </w:r>
          </w:p>
          <w:p w14:paraId="0A687D2E" w14:textId="77777777" w:rsidR="00BE73FF" w:rsidRPr="0035187E" w:rsidRDefault="00BE73FF" w:rsidP="0035187E">
            <w:pPr>
              <w:widowControl w:val="0"/>
              <w:autoSpaceDE w:val="0"/>
              <w:autoSpaceDN w:val="0"/>
              <w:adjustRightInd w:val="0"/>
              <w:jc w:val="both"/>
              <w:rPr>
                <w:rFonts w:ascii="Times New Roman" w:hAnsi="Times New Roman" w:cs="Times New Roman"/>
                <w:bCs/>
                <w:sz w:val="20"/>
                <w:szCs w:val="20"/>
              </w:rPr>
            </w:pPr>
            <w:r w:rsidRPr="0035187E">
              <w:rPr>
                <w:rFonts w:ascii="Times New Roman" w:hAnsi="Times New Roman" w:cs="Times New Roman"/>
                <w:bCs/>
                <w:sz w:val="20"/>
                <w:szCs w:val="20"/>
              </w:rPr>
              <w:t xml:space="preserve">t) z činností uvedených v klasifikaci NACE pod kódy 88.10.1 - ambulantní nebo terénní sociální služby pro seniory, </w:t>
            </w:r>
          </w:p>
          <w:p w14:paraId="65970A2D" w14:textId="77777777" w:rsidR="00BE73FF" w:rsidRPr="0035187E" w:rsidRDefault="00BE73FF" w:rsidP="0035187E">
            <w:pPr>
              <w:widowControl w:val="0"/>
              <w:autoSpaceDE w:val="0"/>
              <w:autoSpaceDN w:val="0"/>
              <w:adjustRightInd w:val="0"/>
              <w:jc w:val="both"/>
              <w:rPr>
                <w:rFonts w:ascii="Times New Roman" w:hAnsi="Times New Roman" w:cs="Times New Roman"/>
                <w:bCs/>
                <w:sz w:val="20"/>
                <w:szCs w:val="20"/>
              </w:rPr>
            </w:pPr>
            <w:r w:rsidRPr="0035187E">
              <w:rPr>
                <w:rFonts w:ascii="Times New Roman" w:hAnsi="Times New Roman" w:cs="Times New Roman"/>
                <w:bCs/>
                <w:sz w:val="20"/>
                <w:szCs w:val="20"/>
              </w:rPr>
              <w:t xml:space="preserve">u) z činností uvedených v klasifikaci NACE pod kódy </w:t>
            </w:r>
            <w:proofErr w:type="gramStart"/>
            <w:r w:rsidRPr="0035187E">
              <w:rPr>
                <w:rFonts w:ascii="Times New Roman" w:hAnsi="Times New Roman" w:cs="Times New Roman"/>
                <w:bCs/>
                <w:sz w:val="20"/>
                <w:szCs w:val="20"/>
              </w:rPr>
              <w:t>88.10.2  -</w:t>
            </w:r>
            <w:proofErr w:type="gramEnd"/>
            <w:r w:rsidRPr="0035187E">
              <w:rPr>
                <w:rFonts w:ascii="Times New Roman" w:hAnsi="Times New Roman" w:cs="Times New Roman"/>
                <w:bCs/>
                <w:sz w:val="20"/>
                <w:szCs w:val="20"/>
              </w:rPr>
              <w:t xml:space="preserve"> ambulantní nebo terénní sociální služby pro osoby se zdravotním postižením, </w:t>
            </w:r>
          </w:p>
          <w:p w14:paraId="6E6E5096" w14:textId="77777777" w:rsidR="00BE73FF" w:rsidRPr="0035187E" w:rsidRDefault="00BE73FF" w:rsidP="0035187E">
            <w:pPr>
              <w:widowControl w:val="0"/>
              <w:autoSpaceDE w:val="0"/>
              <w:autoSpaceDN w:val="0"/>
              <w:adjustRightInd w:val="0"/>
              <w:jc w:val="both"/>
              <w:rPr>
                <w:rFonts w:ascii="Times New Roman" w:hAnsi="Times New Roman" w:cs="Times New Roman"/>
                <w:bCs/>
                <w:sz w:val="20"/>
                <w:szCs w:val="20"/>
              </w:rPr>
            </w:pPr>
            <w:r w:rsidRPr="0035187E">
              <w:rPr>
                <w:rFonts w:ascii="Times New Roman" w:hAnsi="Times New Roman" w:cs="Times New Roman"/>
                <w:bCs/>
                <w:sz w:val="20"/>
                <w:szCs w:val="20"/>
              </w:rPr>
              <w:t xml:space="preserve">v) z činností uvedených v klasifikaci NACE pod kódy 88.91 - sociální služby poskytované dětem, w) z činností uvedených v klasifikaci NACE pod kódy </w:t>
            </w:r>
            <w:proofErr w:type="gramStart"/>
            <w:r w:rsidRPr="0035187E">
              <w:rPr>
                <w:rFonts w:ascii="Times New Roman" w:hAnsi="Times New Roman" w:cs="Times New Roman"/>
                <w:bCs/>
                <w:sz w:val="20"/>
                <w:szCs w:val="20"/>
              </w:rPr>
              <w:t>88.99  -</w:t>
            </w:r>
            <w:proofErr w:type="gramEnd"/>
            <w:r w:rsidRPr="0035187E">
              <w:rPr>
                <w:rFonts w:ascii="Times New Roman" w:hAnsi="Times New Roman" w:cs="Times New Roman"/>
                <w:bCs/>
                <w:sz w:val="20"/>
                <w:szCs w:val="20"/>
              </w:rPr>
              <w:t xml:space="preserve"> ostatní ambulantní nebo terénní sociální služby j. n, </w:t>
            </w:r>
          </w:p>
          <w:p w14:paraId="19168E72" w14:textId="77777777" w:rsidR="00BE73FF" w:rsidRPr="0035187E" w:rsidRDefault="00BE73FF" w:rsidP="0035187E">
            <w:pPr>
              <w:widowControl w:val="0"/>
              <w:autoSpaceDE w:val="0"/>
              <w:autoSpaceDN w:val="0"/>
              <w:adjustRightInd w:val="0"/>
              <w:jc w:val="both"/>
              <w:rPr>
                <w:rFonts w:ascii="Times New Roman" w:hAnsi="Times New Roman" w:cs="Times New Roman"/>
                <w:bCs/>
                <w:sz w:val="20"/>
                <w:szCs w:val="20"/>
              </w:rPr>
            </w:pPr>
            <w:r w:rsidRPr="0035187E">
              <w:rPr>
                <w:rFonts w:ascii="Times New Roman" w:hAnsi="Times New Roman" w:cs="Times New Roman"/>
                <w:bCs/>
                <w:sz w:val="20"/>
                <w:szCs w:val="20"/>
              </w:rPr>
              <w:t xml:space="preserve">x) z činností uvedených v klasifikaci NACE pod kódy 88.99.1 - sociální služby pro uprchlíky, oběti katastrof, </w:t>
            </w:r>
          </w:p>
          <w:p w14:paraId="116359F3" w14:textId="77777777" w:rsidR="00BE73FF" w:rsidRPr="0035187E" w:rsidRDefault="00BE73FF" w:rsidP="0035187E">
            <w:pPr>
              <w:widowControl w:val="0"/>
              <w:autoSpaceDE w:val="0"/>
              <w:autoSpaceDN w:val="0"/>
              <w:adjustRightInd w:val="0"/>
              <w:jc w:val="both"/>
              <w:rPr>
                <w:rFonts w:ascii="Times New Roman" w:hAnsi="Times New Roman" w:cs="Times New Roman"/>
                <w:bCs/>
                <w:sz w:val="20"/>
                <w:szCs w:val="20"/>
              </w:rPr>
            </w:pPr>
            <w:r w:rsidRPr="0035187E">
              <w:rPr>
                <w:rFonts w:ascii="Times New Roman" w:hAnsi="Times New Roman" w:cs="Times New Roman"/>
                <w:bCs/>
                <w:sz w:val="20"/>
                <w:szCs w:val="20"/>
              </w:rPr>
              <w:t xml:space="preserve">y) z činností uvedených v klasifikaci NACE pod kódy </w:t>
            </w:r>
            <w:proofErr w:type="gramStart"/>
            <w:r w:rsidRPr="0035187E">
              <w:rPr>
                <w:rFonts w:ascii="Times New Roman" w:hAnsi="Times New Roman" w:cs="Times New Roman"/>
                <w:bCs/>
                <w:sz w:val="20"/>
                <w:szCs w:val="20"/>
              </w:rPr>
              <w:t>88.99.2  -</w:t>
            </w:r>
            <w:proofErr w:type="gramEnd"/>
            <w:r w:rsidRPr="0035187E">
              <w:rPr>
                <w:rFonts w:ascii="Times New Roman" w:hAnsi="Times New Roman" w:cs="Times New Roman"/>
                <w:bCs/>
                <w:sz w:val="20"/>
                <w:szCs w:val="20"/>
              </w:rPr>
              <w:t xml:space="preserve"> sociální prevence, </w:t>
            </w:r>
          </w:p>
          <w:p w14:paraId="2B7E6B09" w14:textId="77777777" w:rsidR="00BE73FF" w:rsidRPr="0035187E" w:rsidRDefault="00BE73FF" w:rsidP="0035187E">
            <w:pPr>
              <w:widowControl w:val="0"/>
              <w:autoSpaceDE w:val="0"/>
              <w:autoSpaceDN w:val="0"/>
              <w:adjustRightInd w:val="0"/>
              <w:jc w:val="both"/>
              <w:rPr>
                <w:rFonts w:ascii="Times New Roman" w:hAnsi="Times New Roman" w:cs="Times New Roman"/>
                <w:bCs/>
                <w:sz w:val="20"/>
                <w:szCs w:val="20"/>
              </w:rPr>
            </w:pPr>
            <w:r w:rsidRPr="0035187E">
              <w:rPr>
                <w:rFonts w:ascii="Times New Roman" w:hAnsi="Times New Roman" w:cs="Times New Roman"/>
                <w:bCs/>
                <w:sz w:val="20"/>
                <w:szCs w:val="20"/>
              </w:rPr>
              <w:t xml:space="preserve">z) z činností uvedených v klasifikaci NACE pod kódy 88.99.3 - sociální rehabilitace, </w:t>
            </w:r>
          </w:p>
          <w:p w14:paraId="2BDD151B" w14:textId="77777777" w:rsidR="00BE73FF" w:rsidRPr="0035187E" w:rsidRDefault="00BE73FF" w:rsidP="0035187E">
            <w:pPr>
              <w:widowControl w:val="0"/>
              <w:autoSpaceDE w:val="0"/>
              <w:autoSpaceDN w:val="0"/>
              <w:adjustRightInd w:val="0"/>
              <w:jc w:val="both"/>
              <w:rPr>
                <w:rFonts w:ascii="Times New Roman" w:hAnsi="Times New Roman" w:cs="Times New Roman"/>
                <w:bCs/>
                <w:sz w:val="20"/>
                <w:szCs w:val="20"/>
              </w:rPr>
            </w:pPr>
            <w:r w:rsidRPr="0035187E">
              <w:rPr>
                <w:rFonts w:ascii="Times New Roman" w:hAnsi="Times New Roman" w:cs="Times New Roman"/>
                <w:bCs/>
                <w:sz w:val="20"/>
                <w:szCs w:val="20"/>
              </w:rPr>
              <w:t xml:space="preserve">za) z činností uvedených v klasifikaci NACE pod kódy </w:t>
            </w:r>
            <w:proofErr w:type="gramStart"/>
            <w:r w:rsidRPr="0035187E">
              <w:rPr>
                <w:rFonts w:ascii="Times New Roman" w:hAnsi="Times New Roman" w:cs="Times New Roman"/>
                <w:bCs/>
                <w:sz w:val="20"/>
                <w:szCs w:val="20"/>
              </w:rPr>
              <w:t>88.99.9  -</w:t>
            </w:r>
            <w:proofErr w:type="gramEnd"/>
            <w:r w:rsidRPr="0035187E">
              <w:rPr>
                <w:rFonts w:ascii="Times New Roman" w:hAnsi="Times New Roman" w:cs="Times New Roman"/>
                <w:bCs/>
                <w:sz w:val="20"/>
                <w:szCs w:val="20"/>
              </w:rPr>
              <w:t xml:space="preserve"> jiné ambulantní nebo terénní sociální služby j. n.]  </w:t>
            </w:r>
          </w:p>
          <w:p w14:paraId="7741C0E4" w14:textId="4F7137D9" w:rsidR="00BE73FF" w:rsidRPr="0035187E" w:rsidRDefault="00BE73FF" w:rsidP="0035187E">
            <w:pPr>
              <w:widowControl w:val="0"/>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Cs/>
                <w:sz w:val="20"/>
                <w:szCs w:val="20"/>
              </w:rPr>
              <w:t>Obecné ustanovení o výjimce pro „</w:t>
            </w:r>
            <w:r w:rsidRPr="0035187E">
              <w:rPr>
                <w:rFonts w:ascii="Times New Roman" w:hAnsi="Times New Roman" w:cs="Times New Roman"/>
                <w:bCs/>
                <w:i/>
                <w:iCs/>
                <w:sz w:val="20"/>
                <w:szCs w:val="20"/>
              </w:rPr>
              <w:t>tržby z drobné vedlejší podnikatelské činnosti veřejně prospěšných poplatníků</w:t>
            </w:r>
            <w:r w:rsidRPr="0035187E">
              <w:rPr>
                <w:rFonts w:ascii="Times New Roman" w:hAnsi="Times New Roman" w:cs="Times New Roman"/>
                <w:bCs/>
                <w:sz w:val="20"/>
                <w:szCs w:val="20"/>
              </w:rPr>
              <w:t xml:space="preserve">“ by ve vztahu k výše uvedeným činnostem nemuselo vždy být </w:t>
            </w:r>
            <w:r w:rsidRPr="0035187E">
              <w:rPr>
                <w:rFonts w:ascii="Times New Roman" w:hAnsi="Times New Roman" w:cs="Times New Roman"/>
                <w:bCs/>
                <w:sz w:val="20"/>
                <w:szCs w:val="20"/>
              </w:rPr>
              <w:lastRenderedPageBreak/>
              <w:t>použitelnou právní oporou.</w:t>
            </w:r>
          </w:p>
        </w:tc>
        <w:tc>
          <w:tcPr>
            <w:tcW w:w="1453" w:type="pct"/>
            <w:tcBorders>
              <w:top w:val="single" w:sz="4" w:space="0" w:color="auto"/>
              <w:left w:val="single" w:sz="4" w:space="0" w:color="auto"/>
              <w:right w:val="single" w:sz="4" w:space="0" w:color="auto"/>
            </w:tcBorders>
            <w:shd w:val="clear" w:color="auto" w:fill="auto"/>
          </w:tcPr>
          <w:p w14:paraId="45454EF2" w14:textId="77777777" w:rsidR="00BE73FF" w:rsidRPr="0035187E" w:rsidRDefault="00AE78DD"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Nevyhověno.</w:t>
            </w:r>
          </w:p>
          <w:p w14:paraId="6B560EC0" w14:textId="77777777" w:rsidR="00AE78DD" w:rsidRPr="0035187E" w:rsidRDefault="00AE78DD" w:rsidP="0035187E">
            <w:pPr>
              <w:jc w:val="both"/>
              <w:rPr>
                <w:rFonts w:ascii="Times New Roman" w:hAnsi="Times New Roman" w:cs="Times New Roman"/>
                <w:sz w:val="20"/>
                <w:szCs w:val="20"/>
              </w:rPr>
            </w:pPr>
            <w:r w:rsidRPr="0035187E">
              <w:rPr>
                <w:rFonts w:ascii="Times New Roman" w:hAnsi="Times New Roman" w:cs="Times New Roman"/>
                <w:sz w:val="20"/>
                <w:szCs w:val="20"/>
              </w:rPr>
              <w:t>Je záměrem okruh těchto výjimek, s jejichž zařazením</w:t>
            </w:r>
            <w:r w:rsidR="00732C08" w:rsidRPr="0035187E">
              <w:rPr>
                <w:rFonts w:ascii="Times New Roman" w:hAnsi="Times New Roman" w:cs="Times New Roman"/>
                <w:sz w:val="20"/>
                <w:szCs w:val="20"/>
              </w:rPr>
              <w:t xml:space="preserve"> do původního zákona Ministerstvo financí nesouhlasilo, do návrhu zákona nezařazovat. Z hlediska racionality není zvláštního důvodu pro vynětí těchto činností z okruhu evidovaných tržeb. V této souvislosti je třeba připomenout, že evidenci tržeb nepodléhá nepodnikatelská činnost v této oblasti.</w:t>
            </w:r>
          </w:p>
          <w:p w14:paraId="3091D5AD" w14:textId="42B2C60C" w:rsidR="005D6306" w:rsidRPr="0035187E" w:rsidRDefault="005D6306" w:rsidP="0035187E">
            <w:pPr>
              <w:jc w:val="both"/>
              <w:rPr>
                <w:rFonts w:ascii="Times New Roman" w:hAnsi="Times New Roman" w:cs="Times New Roman"/>
                <w:sz w:val="20"/>
                <w:szCs w:val="20"/>
              </w:rPr>
            </w:pPr>
          </w:p>
        </w:tc>
      </w:tr>
      <w:tr w:rsidR="0035187E" w:rsidRPr="0035187E" w14:paraId="433AB171"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184DB0E" w14:textId="7F1A2335"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8.</w:t>
            </w:r>
          </w:p>
        </w:tc>
        <w:tc>
          <w:tcPr>
            <w:tcW w:w="583" w:type="pct"/>
            <w:tcBorders>
              <w:top w:val="single" w:sz="4" w:space="0" w:color="auto"/>
              <w:left w:val="single" w:sz="4" w:space="0" w:color="auto"/>
              <w:right w:val="single" w:sz="4" w:space="0" w:color="auto"/>
            </w:tcBorders>
            <w:shd w:val="clear" w:color="auto" w:fill="auto"/>
          </w:tcPr>
          <w:p w14:paraId="10D49CC1" w14:textId="28C59C65"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Ministerstvo </w:t>
            </w:r>
            <w:proofErr w:type="gramStart"/>
            <w:r w:rsidRPr="0035187E">
              <w:rPr>
                <w:rFonts w:ascii="Times New Roman" w:hAnsi="Times New Roman" w:cs="Times New Roman"/>
                <w:sz w:val="20"/>
                <w:szCs w:val="20"/>
              </w:rPr>
              <w:t>školství‚ mládeže</w:t>
            </w:r>
            <w:proofErr w:type="gramEnd"/>
            <w:r w:rsidRPr="0035187E">
              <w:rPr>
                <w:rFonts w:ascii="Times New Roman" w:hAnsi="Times New Roman" w:cs="Times New Roman"/>
                <w:sz w:val="20"/>
                <w:szCs w:val="20"/>
              </w:rPr>
              <w:t xml:space="preserve"> a tělovýchovy</w:t>
            </w:r>
          </w:p>
        </w:tc>
        <w:tc>
          <w:tcPr>
            <w:tcW w:w="168" w:type="pct"/>
            <w:tcBorders>
              <w:top w:val="single" w:sz="4" w:space="0" w:color="auto"/>
              <w:left w:val="single" w:sz="4" w:space="0" w:color="auto"/>
              <w:right w:val="single" w:sz="4" w:space="0" w:color="auto"/>
            </w:tcBorders>
            <w:shd w:val="clear" w:color="auto" w:fill="auto"/>
          </w:tcPr>
          <w:p w14:paraId="478E448C" w14:textId="0DE4F2AE"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12.</w:t>
            </w:r>
          </w:p>
        </w:tc>
        <w:tc>
          <w:tcPr>
            <w:tcW w:w="169" w:type="pct"/>
            <w:tcBorders>
              <w:top w:val="single" w:sz="4" w:space="0" w:color="auto"/>
              <w:left w:val="single" w:sz="4" w:space="0" w:color="auto"/>
              <w:right w:val="single" w:sz="4" w:space="0" w:color="auto"/>
            </w:tcBorders>
            <w:shd w:val="clear" w:color="auto" w:fill="auto"/>
          </w:tcPr>
          <w:p w14:paraId="37E87DAF" w14:textId="233EADB1"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D2A7FB5" w14:textId="693DE05A" w:rsidR="00BE73FF" w:rsidRPr="0035187E" w:rsidRDefault="00BE73FF" w:rsidP="0035187E">
            <w:pPr>
              <w:widowControl w:val="0"/>
              <w:numPr>
                <w:ilvl w:val="0"/>
                <w:numId w:val="47"/>
              </w:numPr>
              <w:autoSpaceDE w:val="0"/>
              <w:autoSpaceDN w:val="0"/>
              <w:adjustRightInd w:val="0"/>
              <w:ind w:left="0" w:firstLine="0"/>
              <w:jc w:val="both"/>
              <w:rPr>
                <w:rFonts w:ascii="Times New Roman" w:hAnsi="Times New Roman" w:cs="Times New Roman"/>
                <w:sz w:val="20"/>
                <w:szCs w:val="20"/>
              </w:rPr>
            </w:pPr>
            <w:r w:rsidRPr="0035187E">
              <w:rPr>
                <w:rFonts w:ascii="Times New Roman" w:hAnsi="Times New Roman" w:cs="Times New Roman"/>
                <w:b/>
                <w:sz w:val="20"/>
                <w:szCs w:val="20"/>
              </w:rPr>
              <w:t>K § 14 odst. 5 návrhu zákona:</w:t>
            </w:r>
            <w:r w:rsidRPr="0035187E">
              <w:rPr>
                <w:rFonts w:ascii="Times New Roman" w:hAnsi="Times New Roman" w:cs="Times New Roman"/>
                <w:bCs/>
                <w:sz w:val="20"/>
                <w:szCs w:val="20"/>
              </w:rPr>
              <w:t xml:space="preserve"> Dáváme ke zvážení výjimku rozšířit i na prodej vánočních stromků.</w:t>
            </w:r>
          </w:p>
        </w:tc>
        <w:tc>
          <w:tcPr>
            <w:tcW w:w="1453" w:type="pct"/>
            <w:tcBorders>
              <w:top w:val="single" w:sz="4" w:space="0" w:color="auto"/>
              <w:left w:val="single" w:sz="4" w:space="0" w:color="auto"/>
              <w:right w:val="single" w:sz="4" w:space="0" w:color="auto"/>
            </w:tcBorders>
            <w:shd w:val="clear" w:color="auto" w:fill="auto"/>
          </w:tcPr>
          <w:p w14:paraId="1FA0C672" w14:textId="77777777" w:rsidR="00BE73FF" w:rsidRPr="0035187E" w:rsidRDefault="00D8157A" w:rsidP="0035187E">
            <w:pPr>
              <w:jc w:val="both"/>
              <w:rPr>
                <w:rFonts w:ascii="Times New Roman" w:hAnsi="Times New Roman" w:cs="Times New Roman"/>
                <w:b/>
                <w:sz w:val="20"/>
                <w:szCs w:val="20"/>
              </w:rPr>
            </w:pPr>
            <w:r w:rsidRPr="0035187E">
              <w:rPr>
                <w:rFonts w:ascii="Times New Roman" w:hAnsi="Times New Roman" w:cs="Times New Roman"/>
                <w:b/>
                <w:sz w:val="20"/>
                <w:szCs w:val="20"/>
              </w:rPr>
              <w:t>Nevyhověno.</w:t>
            </w:r>
          </w:p>
          <w:p w14:paraId="12723A7E" w14:textId="5D614F2B" w:rsidR="00D8157A" w:rsidRPr="0035187E" w:rsidRDefault="00D8157A" w:rsidP="0035187E">
            <w:pPr>
              <w:jc w:val="both"/>
              <w:rPr>
                <w:rFonts w:ascii="Times New Roman" w:hAnsi="Times New Roman" w:cs="Times New Roman"/>
                <w:sz w:val="20"/>
                <w:szCs w:val="20"/>
              </w:rPr>
            </w:pPr>
            <w:r w:rsidRPr="0035187E">
              <w:rPr>
                <w:rFonts w:ascii="Times New Roman" w:hAnsi="Times New Roman" w:cs="Times New Roman"/>
                <w:sz w:val="20"/>
                <w:szCs w:val="20"/>
              </w:rPr>
              <w:t>Tento typ prodeje nevykazuje všechny znaky, které vedly k vynětí sezónního prodeje sladkovodních ryb (blíže viz odůvodnění k tomuto bodu).</w:t>
            </w:r>
          </w:p>
        </w:tc>
      </w:tr>
      <w:tr w:rsidR="0035187E" w:rsidRPr="0035187E" w14:paraId="37B08333"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DB60256" w14:textId="400D9726"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8.</w:t>
            </w:r>
          </w:p>
        </w:tc>
        <w:tc>
          <w:tcPr>
            <w:tcW w:w="583" w:type="pct"/>
            <w:tcBorders>
              <w:top w:val="single" w:sz="4" w:space="0" w:color="auto"/>
              <w:left w:val="single" w:sz="4" w:space="0" w:color="auto"/>
              <w:right w:val="single" w:sz="4" w:space="0" w:color="auto"/>
            </w:tcBorders>
            <w:shd w:val="clear" w:color="auto" w:fill="auto"/>
          </w:tcPr>
          <w:p w14:paraId="0A845F42" w14:textId="646C5914"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Ministerstvo </w:t>
            </w:r>
            <w:proofErr w:type="gramStart"/>
            <w:r w:rsidRPr="0035187E">
              <w:rPr>
                <w:rFonts w:ascii="Times New Roman" w:hAnsi="Times New Roman" w:cs="Times New Roman"/>
                <w:sz w:val="20"/>
                <w:szCs w:val="20"/>
              </w:rPr>
              <w:t>školství‚ mládeže</w:t>
            </w:r>
            <w:proofErr w:type="gramEnd"/>
            <w:r w:rsidRPr="0035187E">
              <w:rPr>
                <w:rFonts w:ascii="Times New Roman" w:hAnsi="Times New Roman" w:cs="Times New Roman"/>
                <w:sz w:val="20"/>
                <w:szCs w:val="20"/>
              </w:rPr>
              <w:t xml:space="preserve"> a tělovýchovy</w:t>
            </w:r>
          </w:p>
        </w:tc>
        <w:tc>
          <w:tcPr>
            <w:tcW w:w="168" w:type="pct"/>
            <w:tcBorders>
              <w:top w:val="single" w:sz="4" w:space="0" w:color="auto"/>
              <w:left w:val="single" w:sz="4" w:space="0" w:color="auto"/>
              <w:right w:val="single" w:sz="4" w:space="0" w:color="auto"/>
            </w:tcBorders>
            <w:shd w:val="clear" w:color="auto" w:fill="auto"/>
          </w:tcPr>
          <w:p w14:paraId="13471B6E" w14:textId="5D93A6ED"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13.</w:t>
            </w:r>
          </w:p>
        </w:tc>
        <w:tc>
          <w:tcPr>
            <w:tcW w:w="169" w:type="pct"/>
            <w:tcBorders>
              <w:top w:val="single" w:sz="4" w:space="0" w:color="auto"/>
              <w:left w:val="single" w:sz="4" w:space="0" w:color="auto"/>
              <w:right w:val="single" w:sz="4" w:space="0" w:color="auto"/>
            </w:tcBorders>
            <w:shd w:val="clear" w:color="auto" w:fill="auto"/>
          </w:tcPr>
          <w:p w14:paraId="29F40422" w14:textId="0477B7A1"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14F5689" w14:textId="3636BBC3" w:rsidR="00BE73FF" w:rsidRPr="0035187E" w:rsidRDefault="00BE73FF" w:rsidP="0035187E">
            <w:pPr>
              <w:widowControl w:val="0"/>
              <w:numPr>
                <w:ilvl w:val="0"/>
                <w:numId w:val="47"/>
              </w:numPr>
              <w:autoSpaceDE w:val="0"/>
              <w:autoSpaceDN w:val="0"/>
              <w:adjustRightInd w:val="0"/>
              <w:ind w:left="0" w:firstLine="0"/>
              <w:jc w:val="both"/>
              <w:rPr>
                <w:rFonts w:ascii="Times New Roman" w:hAnsi="Times New Roman" w:cs="Times New Roman"/>
                <w:sz w:val="20"/>
                <w:szCs w:val="20"/>
              </w:rPr>
            </w:pPr>
            <w:r w:rsidRPr="0035187E">
              <w:rPr>
                <w:rFonts w:ascii="Times New Roman" w:hAnsi="Times New Roman" w:cs="Times New Roman"/>
                <w:b/>
                <w:sz w:val="20"/>
                <w:szCs w:val="20"/>
              </w:rPr>
              <w:t>K § 18 odst. 1 písm. g) návrhu zákona:</w:t>
            </w:r>
            <w:r w:rsidRPr="0035187E">
              <w:rPr>
                <w:rFonts w:ascii="Times New Roman" w:hAnsi="Times New Roman" w:cs="Times New Roman"/>
                <w:bCs/>
                <w:sz w:val="20"/>
                <w:szCs w:val="20"/>
              </w:rPr>
              <w:t xml:space="preserve"> Identifikace datové zprávy je v tomto ustanovení neurčitá. Návrh vyžaduje „</w:t>
            </w:r>
            <w:r w:rsidRPr="0035187E">
              <w:rPr>
                <w:rFonts w:ascii="Times New Roman" w:hAnsi="Times New Roman" w:cs="Times New Roman"/>
                <w:bCs/>
                <w:i/>
                <w:iCs/>
                <w:sz w:val="20"/>
                <w:szCs w:val="20"/>
              </w:rPr>
              <w:t>identifikaci této datové zprávy</w:t>
            </w:r>
            <w:r w:rsidRPr="0035187E">
              <w:rPr>
                <w:rFonts w:ascii="Times New Roman" w:hAnsi="Times New Roman" w:cs="Times New Roman"/>
                <w:bCs/>
                <w:sz w:val="20"/>
                <w:szCs w:val="20"/>
              </w:rPr>
              <w:t xml:space="preserve">“, ale neříká: kdo ji generuje (poplatník/pokladní zařízení vs. správce daně), zda musí být jedinečná a v jakém rozsahu, jak se zabrání duplicitám (což je zásadní pro párování s potvrzovacím kódem a pro storna). Navrhuje se doplnit do § 18 nový odstavec 4, který stanoví minimální právní rámec a v němž by bylo např. stanoveno, že </w:t>
            </w:r>
            <w:r w:rsidRPr="0035187E">
              <w:rPr>
                <w:rFonts w:ascii="Times New Roman" w:hAnsi="Times New Roman" w:cs="Times New Roman"/>
                <w:bCs/>
                <w:i/>
                <w:iCs/>
                <w:sz w:val="20"/>
                <w:szCs w:val="20"/>
              </w:rPr>
              <w:t>„(4) Identifikaci datové zprávy podle odstavce 1 písm. g) určuje poplatník prostřednictvím pokladního zařízení; identifikace musí být jedinečná alespoň v rámci jednoho pokladního zařízení poplatníka a nesmí být použita opakovaně</w:t>
            </w:r>
            <w:r w:rsidRPr="0035187E">
              <w:rPr>
                <w:rFonts w:ascii="Times New Roman" w:hAnsi="Times New Roman" w:cs="Times New Roman"/>
                <w:bCs/>
                <w:sz w:val="20"/>
                <w:szCs w:val="20"/>
              </w:rPr>
              <w:t>.“. Tím se zamezí situaci, kdy „</w:t>
            </w:r>
            <w:r w:rsidRPr="0035187E">
              <w:rPr>
                <w:rFonts w:ascii="Times New Roman" w:hAnsi="Times New Roman" w:cs="Times New Roman"/>
                <w:bCs/>
                <w:i/>
                <w:iCs/>
                <w:sz w:val="20"/>
                <w:szCs w:val="20"/>
              </w:rPr>
              <w:t>identifikace</w:t>
            </w:r>
            <w:r w:rsidRPr="0035187E">
              <w:rPr>
                <w:rFonts w:ascii="Times New Roman" w:hAnsi="Times New Roman" w:cs="Times New Roman"/>
                <w:bCs/>
                <w:sz w:val="20"/>
                <w:szCs w:val="20"/>
              </w:rPr>
              <w:t>“ bude libovolná a kontrolně nepoužitelná.</w:t>
            </w:r>
          </w:p>
        </w:tc>
        <w:tc>
          <w:tcPr>
            <w:tcW w:w="1453" w:type="pct"/>
            <w:tcBorders>
              <w:top w:val="single" w:sz="4" w:space="0" w:color="auto"/>
              <w:left w:val="single" w:sz="4" w:space="0" w:color="auto"/>
              <w:right w:val="single" w:sz="4" w:space="0" w:color="auto"/>
            </w:tcBorders>
            <w:shd w:val="clear" w:color="auto" w:fill="auto"/>
          </w:tcPr>
          <w:p w14:paraId="0C19F200" w14:textId="722DBBC4" w:rsidR="00BE73FF" w:rsidRPr="0035187E" w:rsidRDefault="00C51CBE" w:rsidP="0035187E">
            <w:pPr>
              <w:jc w:val="both"/>
              <w:rPr>
                <w:rFonts w:ascii="Times New Roman" w:hAnsi="Times New Roman" w:cs="Times New Roman"/>
                <w:b/>
                <w:sz w:val="20"/>
                <w:szCs w:val="20"/>
              </w:rPr>
            </w:pPr>
            <w:r w:rsidRPr="0035187E">
              <w:rPr>
                <w:rFonts w:ascii="Times New Roman" w:hAnsi="Times New Roman" w:cs="Times New Roman"/>
                <w:b/>
                <w:sz w:val="20"/>
                <w:szCs w:val="20"/>
              </w:rPr>
              <w:t>Vyhověno jinak.</w:t>
            </w:r>
          </w:p>
          <w:p w14:paraId="5F89555F" w14:textId="4B5A2F48" w:rsidR="00C51CBE" w:rsidRPr="0035187E" w:rsidRDefault="00C51CBE"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 ve prospěch doplnění normy stanovující správci daně povinnost určit a zveřejnit způsobem umožňujícím dálkový přístup podmínky a způsob přijímání, potvrzování a další zpracování datové zprávy o evidované tržbě na společném technickém zařízení správce daně.</w:t>
            </w:r>
          </w:p>
          <w:p w14:paraId="2BB77281" w14:textId="07C0BB5F" w:rsidR="00D8157A" w:rsidRPr="0035187E" w:rsidRDefault="00D8157A" w:rsidP="0035187E">
            <w:pPr>
              <w:jc w:val="both"/>
              <w:rPr>
                <w:rFonts w:ascii="Times New Roman" w:hAnsi="Times New Roman" w:cs="Times New Roman"/>
                <w:sz w:val="20"/>
                <w:szCs w:val="20"/>
              </w:rPr>
            </w:pPr>
          </w:p>
        </w:tc>
      </w:tr>
      <w:tr w:rsidR="0035187E" w:rsidRPr="0035187E" w14:paraId="71F96363"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9A6082F" w14:textId="2BA25106"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8.</w:t>
            </w:r>
          </w:p>
        </w:tc>
        <w:tc>
          <w:tcPr>
            <w:tcW w:w="583" w:type="pct"/>
            <w:tcBorders>
              <w:top w:val="single" w:sz="4" w:space="0" w:color="auto"/>
              <w:left w:val="single" w:sz="4" w:space="0" w:color="auto"/>
              <w:right w:val="single" w:sz="4" w:space="0" w:color="auto"/>
            </w:tcBorders>
            <w:shd w:val="clear" w:color="auto" w:fill="auto"/>
          </w:tcPr>
          <w:p w14:paraId="41949F95" w14:textId="0D0B1738"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Ministerstvo </w:t>
            </w:r>
            <w:proofErr w:type="gramStart"/>
            <w:r w:rsidRPr="0035187E">
              <w:rPr>
                <w:rFonts w:ascii="Times New Roman" w:hAnsi="Times New Roman" w:cs="Times New Roman"/>
                <w:sz w:val="20"/>
                <w:szCs w:val="20"/>
              </w:rPr>
              <w:t>školství‚ mládeže</w:t>
            </w:r>
            <w:proofErr w:type="gramEnd"/>
            <w:r w:rsidRPr="0035187E">
              <w:rPr>
                <w:rFonts w:ascii="Times New Roman" w:hAnsi="Times New Roman" w:cs="Times New Roman"/>
                <w:sz w:val="20"/>
                <w:szCs w:val="20"/>
              </w:rPr>
              <w:t xml:space="preserve"> a tělovýchovy</w:t>
            </w:r>
          </w:p>
        </w:tc>
        <w:tc>
          <w:tcPr>
            <w:tcW w:w="168" w:type="pct"/>
            <w:tcBorders>
              <w:top w:val="single" w:sz="4" w:space="0" w:color="auto"/>
              <w:left w:val="single" w:sz="4" w:space="0" w:color="auto"/>
              <w:right w:val="single" w:sz="4" w:space="0" w:color="auto"/>
            </w:tcBorders>
            <w:shd w:val="clear" w:color="auto" w:fill="auto"/>
          </w:tcPr>
          <w:p w14:paraId="7DBAECEB" w14:textId="6427F6FE"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14.</w:t>
            </w:r>
          </w:p>
        </w:tc>
        <w:tc>
          <w:tcPr>
            <w:tcW w:w="169" w:type="pct"/>
            <w:tcBorders>
              <w:top w:val="single" w:sz="4" w:space="0" w:color="auto"/>
              <w:left w:val="single" w:sz="4" w:space="0" w:color="auto"/>
              <w:right w:val="single" w:sz="4" w:space="0" w:color="auto"/>
            </w:tcBorders>
            <w:shd w:val="clear" w:color="auto" w:fill="auto"/>
          </w:tcPr>
          <w:p w14:paraId="071FF2C1" w14:textId="6C3B5B11"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FB0817F" w14:textId="63D69C28" w:rsidR="00BE73FF" w:rsidRPr="0035187E" w:rsidRDefault="00BE73FF" w:rsidP="0035187E">
            <w:pPr>
              <w:widowControl w:val="0"/>
              <w:numPr>
                <w:ilvl w:val="0"/>
                <w:numId w:val="47"/>
              </w:numPr>
              <w:autoSpaceDE w:val="0"/>
              <w:autoSpaceDN w:val="0"/>
              <w:adjustRightInd w:val="0"/>
              <w:ind w:left="0" w:firstLine="0"/>
              <w:jc w:val="both"/>
              <w:rPr>
                <w:rFonts w:ascii="Times New Roman" w:hAnsi="Times New Roman" w:cs="Times New Roman"/>
                <w:sz w:val="20"/>
                <w:szCs w:val="20"/>
              </w:rPr>
            </w:pPr>
            <w:r w:rsidRPr="0035187E">
              <w:rPr>
                <w:rFonts w:ascii="Times New Roman" w:hAnsi="Times New Roman" w:cs="Times New Roman"/>
                <w:b/>
                <w:sz w:val="20"/>
                <w:szCs w:val="20"/>
              </w:rPr>
              <w:t>K § 19 odst. 1 návrhu zákona:</w:t>
            </w:r>
            <w:r w:rsidRPr="0035187E">
              <w:rPr>
                <w:rFonts w:ascii="Times New Roman" w:hAnsi="Times New Roman" w:cs="Times New Roman"/>
                <w:bCs/>
                <w:sz w:val="20"/>
                <w:szCs w:val="20"/>
              </w:rPr>
              <w:t xml:space="preserve"> Doporučujeme za slovo „</w:t>
            </w:r>
            <w:r w:rsidRPr="0035187E">
              <w:rPr>
                <w:rFonts w:ascii="Times New Roman" w:hAnsi="Times New Roman" w:cs="Times New Roman"/>
                <w:bCs/>
                <w:i/>
                <w:iCs/>
                <w:sz w:val="20"/>
                <w:szCs w:val="20"/>
              </w:rPr>
              <w:t>číslem</w:t>
            </w:r>
            <w:r w:rsidRPr="0035187E">
              <w:rPr>
                <w:rFonts w:ascii="Times New Roman" w:hAnsi="Times New Roman" w:cs="Times New Roman"/>
                <w:bCs/>
                <w:sz w:val="20"/>
                <w:szCs w:val="20"/>
              </w:rPr>
              <w:t>" vložit slovo „</w:t>
            </w:r>
            <w:r w:rsidRPr="0035187E">
              <w:rPr>
                <w:rFonts w:ascii="Times New Roman" w:hAnsi="Times New Roman" w:cs="Times New Roman"/>
                <w:bCs/>
                <w:i/>
                <w:iCs/>
                <w:sz w:val="20"/>
                <w:szCs w:val="20"/>
              </w:rPr>
              <w:t>poplatníka</w:t>
            </w:r>
            <w:r w:rsidRPr="0035187E">
              <w:rPr>
                <w:rFonts w:ascii="Times New Roman" w:hAnsi="Times New Roman" w:cs="Times New Roman"/>
                <w:bCs/>
                <w:sz w:val="20"/>
                <w:szCs w:val="20"/>
              </w:rPr>
              <w:t>", které v ustanovení patrně nedopatřením chybí.</w:t>
            </w:r>
          </w:p>
        </w:tc>
        <w:tc>
          <w:tcPr>
            <w:tcW w:w="1453" w:type="pct"/>
            <w:tcBorders>
              <w:top w:val="single" w:sz="4" w:space="0" w:color="auto"/>
              <w:left w:val="single" w:sz="4" w:space="0" w:color="auto"/>
              <w:right w:val="single" w:sz="4" w:space="0" w:color="auto"/>
            </w:tcBorders>
            <w:shd w:val="clear" w:color="auto" w:fill="auto"/>
          </w:tcPr>
          <w:p w14:paraId="30C6EBAA" w14:textId="77777777" w:rsidR="00BE73FF" w:rsidRPr="0035187E" w:rsidRDefault="00BE73FF"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Vyhověno.</w:t>
            </w:r>
          </w:p>
          <w:p w14:paraId="6164C57E" w14:textId="5A4BB106"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tc>
      </w:tr>
      <w:tr w:rsidR="0035187E" w:rsidRPr="0035187E" w14:paraId="48F1C7B9"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766CD65" w14:textId="7D86701E"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8.</w:t>
            </w:r>
          </w:p>
        </w:tc>
        <w:tc>
          <w:tcPr>
            <w:tcW w:w="583" w:type="pct"/>
            <w:tcBorders>
              <w:top w:val="single" w:sz="4" w:space="0" w:color="auto"/>
              <w:left w:val="single" w:sz="4" w:space="0" w:color="auto"/>
              <w:right w:val="single" w:sz="4" w:space="0" w:color="auto"/>
            </w:tcBorders>
            <w:shd w:val="clear" w:color="auto" w:fill="auto"/>
          </w:tcPr>
          <w:p w14:paraId="0DE25C0F" w14:textId="2988389E"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Ministerstvo </w:t>
            </w:r>
            <w:proofErr w:type="gramStart"/>
            <w:r w:rsidRPr="0035187E">
              <w:rPr>
                <w:rFonts w:ascii="Times New Roman" w:hAnsi="Times New Roman" w:cs="Times New Roman"/>
                <w:sz w:val="20"/>
                <w:szCs w:val="20"/>
              </w:rPr>
              <w:t>školství‚ mládeže</w:t>
            </w:r>
            <w:proofErr w:type="gramEnd"/>
            <w:r w:rsidRPr="0035187E">
              <w:rPr>
                <w:rFonts w:ascii="Times New Roman" w:hAnsi="Times New Roman" w:cs="Times New Roman"/>
                <w:sz w:val="20"/>
                <w:szCs w:val="20"/>
              </w:rPr>
              <w:t xml:space="preserve"> a tělovýchovy</w:t>
            </w:r>
          </w:p>
        </w:tc>
        <w:tc>
          <w:tcPr>
            <w:tcW w:w="168" w:type="pct"/>
            <w:tcBorders>
              <w:top w:val="single" w:sz="4" w:space="0" w:color="auto"/>
              <w:left w:val="single" w:sz="4" w:space="0" w:color="auto"/>
              <w:right w:val="single" w:sz="4" w:space="0" w:color="auto"/>
            </w:tcBorders>
            <w:shd w:val="clear" w:color="auto" w:fill="auto"/>
          </w:tcPr>
          <w:p w14:paraId="3FF2600D" w14:textId="52016F56"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15.</w:t>
            </w:r>
          </w:p>
        </w:tc>
        <w:tc>
          <w:tcPr>
            <w:tcW w:w="169" w:type="pct"/>
            <w:tcBorders>
              <w:top w:val="single" w:sz="4" w:space="0" w:color="auto"/>
              <w:left w:val="single" w:sz="4" w:space="0" w:color="auto"/>
              <w:right w:val="single" w:sz="4" w:space="0" w:color="auto"/>
            </w:tcBorders>
            <w:shd w:val="clear" w:color="auto" w:fill="auto"/>
          </w:tcPr>
          <w:p w14:paraId="505B99D4" w14:textId="1C191BC6"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3AE5605F" w14:textId="77777777" w:rsidR="00BE73FF" w:rsidRPr="0035187E" w:rsidRDefault="00BE73FF" w:rsidP="0035187E">
            <w:pPr>
              <w:widowControl w:val="0"/>
              <w:numPr>
                <w:ilvl w:val="0"/>
                <w:numId w:val="47"/>
              </w:numPr>
              <w:autoSpaceDE w:val="0"/>
              <w:autoSpaceDN w:val="0"/>
              <w:adjustRightInd w:val="0"/>
              <w:ind w:left="0" w:firstLine="0"/>
              <w:jc w:val="both"/>
              <w:rPr>
                <w:rFonts w:ascii="Times New Roman" w:hAnsi="Times New Roman" w:cs="Times New Roman"/>
                <w:bCs/>
                <w:sz w:val="20"/>
                <w:szCs w:val="20"/>
              </w:rPr>
            </w:pPr>
            <w:r w:rsidRPr="0035187E">
              <w:rPr>
                <w:rFonts w:ascii="Times New Roman" w:hAnsi="Times New Roman" w:cs="Times New Roman"/>
                <w:b/>
                <w:sz w:val="20"/>
                <w:szCs w:val="20"/>
              </w:rPr>
              <w:t>K § 20 návrhu zákona:</w:t>
            </w:r>
            <w:r w:rsidRPr="0035187E">
              <w:rPr>
                <w:rFonts w:ascii="Times New Roman" w:hAnsi="Times New Roman" w:cs="Times New Roman"/>
                <w:bCs/>
                <w:sz w:val="20"/>
                <w:szCs w:val="20"/>
              </w:rPr>
              <w:t xml:space="preserve"> Upozorňujeme na nejasnost a neurčitost ohledně potvrzovacího kódu a „</w:t>
            </w:r>
            <w:r w:rsidRPr="0035187E">
              <w:rPr>
                <w:rFonts w:ascii="Times New Roman" w:hAnsi="Times New Roman" w:cs="Times New Roman"/>
                <w:bCs/>
                <w:i/>
                <w:iCs/>
                <w:sz w:val="20"/>
                <w:szCs w:val="20"/>
              </w:rPr>
              <w:t>účtenky</w:t>
            </w:r>
            <w:r w:rsidRPr="0035187E">
              <w:rPr>
                <w:rFonts w:ascii="Times New Roman" w:hAnsi="Times New Roman" w:cs="Times New Roman"/>
                <w:bCs/>
                <w:sz w:val="20"/>
                <w:szCs w:val="20"/>
              </w:rPr>
              <w:t>“. Ustanovení § 20 pracuje s „</w:t>
            </w:r>
            <w:r w:rsidRPr="0035187E">
              <w:rPr>
                <w:rFonts w:ascii="Times New Roman" w:hAnsi="Times New Roman" w:cs="Times New Roman"/>
                <w:bCs/>
                <w:i/>
                <w:iCs/>
                <w:sz w:val="20"/>
                <w:szCs w:val="20"/>
              </w:rPr>
              <w:t>potvrzovacím kódem</w:t>
            </w:r>
            <w:r w:rsidRPr="0035187E">
              <w:rPr>
                <w:rFonts w:ascii="Times New Roman" w:hAnsi="Times New Roman" w:cs="Times New Roman"/>
                <w:bCs/>
                <w:sz w:val="20"/>
                <w:szCs w:val="20"/>
              </w:rPr>
              <w:t>“ (a dobou odezvy), ale návrh nikde neříká, co je potvrzovací kód, jak má vypadat, zda je povinný, zda se má uvádět na dokladu pro zákazníka. Návrh také vůbec neobsahuje povinnost vydat doklad/účtenku (na rozdíl od historické konstrukce evidence tržeb). Z toho vyplývá, že „kontrolní nákup“ (§ 22) bude bez účtenky a bez povinného identifikátoru transakce v praxi hůře použitelný; vnitřně se oslabuje kontrolní logika zákona.</w:t>
            </w:r>
          </w:p>
          <w:p w14:paraId="0CAEF4C8" w14:textId="77777777" w:rsidR="00BE73FF" w:rsidRPr="0035187E" w:rsidRDefault="00BE73FF" w:rsidP="0035187E">
            <w:pPr>
              <w:widowControl w:val="0"/>
              <w:autoSpaceDE w:val="0"/>
              <w:autoSpaceDN w:val="0"/>
              <w:adjustRightInd w:val="0"/>
              <w:jc w:val="both"/>
              <w:rPr>
                <w:rFonts w:ascii="Times New Roman" w:hAnsi="Times New Roman" w:cs="Times New Roman"/>
                <w:bCs/>
                <w:sz w:val="20"/>
                <w:szCs w:val="20"/>
              </w:rPr>
            </w:pPr>
            <w:r w:rsidRPr="0035187E">
              <w:rPr>
                <w:rFonts w:ascii="Times New Roman" w:hAnsi="Times New Roman" w:cs="Times New Roman"/>
                <w:bCs/>
                <w:sz w:val="20"/>
                <w:szCs w:val="20"/>
              </w:rPr>
              <w:t>Protože důvodová zpráva odmítá účtenku, doporučuje se doplnit minimální povinnost prokázání evidence na místě (bez tisku), např. do části o povinnostech poplatníka nebo do § 22 / § 23.  Tj. uvést např. do § 22 odst. 2  formulaci typu „</w:t>
            </w:r>
            <w:r w:rsidRPr="0035187E">
              <w:rPr>
                <w:rFonts w:ascii="Times New Roman" w:hAnsi="Times New Roman" w:cs="Times New Roman"/>
                <w:bCs/>
                <w:i/>
                <w:iCs/>
                <w:sz w:val="20"/>
                <w:szCs w:val="20"/>
              </w:rPr>
              <w:t>Poplatník je povinen při kontrolním nákupu umožnit orgánu prověřujícímu plnění povinností podle tohoto zákona na místě ověřit ..…[splnění povinnosti evidovat tržbu / zda byla evidovaná tržba zaevidována], zejména umožněním zobrazení potvrzovacího kódu nebo dalších identifikačních údajů evidované tržby (nebo identifikace datové zprávy a základních údajů o evidované tržbě) na pokladním zařízení nebo jiným způsobem</w:t>
            </w:r>
            <w:r w:rsidRPr="0035187E">
              <w:rPr>
                <w:rFonts w:ascii="Times New Roman" w:hAnsi="Times New Roman" w:cs="Times New Roman"/>
                <w:bCs/>
                <w:sz w:val="20"/>
                <w:szCs w:val="20"/>
              </w:rPr>
              <w:t xml:space="preserve"> </w:t>
            </w:r>
            <w:r w:rsidRPr="0035187E">
              <w:rPr>
                <w:rFonts w:ascii="Times New Roman" w:hAnsi="Times New Roman" w:cs="Times New Roman"/>
                <w:bCs/>
                <w:i/>
                <w:iCs/>
                <w:sz w:val="20"/>
                <w:szCs w:val="20"/>
              </w:rPr>
              <w:t>určeným správcem daně.“.</w:t>
            </w:r>
            <w:r w:rsidRPr="0035187E">
              <w:rPr>
                <w:rFonts w:ascii="Times New Roman" w:hAnsi="Times New Roman" w:cs="Times New Roman"/>
                <w:bCs/>
                <w:sz w:val="20"/>
                <w:szCs w:val="20"/>
              </w:rPr>
              <w:t xml:space="preserve">  </w:t>
            </w:r>
          </w:p>
          <w:p w14:paraId="65294250" w14:textId="0778E02E" w:rsidR="00BE73FF" w:rsidRPr="0035187E" w:rsidRDefault="00BE73FF" w:rsidP="0035187E">
            <w:pPr>
              <w:widowControl w:val="0"/>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Cs/>
                <w:sz w:val="20"/>
                <w:szCs w:val="20"/>
              </w:rPr>
              <w:t xml:space="preserve">Tím se zachová slib z důvodové zprávy (nebude povinný tisk účtenky) a kontrolní nákup nebude závislý na papíru; kontrolní nákup bude ale prakticky </w:t>
            </w:r>
            <w:proofErr w:type="gramStart"/>
            <w:r w:rsidRPr="0035187E">
              <w:rPr>
                <w:rFonts w:ascii="Times New Roman" w:hAnsi="Times New Roman" w:cs="Times New Roman"/>
                <w:bCs/>
                <w:sz w:val="20"/>
                <w:szCs w:val="20"/>
              </w:rPr>
              <w:t>proveditelný - kontrolor</w:t>
            </w:r>
            <w:proofErr w:type="gramEnd"/>
            <w:r w:rsidRPr="0035187E">
              <w:rPr>
                <w:rFonts w:ascii="Times New Roman" w:hAnsi="Times New Roman" w:cs="Times New Roman"/>
                <w:bCs/>
                <w:sz w:val="20"/>
                <w:szCs w:val="20"/>
              </w:rPr>
              <w:t xml:space="preserve"> dostane „kotvu“ (kód/ID) pro spárování v systému.</w:t>
            </w:r>
          </w:p>
        </w:tc>
        <w:tc>
          <w:tcPr>
            <w:tcW w:w="1453" w:type="pct"/>
            <w:tcBorders>
              <w:top w:val="single" w:sz="4" w:space="0" w:color="auto"/>
              <w:left w:val="single" w:sz="4" w:space="0" w:color="auto"/>
              <w:right w:val="single" w:sz="4" w:space="0" w:color="auto"/>
            </w:tcBorders>
            <w:shd w:val="clear" w:color="auto" w:fill="auto"/>
          </w:tcPr>
          <w:p w14:paraId="13DD70F0" w14:textId="1A617428" w:rsidR="00BE73FF" w:rsidRPr="0035187E" w:rsidRDefault="009E6111"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27B1EF7C" w14:textId="783A82D3" w:rsidR="009E6111" w:rsidRPr="0035187E" w:rsidRDefault="009E6111" w:rsidP="0035187E">
            <w:pPr>
              <w:jc w:val="both"/>
              <w:rPr>
                <w:rFonts w:ascii="Times New Roman" w:hAnsi="Times New Roman" w:cs="Times New Roman"/>
                <w:sz w:val="20"/>
                <w:szCs w:val="20"/>
              </w:rPr>
            </w:pPr>
            <w:r w:rsidRPr="0035187E">
              <w:rPr>
                <w:rFonts w:ascii="Times New Roman" w:hAnsi="Times New Roman" w:cs="Times New Roman"/>
                <w:sz w:val="20"/>
                <w:szCs w:val="20"/>
              </w:rPr>
              <w:t>Záměrem není stanovit povinnost, aby pokladní zařízení muselo ukládat potvrzovací kódy</w:t>
            </w:r>
            <w:r w:rsidR="000B5420" w:rsidRPr="0035187E">
              <w:rPr>
                <w:rFonts w:ascii="Times New Roman" w:hAnsi="Times New Roman" w:cs="Times New Roman"/>
                <w:sz w:val="20"/>
                <w:szCs w:val="20"/>
              </w:rPr>
              <w:t>, neboť to by znamenalo zvýšené nároky na technickou vybavenost poplatníků</w:t>
            </w:r>
            <w:r w:rsidRPr="0035187E">
              <w:rPr>
                <w:rFonts w:ascii="Times New Roman" w:hAnsi="Times New Roman" w:cs="Times New Roman"/>
                <w:sz w:val="20"/>
                <w:szCs w:val="20"/>
              </w:rPr>
              <w:t xml:space="preserve">. </w:t>
            </w:r>
            <w:r w:rsidR="000B5420" w:rsidRPr="0035187E">
              <w:rPr>
                <w:rFonts w:ascii="Times New Roman" w:hAnsi="Times New Roman" w:cs="Times New Roman"/>
                <w:sz w:val="20"/>
                <w:szCs w:val="20"/>
              </w:rPr>
              <w:t>Navržený</w:t>
            </w:r>
            <w:r w:rsidRPr="0035187E">
              <w:rPr>
                <w:rFonts w:ascii="Times New Roman" w:hAnsi="Times New Roman" w:cs="Times New Roman"/>
                <w:sz w:val="20"/>
                <w:szCs w:val="20"/>
              </w:rPr>
              <w:t xml:space="preserve"> způsob kontroly se nepředpokládá.</w:t>
            </w:r>
          </w:p>
          <w:p w14:paraId="7AE1F144" w14:textId="0015ED63" w:rsidR="00226BED" w:rsidRPr="0035187E" w:rsidRDefault="00226BED" w:rsidP="0035187E">
            <w:pPr>
              <w:jc w:val="both"/>
              <w:rPr>
                <w:rFonts w:ascii="Times New Roman" w:hAnsi="Times New Roman" w:cs="Times New Roman"/>
                <w:sz w:val="20"/>
                <w:szCs w:val="20"/>
              </w:rPr>
            </w:pPr>
          </w:p>
        </w:tc>
      </w:tr>
      <w:tr w:rsidR="0035187E" w:rsidRPr="0035187E" w14:paraId="77D00568"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E87CE28" w14:textId="69F0D9D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8.</w:t>
            </w:r>
          </w:p>
        </w:tc>
        <w:tc>
          <w:tcPr>
            <w:tcW w:w="583" w:type="pct"/>
            <w:tcBorders>
              <w:top w:val="single" w:sz="4" w:space="0" w:color="auto"/>
              <w:left w:val="single" w:sz="4" w:space="0" w:color="auto"/>
              <w:right w:val="single" w:sz="4" w:space="0" w:color="auto"/>
            </w:tcBorders>
            <w:shd w:val="clear" w:color="auto" w:fill="auto"/>
          </w:tcPr>
          <w:p w14:paraId="3AFCDF73" w14:textId="57E20224"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Ministerstvo </w:t>
            </w:r>
            <w:proofErr w:type="gramStart"/>
            <w:r w:rsidRPr="0035187E">
              <w:rPr>
                <w:rFonts w:ascii="Times New Roman" w:hAnsi="Times New Roman" w:cs="Times New Roman"/>
                <w:sz w:val="20"/>
                <w:szCs w:val="20"/>
              </w:rPr>
              <w:t>školství‚ mládeže</w:t>
            </w:r>
            <w:proofErr w:type="gramEnd"/>
            <w:r w:rsidRPr="0035187E">
              <w:rPr>
                <w:rFonts w:ascii="Times New Roman" w:hAnsi="Times New Roman" w:cs="Times New Roman"/>
                <w:sz w:val="20"/>
                <w:szCs w:val="20"/>
              </w:rPr>
              <w:t xml:space="preserve"> a tělovýchovy</w:t>
            </w:r>
          </w:p>
        </w:tc>
        <w:tc>
          <w:tcPr>
            <w:tcW w:w="168" w:type="pct"/>
            <w:tcBorders>
              <w:top w:val="single" w:sz="4" w:space="0" w:color="auto"/>
              <w:left w:val="single" w:sz="4" w:space="0" w:color="auto"/>
              <w:right w:val="single" w:sz="4" w:space="0" w:color="auto"/>
            </w:tcBorders>
            <w:shd w:val="clear" w:color="auto" w:fill="auto"/>
          </w:tcPr>
          <w:p w14:paraId="12150FA1" w14:textId="370AD3A5"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16.</w:t>
            </w:r>
          </w:p>
        </w:tc>
        <w:tc>
          <w:tcPr>
            <w:tcW w:w="169" w:type="pct"/>
            <w:tcBorders>
              <w:top w:val="single" w:sz="4" w:space="0" w:color="auto"/>
              <w:left w:val="single" w:sz="4" w:space="0" w:color="auto"/>
              <w:right w:val="single" w:sz="4" w:space="0" w:color="auto"/>
            </w:tcBorders>
            <w:shd w:val="clear" w:color="auto" w:fill="auto"/>
          </w:tcPr>
          <w:p w14:paraId="4D054697" w14:textId="35662069"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7A25BD3" w14:textId="77777777" w:rsidR="00BE73FF" w:rsidRPr="0035187E" w:rsidRDefault="00BE73FF" w:rsidP="0035187E">
            <w:pPr>
              <w:widowControl w:val="0"/>
              <w:numPr>
                <w:ilvl w:val="0"/>
                <w:numId w:val="47"/>
              </w:numPr>
              <w:autoSpaceDE w:val="0"/>
              <w:autoSpaceDN w:val="0"/>
              <w:adjustRightInd w:val="0"/>
              <w:ind w:left="0" w:firstLine="0"/>
              <w:jc w:val="both"/>
              <w:rPr>
                <w:rFonts w:ascii="Times New Roman" w:hAnsi="Times New Roman" w:cs="Times New Roman"/>
                <w:bCs/>
                <w:i/>
                <w:iCs/>
                <w:sz w:val="20"/>
                <w:szCs w:val="20"/>
              </w:rPr>
            </w:pPr>
            <w:r w:rsidRPr="0035187E">
              <w:rPr>
                <w:rFonts w:ascii="Times New Roman" w:hAnsi="Times New Roman" w:cs="Times New Roman"/>
                <w:b/>
                <w:sz w:val="20"/>
                <w:szCs w:val="20"/>
              </w:rPr>
              <w:t>Celkově k návrhu zákona:</w:t>
            </w:r>
            <w:r w:rsidRPr="0035187E">
              <w:rPr>
                <w:rFonts w:ascii="Times New Roman" w:hAnsi="Times New Roman" w:cs="Times New Roman"/>
                <w:bCs/>
                <w:sz w:val="20"/>
                <w:szCs w:val="20"/>
              </w:rPr>
              <w:t xml:space="preserve"> Zákon ukládá povinnosti navázané na pojmy, které nejsou nikde vymezeny (a nejsou běžnými právními pojmy): „</w:t>
            </w:r>
            <w:r w:rsidRPr="0035187E">
              <w:rPr>
                <w:rFonts w:ascii="Times New Roman" w:hAnsi="Times New Roman" w:cs="Times New Roman"/>
                <w:bCs/>
                <w:i/>
                <w:iCs/>
                <w:sz w:val="20"/>
                <w:szCs w:val="20"/>
              </w:rPr>
              <w:t>pokladní zařízení</w:t>
            </w:r>
            <w:r w:rsidRPr="0035187E">
              <w:rPr>
                <w:rFonts w:ascii="Times New Roman" w:hAnsi="Times New Roman" w:cs="Times New Roman"/>
                <w:bCs/>
                <w:sz w:val="20"/>
                <w:szCs w:val="20"/>
              </w:rPr>
              <w:t>“ [§ 18 odst. 1 písm. c), § 20], „</w:t>
            </w:r>
            <w:r w:rsidRPr="0035187E">
              <w:rPr>
                <w:rFonts w:ascii="Times New Roman" w:hAnsi="Times New Roman" w:cs="Times New Roman"/>
                <w:bCs/>
                <w:i/>
                <w:iCs/>
                <w:sz w:val="20"/>
                <w:szCs w:val="20"/>
              </w:rPr>
              <w:t>společné technické zařízení</w:t>
            </w:r>
            <w:r w:rsidRPr="0035187E">
              <w:rPr>
                <w:rFonts w:ascii="Times New Roman" w:hAnsi="Times New Roman" w:cs="Times New Roman"/>
                <w:bCs/>
                <w:sz w:val="20"/>
                <w:szCs w:val="20"/>
              </w:rPr>
              <w:t>“ (§ 17 odst. 4, § 20), „</w:t>
            </w:r>
            <w:r w:rsidRPr="0035187E">
              <w:rPr>
                <w:rFonts w:ascii="Times New Roman" w:hAnsi="Times New Roman" w:cs="Times New Roman"/>
                <w:bCs/>
                <w:i/>
                <w:iCs/>
                <w:sz w:val="20"/>
                <w:szCs w:val="20"/>
              </w:rPr>
              <w:t>potvrzovací kód</w:t>
            </w:r>
            <w:r w:rsidRPr="0035187E">
              <w:rPr>
                <w:rFonts w:ascii="Times New Roman" w:hAnsi="Times New Roman" w:cs="Times New Roman"/>
                <w:bCs/>
                <w:sz w:val="20"/>
                <w:szCs w:val="20"/>
              </w:rPr>
              <w:t>“ (§ 20), „</w:t>
            </w:r>
            <w:r w:rsidRPr="0035187E">
              <w:rPr>
                <w:rFonts w:ascii="Times New Roman" w:hAnsi="Times New Roman" w:cs="Times New Roman"/>
                <w:bCs/>
                <w:i/>
                <w:iCs/>
                <w:sz w:val="20"/>
                <w:szCs w:val="20"/>
              </w:rPr>
              <w:t>identifikace datové zprávy</w:t>
            </w:r>
            <w:r w:rsidRPr="0035187E">
              <w:rPr>
                <w:rFonts w:ascii="Times New Roman" w:hAnsi="Times New Roman" w:cs="Times New Roman"/>
                <w:bCs/>
                <w:sz w:val="20"/>
                <w:szCs w:val="20"/>
              </w:rPr>
              <w:t xml:space="preserve">“ [§ 18 odst. 1 písm. g)]. Bez definic hrozí nevymahatelnost a spor o obsah povinností. Doporučuje se proto doplnit do zákona </w:t>
            </w:r>
            <w:r w:rsidRPr="0035187E">
              <w:rPr>
                <w:rFonts w:ascii="Times New Roman" w:hAnsi="Times New Roman" w:cs="Times New Roman"/>
                <w:bCs/>
                <w:sz w:val="20"/>
                <w:szCs w:val="20"/>
              </w:rPr>
              <w:lastRenderedPageBreak/>
              <w:t>definice uvedených pojmů.  Např. že: „</w:t>
            </w:r>
            <w:r w:rsidRPr="0035187E">
              <w:rPr>
                <w:rFonts w:ascii="Times New Roman" w:hAnsi="Times New Roman" w:cs="Times New Roman"/>
                <w:bCs/>
                <w:i/>
                <w:iCs/>
                <w:sz w:val="20"/>
                <w:szCs w:val="20"/>
              </w:rPr>
              <w:t xml:space="preserve">Pro účely tohoto zákona se rozumí </w:t>
            </w:r>
          </w:p>
          <w:p w14:paraId="5AA99BF2" w14:textId="77777777" w:rsidR="00BE73FF" w:rsidRPr="0035187E" w:rsidRDefault="00BE73FF" w:rsidP="0035187E">
            <w:pPr>
              <w:widowControl w:val="0"/>
              <w:autoSpaceDE w:val="0"/>
              <w:autoSpaceDN w:val="0"/>
              <w:adjustRightInd w:val="0"/>
              <w:jc w:val="both"/>
              <w:rPr>
                <w:rFonts w:ascii="Times New Roman" w:hAnsi="Times New Roman" w:cs="Times New Roman"/>
                <w:bCs/>
                <w:i/>
                <w:iCs/>
                <w:sz w:val="20"/>
                <w:szCs w:val="20"/>
              </w:rPr>
            </w:pPr>
            <w:r w:rsidRPr="0035187E">
              <w:rPr>
                <w:rFonts w:ascii="Times New Roman" w:hAnsi="Times New Roman" w:cs="Times New Roman"/>
                <w:bCs/>
                <w:i/>
                <w:iCs/>
                <w:sz w:val="20"/>
                <w:szCs w:val="20"/>
              </w:rPr>
              <w:t>„</w:t>
            </w:r>
            <w:proofErr w:type="gramStart"/>
            <w:r w:rsidRPr="0035187E">
              <w:rPr>
                <w:rFonts w:ascii="Times New Roman" w:hAnsi="Times New Roman" w:cs="Times New Roman"/>
                <w:bCs/>
                <w:i/>
                <w:iCs/>
                <w:sz w:val="20"/>
                <w:szCs w:val="20"/>
              </w:rPr>
              <w:t>a)  pokladním</w:t>
            </w:r>
            <w:proofErr w:type="gramEnd"/>
            <w:r w:rsidRPr="0035187E">
              <w:rPr>
                <w:rFonts w:ascii="Times New Roman" w:hAnsi="Times New Roman" w:cs="Times New Roman"/>
                <w:bCs/>
                <w:i/>
                <w:iCs/>
                <w:sz w:val="20"/>
                <w:szCs w:val="20"/>
              </w:rPr>
              <w:t xml:space="preserve"> zařízením technické nebo programové prostředky poplatníka určené k evidování tržeb podle tohoto zákona, </w:t>
            </w:r>
          </w:p>
          <w:p w14:paraId="37D07B24" w14:textId="77777777" w:rsidR="00BE73FF" w:rsidRPr="0035187E" w:rsidRDefault="00BE73FF" w:rsidP="0035187E">
            <w:pPr>
              <w:widowControl w:val="0"/>
              <w:autoSpaceDE w:val="0"/>
              <w:autoSpaceDN w:val="0"/>
              <w:adjustRightInd w:val="0"/>
              <w:jc w:val="both"/>
              <w:rPr>
                <w:rFonts w:ascii="Times New Roman" w:hAnsi="Times New Roman" w:cs="Times New Roman"/>
                <w:bCs/>
                <w:i/>
                <w:iCs/>
                <w:sz w:val="20"/>
                <w:szCs w:val="20"/>
              </w:rPr>
            </w:pPr>
            <w:r w:rsidRPr="0035187E">
              <w:rPr>
                <w:rFonts w:ascii="Times New Roman" w:hAnsi="Times New Roman" w:cs="Times New Roman"/>
                <w:bCs/>
                <w:i/>
                <w:iCs/>
                <w:sz w:val="20"/>
                <w:szCs w:val="20"/>
              </w:rPr>
              <w:t xml:space="preserve">„b) společným technickým zařízením správce daně informační systém určený správcem daně k přijímání datových zpráv o evidované tržbě a k zasílání potvrzovacích kódů,  </w:t>
            </w:r>
          </w:p>
          <w:p w14:paraId="5410E0F4" w14:textId="77777777" w:rsidR="00BE73FF" w:rsidRPr="0035187E" w:rsidRDefault="00BE73FF" w:rsidP="0035187E">
            <w:pPr>
              <w:widowControl w:val="0"/>
              <w:autoSpaceDE w:val="0"/>
              <w:autoSpaceDN w:val="0"/>
              <w:adjustRightInd w:val="0"/>
              <w:jc w:val="both"/>
              <w:rPr>
                <w:rFonts w:ascii="Times New Roman" w:hAnsi="Times New Roman" w:cs="Times New Roman"/>
                <w:bCs/>
                <w:i/>
                <w:iCs/>
                <w:sz w:val="20"/>
                <w:szCs w:val="20"/>
              </w:rPr>
            </w:pPr>
            <w:r w:rsidRPr="0035187E">
              <w:rPr>
                <w:rFonts w:ascii="Times New Roman" w:hAnsi="Times New Roman" w:cs="Times New Roman"/>
                <w:bCs/>
                <w:i/>
                <w:iCs/>
                <w:sz w:val="20"/>
                <w:szCs w:val="20"/>
              </w:rPr>
              <w:t>„c) potvrzovacím kódem údaj vytvořený společným technickým zařízením správce daně, kterým se potvrzuje přijetí datové zprávy o evidované tržbě; potvrzovací kód se váže k identifikaci datové zprávy podle § 18 odst. 1 písm. g),</w:t>
            </w:r>
          </w:p>
          <w:p w14:paraId="2692D86B" w14:textId="77777777" w:rsidR="00BE73FF" w:rsidRPr="0035187E" w:rsidRDefault="00BE73FF" w:rsidP="0035187E">
            <w:pPr>
              <w:widowControl w:val="0"/>
              <w:autoSpaceDE w:val="0"/>
              <w:autoSpaceDN w:val="0"/>
              <w:adjustRightInd w:val="0"/>
              <w:jc w:val="both"/>
              <w:rPr>
                <w:rFonts w:ascii="Times New Roman" w:hAnsi="Times New Roman" w:cs="Times New Roman"/>
                <w:bCs/>
                <w:i/>
                <w:iCs/>
                <w:sz w:val="20"/>
                <w:szCs w:val="20"/>
              </w:rPr>
            </w:pPr>
            <w:r w:rsidRPr="0035187E">
              <w:rPr>
                <w:rFonts w:ascii="Times New Roman" w:hAnsi="Times New Roman" w:cs="Times New Roman"/>
                <w:bCs/>
                <w:i/>
                <w:iCs/>
                <w:sz w:val="20"/>
                <w:szCs w:val="20"/>
              </w:rPr>
              <w:t>„d) identifikací datové zprávy údaj umožňující jednoznačné přiřazení potvrzovacího kódu k datové zprávě o evidované tržbě.“.</w:t>
            </w:r>
          </w:p>
          <w:p w14:paraId="5E71E40C" w14:textId="35EAB7CF" w:rsidR="00BE73FF" w:rsidRPr="0035187E" w:rsidRDefault="00BE73FF" w:rsidP="0035187E">
            <w:pPr>
              <w:widowControl w:val="0"/>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Cs/>
                <w:sz w:val="20"/>
                <w:szCs w:val="20"/>
              </w:rPr>
              <w:t>Tím se „</w:t>
            </w:r>
            <w:r w:rsidRPr="0035187E">
              <w:rPr>
                <w:rFonts w:ascii="Times New Roman" w:hAnsi="Times New Roman" w:cs="Times New Roman"/>
                <w:bCs/>
                <w:i/>
                <w:iCs/>
                <w:sz w:val="20"/>
                <w:szCs w:val="20"/>
              </w:rPr>
              <w:t>potvrzovací kód</w:t>
            </w:r>
            <w:r w:rsidRPr="0035187E">
              <w:rPr>
                <w:rFonts w:ascii="Times New Roman" w:hAnsi="Times New Roman" w:cs="Times New Roman"/>
                <w:bCs/>
                <w:sz w:val="20"/>
                <w:szCs w:val="20"/>
              </w:rPr>
              <w:t xml:space="preserve">“ stane právně uchopitelný a současně se přímo propojí s § 18 odst. 1 písm. g). </w:t>
            </w:r>
          </w:p>
        </w:tc>
        <w:tc>
          <w:tcPr>
            <w:tcW w:w="1453" w:type="pct"/>
            <w:tcBorders>
              <w:top w:val="single" w:sz="4" w:space="0" w:color="auto"/>
              <w:left w:val="single" w:sz="4" w:space="0" w:color="auto"/>
              <w:right w:val="single" w:sz="4" w:space="0" w:color="auto"/>
            </w:tcBorders>
            <w:shd w:val="clear" w:color="auto" w:fill="auto"/>
          </w:tcPr>
          <w:p w14:paraId="3029FE82" w14:textId="52ECD92B" w:rsidR="00BE73FF" w:rsidRPr="0035187E" w:rsidRDefault="00750CBD"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Vysvětleno</w:t>
            </w:r>
            <w:r w:rsidR="000B5420" w:rsidRPr="0035187E">
              <w:rPr>
                <w:rFonts w:ascii="Times New Roman" w:hAnsi="Times New Roman" w:cs="Times New Roman"/>
                <w:b/>
                <w:sz w:val="20"/>
                <w:szCs w:val="20"/>
              </w:rPr>
              <w:t>.</w:t>
            </w:r>
          </w:p>
          <w:p w14:paraId="7F6049EC" w14:textId="0EFAEDAB" w:rsidR="000B5420" w:rsidRPr="0035187E" w:rsidRDefault="000B5420" w:rsidP="0035187E">
            <w:pPr>
              <w:jc w:val="both"/>
              <w:rPr>
                <w:rFonts w:ascii="Times New Roman" w:hAnsi="Times New Roman" w:cs="Times New Roman"/>
                <w:sz w:val="20"/>
                <w:szCs w:val="20"/>
              </w:rPr>
            </w:pPr>
            <w:r w:rsidRPr="0035187E">
              <w:rPr>
                <w:rFonts w:ascii="Times New Roman" w:hAnsi="Times New Roman" w:cs="Times New Roman"/>
                <w:sz w:val="20"/>
                <w:szCs w:val="20"/>
              </w:rPr>
              <w:t>navržené definice ne vždy odpovídají věcnému řešení. Došlo k doplnění důvodové zprávy ve prospěch bližšího osvětlení významu použitých pojmů.</w:t>
            </w:r>
            <w:r w:rsidR="00750CBD" w:rsidRPr="0035187E">
              <w:rPr>
                <w:rFonts w:ascii="Times New Roman" w:hAnsi="Times New Roman" w:cs="Times New Roman"/>
                <w:sz w:val="20"/>
                <w:szCs w:val="20"/>
              </w:rPr>
              <w:t xml:space="preserve"> Datovou specifikaci položek uvedených v § </w:t>
            </w:r>
            <w:r w:rsidR="00750CBD" w:rsidRPr="0035187E">
              <w:rPr>
                <w:rFonts w:ascii="Times New Roman" w:hAnsi="Times New Roman" w:cs="Times New Roman"/>
                <w:sz w:val="20"/>
                <w:szCs w:val="20"/>
              </w:rPr>
              <w:lastRenderedPageBreak/>
              <w:t>18 a potvrzovacího kódu určí a zveřejní správce daně v souladu s § 17 odst. 4 a 5.</w:t>
            </w:r>
          </w:p>
          <w:p w14:paraId="52468E5A" w14:textId="1646D4E1" w:rsidR="00226BED" w:rsidRPr="0035187E" w:rsidRDefault="00226BED" w:rsidP="0035187E">
            <w:pPr>
              <w:jc w:val="both"/>
              <w:rPr>
                <w:rFonts w:ascii="Times New Roman" w:hAnsi="Times New Roman" w:cs="Times New Roman"/>
                <w:sz w:val="20"/>
                <w:szCs w:val="20"/>
              </w:rPr>
            </w:pPr>
          </w:p>
        </w:tc>
      </w:tr>
      <w:tr w:rsidR="0035187E" w:rsidRPr="0035187E" w14:paraId="0FBA0F9A"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B21D253" w14:textId="147914A5"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8.</w:t>
            </w:r>
          </w:p>
        </w:tc>
        <w:tc>
          <w:tcPr>
            <w:tcW w:w="583" w:type="pct"/>
            <w:tcBorders>
              <w:top w:val="single" w:sz="4" w:space="0" w:color="auto"/>
              <w:left w:val="single" w:sz="4" w:space="0" w:color="auto"/>
              <w:right w:val="single" w:sz="4" w:space="0" w:color="auto"/>
            </w:tcBorders>
            <w:shd w:val="clear" w:color="auto" w:fill="auto"/>
          </w:tcPr>
          <w:p w14:paraId="0B8EA9CD" w14:textId="0419B132"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Ministerstvo </w:t>
            </w:r>
            <w:proofErr w:type="gramStart"/>
            <w:r w:rsidRPr="0035187E">
              <w:rPr>
                <w:rFonts w:ascii="Times New Roman" w:hAnsi="Times New Roman" w:cs="Times New Roman"/>
                <w:sz w:val="20"/>
                <w:szCs w:val="20"/>
              </w:rPr>
              <w:t>školství‚ mládeže</w:t>
            </w:r>
            <w:proofErr w:type="gramEnd"/>
            <w:r w:rsidRPr="0035187E">
              <w:rPr>
                <w:rFonts w:ascii="Times New Roman" w:hAnsi="Times New Roman" w:cs="Times New Roman"/>
                <w:sz w:val="20"/>
                <w:szCs w:val="20"/>
              </w:rPr>
              <w:t xml:space="preserve"> a tělovýchovy</w:t>
            </w:r>
          </w:p>
        </w:tc>
        <w:tc>
          <w:tcPr>
            <w:tcW w:w="168" w:type="pct"/>
            <w:tcBorders>
              <w:top w:val="single" w:sz="4" w:space="0" w:color="auto"/>
              <w:left w:val="single" w:sz="4" w:space="0" w:color="auto"/>
              <w:right w:val="single" w:sz="4" w:space="0" w:color="auto"/>
            </w:tcBorders>
            <w:shd w:val="clear" w:color="auto" w:fill="auto"/>
          </w:tcPr>
          <w:p w14:paraId="7B14C375" w14:textId="47735691"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17.</w:t>
            </w:r>
          </w:p>
        </w:tc>
        <w:tc>
          <w:tcPr>
            <w:tcW w:w="169" w:type="pct"/>
            <w:tcBorders>
              <w:top w:val="single" w:sz="4" w:space="0" w:color="auto"/>
              <w:left w:val="single" w:sz="4" w:space="0" w:color="auto"/>
              <w:right w:val="single" w:sz="4" w:space="0" w:color="auto"/>
            </w:tcBorders>
            <w:shd w:val="clear" w:color="auto" w:fill="auto"/>
          </w:tcPr>
          <w:p w14:paraId="669B633A" w14:textId="2ECCD058"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23A8E7F" w14:textId="26D97367" w:rsidR="00BE73FF" w:rsidRPr="0035187E" w:rsidRDefault="00BE73FF" w:rsidP="0035187E">
            <w:pPr>
              <w:widowControl w:val="0"/>
              <w:numPr>
                <w:ilvl w:val="0"/>
                <w:numId w:val="47"/>
              </w:numPr>
              <w:autoSpaceDE w:val="0"/>
              <w:autoSpaceDN w:val="0"/>
              <w:adjustRightInd w:val="0"/>
              <w:ind w:left="0" w:firstLine="0"/>
              <w:jc w:val="both"/>
              <w:rPr>
                <w:rFonts w:ascii="Times New Roman" w:hAnsi="Times New Roman" w:cs="Times New Roman"/>
                <w:sz w:val="20"/>
                <w:szCs w:val="20"/>
              </w:rPr>
            </w:pPr>
            <w:r w:rsidRPr="0035187E">
              <w:rPr>
                <w:rFonts w:ascii="Times New Roman" w:hAnsi="Times New Roman" w:cs="Times New Roman"/>
                <w:b/>
                <w:sz w:val="20"/>
                <w:szCs w:val="20"/>
              </w:rPr>
              <w:t>Celkově k návrhu zákona:</w:t>
            </w:r>
            <w:r w:rsidRPr="0035187E">
              <w:rPr>
                <w:rFonts w:ascii="Times New Roman" w:hAnsi="Times New Roman" w:cs="Times New Roman"/>
                <w:bCs/>
                <w:sz w:val="20"/>
                <w:szCs w:val="20"/>
              </w:rPr>
              <w:t xml:space="preserve"> Měna a přepočty nejsou upraveny. Ustanovení § 18 vyžaduje částky „</w:t>
            </w:r>
            <w:r w:rsidRPr="0035187E">
              <w:rPr>
                <w:rFonts w:ascii="Times New Roman" w:hAnsi="Times New Roman" w:cs="Times New Roman"/>
                <w:bCs/>
                <w:i/>
                <w:iCs/>
                <w:sz w:val="20"/>
                <w:szCs w:val="20"/>
              </w:rPr>
              <w:t>uvedené v české měně</w:t>
            </w:r>
            <w:r w:rsidRPr="0035187E">
              <w:rPr>
                <w:rFonts w:ascii="Times New Roman" w:hAnsi="Times New Roman" w:cs="Times New Roman"/>
                <w:bCs/>
                <w:sz w:val="20"/>
                <w:szCs w:val="20"/>
              </w:rPr>
              <w:t>“, ale návrh neříká, jaký kurz a k jakému okamžiku použít, a jak postupovat při platbách v cizí měně/platební bráně. Požadavek „</w:t>
            </w:r>
            <w:r w:rsidRPr="0035187E">
              <w:rPr>
                <w:rFonts w:ascii="Times New Roman" w:hAnsi="Times New Roman" w:cs="Times New Roman"/>
                <w:bCs/>
                <w:i/>
                <w:iCs/>
                <w:sz w:val="20"/>
                <w:szCs w:val="20"/>
              </w:rPr>
              <w:t>v české měně</w:t>
            </w:r>
            <w:r w:rsidRPr="0035187E">
              <w:rPr>
                <w:rFonts w:ascii="Times New Roman" w:hAnsi="Times New Roman" w:cs="Times New Roman"/>
                <w:bCs/>
                <w:sz w:val="20"/>
                <w:szCs w:val="20"/>
              </w:rPr>
              <w:t xml:space="preserve">“ bez pravidel přepočtu je neurčitý. Hrozí riziko různé praxe a sporů. Doporučuje se doplnit pravidlo kurzu (např. kurz ČNB k datu uskutečnění / přijetí) nebo odkaz na daňové předpisy.  Uvažovat lze např. o doplnění pravidla do nového odstavce 5 v § 18: </w:t>
            </w:r>
            <w:r w:rsidRPr="0035187E">
              <w:rPr>
                <w:rFonts w:ascii="Times New Roman" w:hAnsi="Times New Roman" w:cs="Times New Roman"/>
                <w:bCs/>
                <w:i/>
                <w:iCs/>
                <w:sz w:val="20"/>
                <w:szCs w:val="20"/>
              </w:rPr>
              <w:t>„(5) Je-li evidovaná tržba přijata v jiné měně než v české měně, přepočte se na českou měnu kurzem devizového trhu vyhlášeným Českou národní bankou platným v den uskutečnění evidované tržby.“.</w:t>
            </w:r>
            <w:r w:rsidRPr="0035187E">
              <w:rPr>
                <w:rFonts w:ascii="Times New Roman" w:hAnsi="Times New Roman" w:cs="Times New Roman"/>
                <w:bCs/>
                <w:sz w:val="20"/>
                <w:szCs w:val="20"/>
              </w:rPr>
              <w:t xml:space="preserve"> Dále se navrhuje zvážit, zda do § 18 nedoplnit odstavec 6 s formulací typu </w:t>
            </w:r>
            <w:r w:rsidRPr="0035187E">
              <w:rPr>
                <w:rFonts w:ascii="Times New Roman" w:hAnsi="Times New Roman" w:cs="Times New Roman"/>
                <w:bCs/>
                <w:i/>
                <w:iCs/>
                <w:sz w:val="20"/>
                <w:szCs w:val="20"/>
              </w:rPr>
              <w:t>„(6) Označení pokladního zařízení podle odstavce 1 písm. c) určuje poplatník; označení musí být jedinečné u poplatníka a nesmí být</w:t>
            </w:r>
            <w:r w:rsidRPr="0035187E">
              <w:rPr>
                <w:rFonts w:ascii="Times New Roman" w:hAnsi="Times New Roman" w:cs="Times New Roman"/>
                <w:bCs/>
                <w:sz w:val="20"/>
                <w:szCs w:val="20"/>
              </w:rPr>
              <w:t xml:space="preserve"> </w:t>
            </w:r>
            <w:r w:rsidRPr="0035187E">
              <w:rPr>
                <w:rFonts w:ascii="Times New Roman" w:hAnsi="Times New Roman" w:cs="Times New Roman"/>
                <w:bCs/>
                <w:i/>
                <w:iCs/>
                <w:sz w:val="20"/>
                <w:szCs w:val="20"/>
              </w:rPr>
              <w:t>použito pro jiné pokladní zařízení téhož poplatníka.“.</w:t>
            </w:r>
            <w:r w:rsidRPr="0035187E">
              <w:rPr>
                <w:rFonts w:ascii="Times New Roman" w:hAnsi="Times New Roman" w:cs="Times New Roman"/>
                <w:bCs/>
                <w:sz w:val="20"/>
                <w:szCs w:val="20"/>
              </w:rPr>
              <w:t xml:space="preserve"> Uvažovaná formulace (označení pokladního zařízení v návaznosti na úpravu § 18 odst. 1 písm. c) by měla pomoci proti sporům při kontrole a při duplicitách mezi zařízeními, zamezit sporům, zda „</w:t>
            </w:r>
            <w:r w:rsidRPr="0035187E">
              <w:rPr>
                <w:rFonts w:ascii="Times New Roman" w:hAnsi="Times New Roman" w:cs="Times New Roman"/>
                <w:bCs/>
                <w:i/>
                <w:iCs/>
                <w:sz w:val="20"/>
                <w:szCs w:val="20"/>
              </w:rPr>
              <w:t>pokladní zařízení</w:t>
            </w:r>
            <w:r w:rsidRPr="0035187E">
              <w:rPr>
                <w:rFonts w:ascii="Times New Roman" w:hAnsi="Times New Roman" w:cs="Times New Roman"/>
                <w:bCs/>
                <w:sz w:val="20"/>
                <w:szCs w:val="20"/>
              </w:rPr>
              <w:t>“ bylo identifikováno dostatečně přesně, zlepšit párování dat (zejména při kontrolním nákupu a při více zařízeních, zachovat technickou flexibilita (poplatník si identifikátory zvolí sám), ale s jasným minimem.</w:t>
            </w:r>
          </w:p>
        </w:tc>
        <w:tc>
          <w:tcPr>
            <w:tcW w:w="1453" w:type="pct"/>
            <w:tcBorders>
              <w:top w:val="single" w:sz="4" w:space="0" w:color="auto"/>
              <w:left w:val="single" w:sz="4" w:space="0" w:color="auto"/>
              <w:right w:val="single" w:sz="4" w:space="0" w:color="auto"/>
            </w:tcBorders>
            <w:shd w:val="clear" w:color="auto" w:fill="auto"/>
          </w:tcPr>
          <w:p w14:paraId="222A32A8" w14:textId="77777777" w:rsidR="00BE73FF" w:rsidRPr="0035187E" w:rsidRDefault="00226BED"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387A6A5D" w14:textId="77777777" w:rsidR="00226BED" w:rsidRPr="0035187E" w:rsidRDefault="00226BED" w:rsidP="0035187E">
            <w:pPr>
              <w:jc w:val="both"/>
              <w:rPr>
                <w:rFonts w:ascii="Times New Roman" w:hAnsi="Times New Roman" w:cs="Times New Roman"/>
                <w:sz w:val="20"/>
                <w:szCs w:val="20"/>
              </w:rPr>
            </w:pPr>
            <w:r w:rsidRPr="0035187E">
              <w:rPr>
                <w:rFonts w:ascii="Times New Roman" w:hAnsi="Times New Roman" w:cs="Times New Roman"/>
                <w:sz w:val="20"/>
                <w:szCs w:val="20"/>
              </w:rPr>
              <w:t>Vzhledem k tomu, že evidence tržeb je nástroj sloužící primárně daňovým účelům a je terminologicky i institucionálně navázán na daň z příjmů (vymezení subjektu evidence tržeb, vymezení rozhodného příjmu), uplatní se obecná pravidla pro</w:t>
            </w:r>
            <w:r w:rsidR="00E3760B" w:rsidRPr="0035187E">
              <w:rPr>
                <w:rFonts w:ascii="Times New Roman" w:hAnsi="Times New Roman" w:cs="Times New Roman"/>
                <w:sz w:val="20"/>
                <w:szCs w:val="20"/>
              </w:rPr>
              <w:t xml:space="preserve"> přepočet z pohledu určení výše rozhodného příjmu. Není však záměrem, aby odpovědnost za správný přepočet tížila poplatníka v momentě zaevidování tržby. Zde standardně postačí uvedení součtu dopředu daných položkových cen zboží nebo služeb.</w:t>
            </w:r>
          </w:p>
          <w:p w14:paraId="4B798397" w14:textId="601CA932" w:rsidR="00E3760B" w:rsidRPr="0035187E" w:rsidRDefault="00E3760B" w:rsidP="0035187E">
            <w:pPr>
              <w:jc w:val="both"/>
              <w:rPr>
                <w:rFonts w:ascii="Times New Roman" w:hAnsi="Times New Roman" w:cs="Times New Roman"/>
                <w:sz w:val="20"/>
                <w:szCs w:val="20"/>
              </w:rPr>
            </w:pPr>
          </w:p>
        </w:tc>
      </w:tr>
      <w:tr w:rsidR="0035187E" w:rsidRPr="0035187E" w14:paraId="3B937C88"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FF52EF4" w14:textId="68AF87EE"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8.</w:t>
            </w:r>
          </w:p>
        </w:tc>
        <w:tc>
          <w:tcPr>
            <w:tcW w:w="583" w:type="pct"/>
            <w:tcBorders>
              <w:top w:val="single" w:sz="4" w:space="0" w:color="auto"/>
              <w:left w:val="single" w:sz="4" w:space="0" w:color="auto"/>
              <w:right w:val="single" w:sz="4" w:space="0" w:color="auto"/>
            </w:tcBorders>
            <w:shd w:val="clear" w:color="auto" w:fill="auto"/>
          </w:tcPr>
          <w:p w14:paraId="2C1746B2" w14:textId="30FE9B3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Ministerstvo </w:t>
            </w:r>
            <w:proofErr w:type="gramStart"/>
            <w:r w:rsidRPr="0035187E">
              <w:rPr>
                <w:rFonts w:ascii="Times New Roman" w:hAnsi="Times New Roman" w:cs="Times New Roman"/>
                <w:sz w:val="20"/>
                <w:szCs w:val="20"/>
              </w:rPr>
              <w:t>školství‚ mládeže</w:t>
            </w:r>
            <w:proofErr w:type="gramEnd"/>
            <w:r w:rsidRPr="0035187E">
              <w:rPr>
                <w:rFonts w:ascii="Times New Roman" w:hAnsi="Times New Roman" w:cs="Times New Roman"/>
                <w:sz w:val="20"/>
                <w:szCs w:val="20"/>
              </w:rPr>
              <w:t xml:space="preserve"> a tělovýchovy</w:t>
            </w:r>
          </w:p>
        </w:tc>
        <w:tc>
          <w:tcPr>
            <w:tcW w:w="168" w:type="pct"/>
            <w:tcBorders>
              <w:top w:val="single" w:sz="4" w:space="0" w:color="auto"/>
              <w:left w:val="single" w:sz="4" w:space="0" w:color="auto"/>
              <w:right w:val="single" w:sz="4" w:space="0" w:color="auto"/>
            </w:tcBorders>
            <w:shd w:val="clear" w:color="auto" w:fill="auto"/>
          </w:tcPr>
          <w:p w14:paraId="13FFDE7A" w14:textId="17CB624E"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18.</w:t>
            </w:r>
          </w:p>
        </w:tc>
        <w:tc>
          <w:tcPr>
            <w:tcW w:w="169" w:type="pct"/>
            <w:tcBorders>
              <w:top w:val="single" w:sz="4" w:space="0" w:color="auto"/>
              <w:left w:val="single" w:sz="4" w:space="0" w:color="auto"/>
              <w:right w:val="single" w:sz="4" w:space="0" w:color="auto"/>
            </w:tcBorders>
            <w:shd w:val="clear" w:color="auto" w:fill="auto"/>
          </w:tcPr>
          <w:p w14:paraId="5A06B08E" w14:textId="7086F9C3"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DB0274E" w14:textId="11509597" w:rsidR="00BE73FF" w:rsidRPr="0035187E" w:rsidRDefault="00BE73FF" w:rsidP="0035187E">
            <w:pPr>
              <w:widowControl w:val="0"/>
              <w:numPr>
                <w:ilvl w:val="0"/>
                <w:numId w:val="47"/>
              </w:numPr>
              <w:autoSpaceDE w:val="0"/>
              <w:autoSpaceDN w:val="0"/>
              <w:adjustRightInd w:val="0"/>
              <w:ind w:left="0" w:firstLine="0"/>
              <w:jc w:val="both"/>
              <w:rPr>
                <w:rFonts w:ascii="Times New Roman" w:hAnsi="Times New Roman" w:cs="Times New Roman"/>
                <w:sz w:val="20"/>
                <w:szCs w:val="20"/>
              </w:rPr>
            </w:pPr>
            <w:r w:rsidRPr="0035187E">
              <w:rPr>
                <w:rFonts w:ascii="Times New Roman" w:hAnsi="Times New Roman" w:cs="Times New Roman"/>
                <w:b/>
                <w:sz w:val="20"/>
                <w:szCs w:val="20"/>
              </w:rPr>
              <w:t>Celkově k návrhu zákona:</w:t>
            </w:r>
            <w:r w:rsidRPr="0035187E">
              <w:rPr>
                <w:rFonts w:ascii="Times New Roman" w:hAnsi="Times New Roman" w:cs="Times New Roman"/>
                <w:bCs/>
                <w:sz w:val="20"/>
                <w:szCs w:val="20"/>
              </w:rPr>
              <w:t xml:space="preserve"> Je nejasná definice „</w:t>
            </w:r>
            <w:r w:rsidRPr="0035187E">
              <w:rPr>
                <w:rFonts w:ascii="Times New Roman" w:hAnsi="Times New Roman" w:cs="Times New Roman"/>
                <w:bCs/>
                <w:i/>
                <w:iCs/>
                <w:sz w:val="20"/>
                <w:szCs w:val="20"/>
              </w:rPr>
              <w:t>evidenční jednotky</w:t>
            </w:r>
            <w:r w:rsidRPr="0035187E">
              <w:rPr>
                <w:rFonts w:ascii="Times New Roman" w:hAnsi="Times New Roman" w:cs="Times New Roman"/>
                <w:bCs/>
                <w:sz w:val="20"/>
                <w:szCs w:val="20"/>
              </w:rPr>
              <w:t xml:space="preserve">“ pro online prostředí. </w:t>
            </w:r>
            <w:proofErr w:type="spellStart"/>
            <w:r w:rsidRPr="0035187E">
              <w:rPr>
                <w:rFonts w:ascii="Times New Roman" w:hAnsi="Times New Roman" w:cs="Times New Roman"/>
                <w:bCs/>
                <w:sz w:val="20"/>
                <w:szCs w:val="20"/>
              </w:rPr>
              <w:t>Ust</w:t>
            </w:r>
            <w:proofErr w:type="spellEnd"/>
            <w:r w:rsidRPr="0035187E">
              <w:rPr>
                <w:rFonts w:ascii="Times New Roman" w:hAnsi="Times New Roman" w:cs="Times New Roman"/>
                <w:bCs/>
                <w:sz w:val="20"/>
                <w:szCs w:val="20"/>
              </w:rPr>
              <w:t>. § 4 písm. b) považuje za evidenční jednotku i „</w:t>
            </w:r>
            <w:r w:rsidRPr="0035187E">
              <w:rPr>
                <w:rFonts w:ascii="Times New Roman" w:hAnsi="Times New Roman" w:cs="Times New Roman"/>
                <w:bCs/>
                <w:i/>
                <w:iCs/>
                <w:sz w:val="20"/>
                <w:szCs w:val="20"/>
              </w:rPr>
              <w:t>internetovou stránku, část internetové stránky nebo aplikaci“</w:t>
            </w:r>
            <w:r w:rsidRPr="0035187E">
              <w:rPr>
                <w:rFonts w:ascii="Times New Roman" w:hAnsi="Times New Roman" w:cs="Times New Roman"/>
                <w:bCs/>
                <w:sz w:val="20"/>
                <w:szCs w:val="20"/>
              </w:rPr>
              <w:t>.  Není však jasné, jak se bude taková jednotka identifikovat (§ 16 odst. 2 písm. a)), co je „část stránky“ (URL? doména? E-</w:t>
            </w:r>
            <w:proofErr w:type="spellStart"/>
            <w:r w:rsidRPr="0035187E">
              <w:rPr>
                <w:rFonts w:ascii="Times New Roman" w:hAnsi="Times New Roman" w:cs="Times New Roman"/>
                <w:bCs/>
                <w:sz w:val="20"/>
                <w:szCs w:val="20"/>
              </w:rPr>
              <w:t>shopový</w:t>
            </w:r>
            <w:proofErr w:type="spellEnd"/>
            <w:r w:rsidRPr="0035187E">
              <w:rPr>
                <w:rFonts w:ascii="Times New Roman" w:hAnsi="Times New Roman" w:cs="Times New Roman"/>
                <w:bCs/>
                <w:sz w:val="20"/>
                <w:szCs w:val="20"/>
              </w:rPr>
              <w:t xml:space="preserve"> modul? </w:t>
            </w:r>
            <w:proofErr w:type="spellStart"/>
            <w:r w:rsidRPr="0035187E">
              <w:rPr>
                <w:rFonts w:ascii="Times New Roman" w:hAnsi="Times New Roman" w:cs="Times New Roman"/>
                <w:bCs/>
                <w:sz w:val="20"/>
                <w:szCs w:val="20"/>
              </w:rPr>
              <w:t>marketplace</w:t>
            </w:r>
            <w:proofErr w:type="spellEnd"/>
            <w:r w:rsidRPr="0035187E">
              <w:rPr>
                <w:rFonts w:ascii="Times New Roman" w:hAnsi="Times New Roman" w:cs="Times New Roman"/>
                <w:bCs/>
                <w:sz w:val="20"/>
                <w:szCs w:val="20"/>
              </w:rPr>
              <w:t xml:space="preserve"> profil?) a jak se řeší prodej přes platformy třetích stran. Povinnosti oznámit a označovat jednotky (§ 16, § 18 odst. 1 písm. b)) jsou tedy upraveny neurčitě.</w:t>
            </w:r>
          </w:p>
        </w:tc>
        <w:tc>
          <w:tcPr>
            <w:tcW w:w="1453" w:type="pct"/>
            <w:tcBorders>
              <w:top w:val="single" w:sz="4" w:space="0" w:color="auto"/>
              <w:left w:val="single" w:sz="4" w:space="0" w:color="auto"/>
              <w:right w:val="single" w:sz="4" w:space="0" w:color="auto"/>
            </w:tcBorders>
            <w:shd w:val="clear" w:color="auto" w:fill="auto"/>
          </w:tcPr>
          <w:p w14:paraId="519E9235" w14:textId="77777777" w:rsidR="00E3760B" w:rsidRPr="0035187E" w:rsidRDefault="00E3760B"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7ED65442" w14:textId="7C976E83" w:rsidR="00BE73FF" w:rsidRPr="0035187E" w:rsidRDefault="00E3760B"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Návrh v tomto ohledu vychází ze zkušenosti </w:t>
            </w:r>
            <w:r w:rsidR="007E1309" w:rsidRPr="0035187E">
              <w:rPr>
                <w:rFonts w:ascii="Times New Roman" w:hAnsi="Times New Roman" w:cs="Times New Roman"/>
                <w:sz w:val="20"/>
                <w:szCs w:val="20"/>
              </w:rPr>
              <w:t>s</w:t>
            </w:r>
            <w:r w:rsidRPr="0035187E">
              <w:rPr>
                <w:rFonts w:ascii="Times New Roman" w:hAnsi="Times New Roman" w:cs="Times New Roman"/>
                <w:sz w:val="20"/>
                <w:szCs w:val="20"/>
              </w:rPr>
              <w:t> původním zákonem a současně terminologicky precizuje danou normu po vzoru evropské úpravy z oblasti spotřebitelského práva (viz důvodová zpráva). Cílem zákona je vytvořit legislativní mantinel při zachování dostatečné míry obecnosti</w:t>
            </w:r>
            <w:r w:rsidR="007E1309" w:rsidRPr="0035187E">
              <w:rPr>
                <w:rFonts w:ascii="Times New Roman" w:hAnsi="Times New Roman" w:cs="Times New Roman"/>
                <w:sz w:val="20"/>
                <w:szCs w:val="20"/>
              </w:rPr>
              <w:t xml:space="preserve"> a formulační nadčasovosti, nikoli se vydávat cestou kazuistiky vedoucí k hypertrofii právního řádu a potřebě neustálé novelizace.</w:t>
            </w:r>
            <w:r w:rsidR="00750CBD" w:rsidRPr="0035187E">
              <w:rPr>
                <w:rFonts w:ascii="Times New Roman" w:hAnsi="Times New Roman" w:cs="Times New Roman"/>
                <w:sz w:val="20"/>
                <w:szCs w:val="20"/>
              </w:rPr>
              <w:t xml:space="preserve"> Současně platí, že podrobnosti k jednotlivým tématům budou metodicky upraveny a zveřejněny ze strany Generálního finančního ředitelství.</w:t>
            </w:r>
          </w:p>
          <w:p w14:paraId="79E0AE81" w14:textId="2559A0F3" w:rsidR="007E1309" w:rsidRPr="0035187E" w:rsidRDefault="007E1309" w:rsidP="0035187E">
            <w:pPr>
              <w:jc w:val="both"/>
              <w:rPr>
                <w:rFonts w:ascii="Times New Roman" w:hAnsi="Times New Roman" w:cs="Times New Roman"/>
                <w:sz w:val="20"/>
                <w:szCs w:val="20"/>
              </w:rPr>
            </w:pPr>
          </w:p>
        </w:tc>
      </w:tr>
      <w:tr w:rsidR="0035187E" w:rsidRPr="0035187E" w14:paraId="1FA889E0"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41D3604" w14:textId="32955A15"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8.</w:t>
            </w:r>
          </w:p>
        </w:tc>
        <w:tc>
          <w:tcPr>
            <w:tcW w:w="583" w:type="pct"/>
            <w:tcBorders>
              <w:top w:val="single" w:sz="4" w:space="0" w:color="auto"/>
              <w:left w:val="single" w:sz="4" w:space="0" w:color="auto"/>
              <w:right w:val="single" w:sz="4" w:space="0" w:color="auto"/>
            </w:tcBorders>
            <w:shd w:val="clear" w:color="auto" w:fill="auto"/>
          </w:tcPr>
          <w:p w14:paraId="0FADEB4F" w14:textId="26ADADF3"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Ministerstvo </w:t>
            </w:r>
            <w:proofErr w:type="gramStart"/>
            <w:r w:rsidRPr="0035187E">
              <w:rPr>
                <w:rFonts w:ascii="Times New Roman" w:hAnsi="Times New Roman" w:cs="Times New Roman"/>
                <w:sz w:val="20"/>
                <w:szCs w:val="20"/>
              </w:rPr>
              <w:t>školství‚ mládeže</w:t>
            </w:r>
            <w:proofErr w:type="gramEnd"/>
            <w:r w:rsidRPr="0035187E">
              <w:rPr>
                <w:rFonts w:ascii="Times New Roman" w:hAnsi="Times New Roman" w:cs="Times New Roman"/>
                <w:sz w:val="20"/>
                <w:szCs w:val="20"/>
              </w:rPr>
              <w:t xml:space="preserve"> a tělovýchovy</w:t>
            </w:r>
          </w:p>
        </w:tc>
        <w:tc>
          <w:tcPr>
            <w:tcW w:w="168" w:type="pct"/>
            <w:tcBorders>
              <w:top w:val="single" w:sz="4" w:space="0" w:color="auto"/>
              <w:left w:val="single" w:sz="4" w:space="0" w:color="auto"/>
              <w:right w:val="single" w:sz="4" w:space="0" w:color="auto"/>
            </w:tcBorders>
            <w:shd w:val="clear" w:color="auto" w:fill="auto"/>
          </w:tcPr>
          <w:p w14:paraId="1E28DD7D" w14:textId="3F71C5B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19.</w:t>
            </w:r>
          </w:p>
        </w:tc>
        <w:tc>
          <w:tcPr>
            <w:tcW w:w="169" w:type="pct"/>
            <w:tcBorders>
              <w:top w:val="single" w:sz="4" w:space="0" w:color="auto"/>
              <w:left w:val="single" w:sz="4" w:space="0" w:color="auto"/>
              <w:right w:val="single" w:sz="4" w:space="0" w:color="auto"/>
            </w:tcBorders>
            <w:shd w:val="clear" w:color="auto" w:fill="auto"/>
          </w:tcPr>
          <w:p w14:paraId="20C5C932" w14:textId="0ABAC79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EC45343" w14:textId="3AA01DF7" w:rsidR="00BE73FF" w:rsidRPr="0035187E" w:rsidRDefault="00BE73FF" w:rsidP="0035187E">
            <w:pPr>
              <w:widowControl w:val="0"/>
              <w:numPr>
                <w:ilvl w:val="0"/>
                <w:numId w:val="47"/>
              </w:numPr>
              <w:autoSpaceDE w:val="0"/>
              <w:autoSpaceDN w:val="0"/>
              <w:adjustRightInd w:val="0"/>
              <w:ind w:left="0" w:firstLine="0"/>
              <w:jc w:val="both"/>
              <w:rPr>
                <w:rFonts w:ascii="Times New Roman" w:hAnsi="Times New Roman" w:cs="Times New Roman"/>
                <w:sz w:val="20"/>
                <w:szCs w:val="20"/>
              </w:rPr>
            </w:pPr>
            <w:r w:rsidRPr="0035187E">
              <w:rPr>
                <w:rFonts w:ascii="Times New Roman" w:hAnsi="Times New Roman" w:cs="Times New Roman"/>
                <w:b/>
                <w:sz w:val="20"/>
                <w:szCs w:val="20"/>
              </w:rPr>
              <w:t>Celkově k návrhu zákona:</w:t>
            </w:r>
            <w:r w:rsidRPr="0035187E">
              <w:rPr>
                <w:rFonts w:ascii="Times New Roman" w:hAnsi="Times New Roman" w:cs="Times New Roman"/>
                <w:bCs/>
                <w:sz w:val="20"/>
                <w:szCs w:val="20"/>
              </w:rPr>
              <w:t xml:space="preserve"> Návrh staví klíčové kroky na „</w:t>
            </w:r>
            <w:r w:rsidRPr="0035187E">
              <w:rPr>
                <w:rFonts w:ascii="Times New Roman" w:hAnsi="Times New Roman" w:cs="Times New Roman"/>
                <w:bCs/>
                <w:i/>
                <w:iCs/>
                <w:sz w:val="20"/>
                <w:szCs w:val="20"/>
              </w:rPr>
              <w:t>daňové informační schránce</w:t>
            </w:r>
            <w:r w:rsidRPr="0035187E">
              <w:rPr>
                <w:rFonts w:ascii="Times New Roman" w:hAnsi="Times New Roman" w:cs="Times New Roman"/>
                <w:bCs/>
                <w:sz w:val="20"/>
                <w:szCs w:val="20"/>
              </w:rPr>
              <w:t>“ (§ 15, § 16, § 19, § 23). Daňový řád (zák. č. 280/2009 Sb., ve znění pozdějších předpisů) ale v § 69 upravuje daňovou infomační schránku (dále také „DIS“) tak, že ji správce daně umožní, „</w:t>
            </w:r>
            <w:r w:rsidRPr="0035187E">
              <w:rPr>
                <w:rFonts w:ascii="Times New Roman" w:hAnsi="Times New Roman" w:cs="Times New Roman"/>
                <w:bCs/>
                <w:i/>
                <w:iCs/>
                <w:sz w:val="20"/>
                <w:szCs w:val="20"/>
              </w:rPr>
              <w:t>je-li k tomu technicky vybaven</w:t>
            </w:r>
            <w:r w:rsidRPr="0035187E">
              <w:rPr>
                <w:rFonts w:ascii="Times New Roman" w:hAnsi="Times New Roman" w:cs="Times New Roman"/>
                <w:bCs/>
                <w:sz w:val="20"/>
                <w:szCs w:val="20"/>
              </w:rPr>
              <w:t>“. Pokud má být ale DIS povinná a univerzálně použitelná pro všechny dotčené subjekty, může být potřeba buď výslovná garance dostupnosti DIS (nejen „je-li správce daně technicky vybaven“) nebo alternativní kanál (datová schránka / portál / formulářové podání). Doporučuje se tedy doplnit alternativní postup, pokud DIS není dostupná (např. datová schránka, formulářové podání, jiný portál), nebo výslovnou garanci funkčnosti DIS pro účely evidence tržeb (legislativně i technicky).</w:t>
            </w:r>
          </w:p>
        </w:tc>
        <w:tc>
          <w:tcPr>
            <w:tcW w:w="1453" w:type="pct"/>
            <w:tcBorders>
              <w:top w:val="single" w:sz="4" w:space="0" w:color="auto"/>
              <w:left w:val="single" w:sz="4" w:space="0" w:color="auto"/>
              <w:right w:val="single" w:sz="4" w:space="0" w:color="auto"/>
            </w:tcBorders>
            <w:shd w:val="clear" w:color="auto" w:fill="auto"/>
          </w:tcPr>
          <w:p w14:paraId="6D9A0EFB" w14:textId="77777777" w:rsidR="00BE73FF" w:rsidRPr="0035187E" w:rsidRDefault="007E1309"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2B9F60FF" w14:textId="77777777" w:rsidR="007E1309" w:rsidRPr="0035187E" w:rsidRDefault="007E1309" w:rsidP="0035187E">
            <w:pPr>
              <w:jc w:val="both"/>
              <w:rPr>
                <w:rFonts w:ascii="Times New Roman" w:hAnsi="Times New Roman" w:cs="Times New Roman"/>
                <w:sz w:val="20"/>
                <w:szCs w:val="20"/>
              </w:rPr>
            </w:pPr>
            <w:r w:rsidRPr="0035187E">
              <w:rPr>
                <w:rFonts w:ascii="Times New Roman" w:hAnsi="Times New Roman" w:cs="Times New Roman"/>
                <w:sz w:val="20"/>
                <w:szCs w:val="20"/>
              </w:rPr>
              <w:t>Povinnost zajistit dostupnost daňové informační schránky vyplývá z § 15 odst. 2 i § 23 návrhu. Nadto platí, že v případě orgánů Finanční správy ČR je tato funkcionalita již zajištěna.</w:t>
            </w:r>
          </w:p>
          <w:p w14:paraId="2CBB11D9" w14:textId="39715B64" w:rsidR="007E1309" w:rsidRPr="0035187E" w:rsidRDefault="007E1309" w:rsidP="0035187E">
            <w:pPr>
              <w:jc w:val="both"/>
              <w:rPr>
                <w:rFonts w:ascii="Times New Roman" w:hAnsi="Times New Roman" w:cs="Times New Roman"/>
                <w:sz w:val="20"/>
                <w:szCs w:val="20"/>
              </w:rPr>
            </w:pPr>
          </w:p>
        </w:tc>
      </w:tr>
      <w:tr w:rsidR="0035187E" w:rsidRPr="0035187E" w14:paraId="501EBC8C"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FBE1A43" w14:textId="6FF7005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8.</w:t>
            </w:r>
          </w:p>
        </w:tc>
        <w:tc>
          <w:tcPr>
            <w:tcW w:w="583" w:type="pct"/>
            <w:tcBorders>
              <w:top w:val="single" w:sz="4" w:space="0" w:color="auto"/>
              <w:left w:val="single" w:sz="4" w:space="0" w:color="auto"/>
              <w:right w:val="single" w:sz="4" w:space="0" w:color="auto"/>
            </w:tcBorders>
            <w:shd w:val="clear" w:color="auto" w:fill="auto"/>
          </w:tcPr>
          <w:p w14:paraId="5B02458B" w14:textId="71D50B3B"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Ministerstvo </w:t>
            </w:r>
            <w:proofErr w:type="gramStart"/>
            <w:r w:rsidRPr="0035187E">
              <w:rPr>
                <w:rFonts w:ascii="Times New Roman" w:hAnsi="Times New Roman" w:cs="Times New Roman"/>
                <w:sz w:val="20"/>
                <w:szCs w:val="20"/>
              </w:rPr>
              <w:t>školství‚ mládeže</w:t>
            </w:r>
            <w:proofErr w:type="gramEnd"/>
            <w:r w:rsidRPr="0035187E">
              <w:rPr>
                <w:rFonts w:ascii="Times New Roman" w:hAnsi="Times New Roman" w:cs="Times New Roman"/>
                <w:sz w:val="20"/>
                <w:szCs w:val="20"/>
              </w:rPr>
              <w:t xml:space="preserve"> a tělovýchovy</w:t>
            </w:r>
          </w:p>
        </w:tc>
        <w:tc>
          <w:tcPr>
            <w:tcW w:w="168" w:type="pct"/>
            <w:tcBorders>
              <w:top w:val="single" w:sz="4" w:space="0" w:color="auto"/>
              <w:left w:val="single" w:sz="4" w:space="0" w:color="auto"/>
              <w:right w:val="single" w:sz="4" w:space="0" w:color="auto"/>
            </w:tcBorders>
            <w:shd w:val="clear" w:color="auto" w:fill="auto"/>
          </w:tcPr>
          <w:p w14:paraId="0132D119" w14:textId="2007B59F"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20.</w:t>
            </w:r>
          </w:p>
        </w:tc>
        <w:tc>
          <w:tcPr>
            <w:tcW w:w="169" w:type="pct"/>
            <w:tcBorders>
              <w:top w:val="single" w:sz="4" w:space="0" w:color="auto"/>
              <w:left w:val="single" w:sz="4" w:space="0" w:color="auto"/>
              <w:right w:val="single" w:sz="4" w:space="0" w:color="auto"/>
            </w:tcBorders>
            <w:shd w:val="clear" w:color="auto" w:fill="auto"/>
          </w:tcPr>
          <w:p w14:paraId="158C5944" w14:textId="62CF6B4D"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4494D7C" w14:textId="28EABDF2" w:rsidR="00BE73FF" w:rsidRPr="0035187E" w:rsidRDefault="00BE73FF" w:rsidP="0035187E">
            <w:pPr>
              <w:widowControl w:val="0"/>
              <w:numPr>
                <w:ilvl w:val="0"/>
                <w:numId w:val="47"/>
              </w:numPr>
              <w:autoSpaceDE w:val="0"/>
              <w:autoSpaceDN w:val="0"/>
              <w:adjustRightInd w:val="0"/>
              <w:ind w:left="0" w:firstLine="0"/>
              <w:jc w:val="both"/>
              <w:rPr>
                <w:rFonts w:ascii="Times New Roman" w:hAnsi="Times New Roman" w:cs="Times New Roman"/>
                <w:sz w:val="20"/>
                <w:szCs w:val="20"/>
              </w:rPr>
            </w:pPr>
            <w:r w:rsidRPr="0035187E">
              <w:rPr>
                <w:rFonts w:ascii="Times New Roman" w:hAnsi="Times New Roman" w:cs="Times New Roman"/>
                <w:b/>
                <w:sz w:val="20"/>
                <w:szCs w:val="20"/>
              </w:rPr>
              <w:t>Celkově k návrhu zákona:</w:t>
            </w:r>
            <w:r w:rsidRPr="0035187E">
              <w:rPr>
                <w:rFonts w:ascii="Times New Roman" w:hAnsi="Times New Roman" w:cs="Times New Roman"/>
                <w:bCs/>
                <w:sz w:val="20"/>
                <w:szCs w:val="20"/>
              </w:rPr>
              <w:t xml:space="preserve"> Problematická je kompetenční návaznost kontrolního nákupu na zákon o Finanční správě ČR a zákon o Celní správě ČR. Návrh dává oprávnění ke kontrolnímu nákupu v § 22. Současně návrh v části čtvrté v § 34 bodu 2 mění zákon o Finanční správě České republiky (zák. č. 456/2011 Sb., ve znění pozdějších předpisů) tak, že mění jeho § 13d odst. 1. Aktuální znění § 13d odst. 1 zákona o Finanční správě ČR dnes kontrolní nákup úzce váže na povinnosti dle zákona o mezinárodní spolupráci při správě daní; návrh chce § 13d odst. 1 zobecnit na „</w:t>
            </w:r>
            <w:r w:rsidRPr="0035187E">
              <w:rPr>
                <w:rFonts w:ascii="Times New Roman" w:hAnsi="Times New Roman" w:cs="Times New Roman"/>
                <w:bCs/>
                <w:i/>
                <w:iCs/>
                <w:sz w:val="20"/>
                <w:szCs w:val="20"/>
              </w:rPr>
              <w:t>daňové nebo účetní předpisy</w:t>
            </w:r>
            <w:r w:rsidRPr="0035187E">
              <w:rPr>
                <w:rFonts w:ascii="Times New Roman" w:hAnsi="Times New Roman" w:cs="Times New Roman"/>
                <w:bCs/>
                <w:sz w:val="20"/>
                <w:szCs w:val="20"/>
              </w:rPr>
              <w:t>“. To je velmi široké použití kontrolního nákupu a může jít o nepřiměřené zásahové oprávnění bez jasného věcného vymezení, odůvodnění a mantinelů. (Navíc se upozorňuje, že v § 13d zákona o Finanční správě ČR je zákon upravující mezinárodní spolupráci při správě daní zmíněn i v odstavci 4, ten však k novelizaci navržen není.) Doporučuje se zvážit, zda by nebylo vhodnější kontrolní nákup vymezit buď jen pro evidenci tržeb (explicitně „</w:t>
            </w:r>
            <w:r w:rsidRPr="0035187E">
              <w:rPr>
                <w:rFonts w:ascii="Times New Roman" w:hAnsi="Times New Roman" w:cs="Times New Roman"/>
                <w:bCs/>
                <w:i/>
                <w:iCs/>
                <w:sz w:val="20"/>
                <w:szCs w:val="20"/>
              </w:rPr>
              <w:t>zákon upravující evidenci tržeb</w:t>
            </w:r>
            <w:r w:rsidRPr="0035187E">
              <w:rPr>
                <w:rFonts w:ascii="Times New Roman" w:hAnsi="Times New Roman" w:cs="Times New Roman"/>
                <w:bCs/>
                <w:sz w:val="20"/>
                <w:szCs w:val="20"/>
              </w:rPr>
              <w:t>“) nebo taxativně pro určité okruhy povinností, nikoliv obecně „</w:t>
            </w:r>
            <w:r w:rsidRPr="0035187E">
              <w:rPr>
                <w:rFonts w:ascii="Times New Roman" w:hAnsi="Times New Roman" w:cs="Times New Roman"/>
                <w:bCs/>
                <w:i/>
                <w:iCs/>
                <w:sz w:val="20"/>
                <w:szCs w:val="20"/>
              </w:rPr>
              <w:t>daňové nebo účetní</w:t>
            </w:r>
            <w:r w:rsidRPr="0035187E">
              <w:rPr>
                <w:rFonts w:ascii="Times New Roman" w:hAnsi="Times New Roman" w:cs="Times New Roman"/>
                <w:bCs/>
                <w:sz w:val="20"/>
                <w:szCs w:val="20"/>
              </w:rPr>
              <w:t>“.</w:t>
            </w:r>
          </w:p>
        </w:tc>
        <w:tc>
          <w:tcPr>
            <w:tcW w:w="1453" w:type="pct"/>
            <w:tcBorders>
              <w:top w:val="single" w:sz="4" w:space="0" w:color="auto"/>
              <w:left w:val="single" w:sz="4" w:space="0" w:color="auto"/>
              <w:right w:val="single" w:sz="4" w:space="0" w:color="auto"/>
            </w:tcBorders>
            <w:shd w:val="clear" w:color="auto" w:fill="auto"/>
          </w:tcPr>
          <w:p w14:paraId="58BB8C19" w14:textId="77777777" w:rsidR="00BE73FF" w:rsidRPr="0035187E" w:rsidRDefault="00C6434E"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417FC512" w14:textId="11DCC4D1" w:rsidR="00C6434E" w:rsidRPr="0035187E" w:rsidRDefault="00C6434E" w:rsidP="0035187E">
            <w:pPr>
              <w:jc w:val="both"/>
              <w:rPr>
                <w:rFonts w:ascii="Times New Roman" w:hAnsi="Times New Roman" w:cs="Times New Roman"/>
                <w:sz w:val="20"/>
                <w:szCs w:val="20"/>
              </w:rPr>
            </w:pPr>
            <w:r w:rsidRPr="0035187E">
              <w:rPr>
                <w:rFonts w:ascii="Times New Roman" w:hAnsi="Times New Roman" w:cs="Times New Roman"/>
                <w:sz w:val="20"/>
                <w:szCs w:val="20"/>
              </w:rPr>
              <w:t>Jde o záměr, který vyvěrá z dlouhodobého podnětu požadující</w:t>
            </w:r>
            <w:r w:rsidR="003344DA" w:rsidRPr="0035187E">
              <w:rPr>
                <w:rFonts w:ascii="Times New Roman" w:hAnsi="Times New Roman" w:cs="Times New Roman"/>
                <w:sz w:val="20"/>
                <w:szCs w:val="20"/>
              </w:rPr>
              <w:t>ho</w:t>
            </w:r>
            <w:r w:rsidRPr="0035187E">
              <w:rPr>
                <w:rFonts w:ascii="Times New Roman" w:hAnsi="Times New Roman" w:cs="Times New Roman"/>
                <w:sz w:val="20"/>
                <w:szCs w:val="20"/>
              </w:rPr>
              <w:t xml:space="preserve"> narovnání nástrojů pro kontrolu plnění povinností s mezinárodním i vnitrostátním aspektem. Obecně však platí, že kontrolní nákup, jakožto standardní součást kontrolních nástrojů, které mají k dispozici orgány veřejné moci podle § 8 písm. b) kontrolního řádu, není nástrojem nikterak výjimečným a invazivním.</w:t>
            </w:r>
          </w:p>
          <w:p w14:paraId="4B2E73D6" w14:textId="40C3CD13" w:rsidR="00C6434E" w:rsidRPr="0035187E" w:rsidRDefault="008B63AD" w:rsidP="0035187E">
            <w:pPr>
              <w:jc w:val="both"/>
              <w:rPr>
                <w:rFonts w:ascii="Times New Roman" w:hAnsi="Times New Roman" w:cs="Times New Roman"/>
                <w:sz w:val="20"/>
                <w:szCs w:val="20"/>
              </w:rPr>
            </w:pPr>
            <w:r w:rsidRPr="0035187E">
              <w:rPr>
                <w:rFonts w:ascii="Times New Roman" w:hAnsi="Times New Roman" w:cs="Times New Roman"/>
                <w:sz w:val="20"/>
                <w:szCs w:val="20"/>
              </w:rPr>
              <w:t>Změna odkazu v ustanovení § 13d odst. 4 zákona o Finanční správě ČR byla do materiálu doplněna.</w:t>
            </w:r>
          </w:p>
        </w:tc>
      </w:tr>
      <w:tr w:rsidR="0035187E" w:rsidRPr="0035187E" w14:paraId="0C35A568"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46341E9A" w14:textId="151CB991"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8.</w:t>
            </w:r>
          </w:p>
        </w:tc>
        <w:tc>
          <w:tcPr>
            <w:tcW w:w="583" w:type="pct"/>
            <w:tcBorders>
              <w:top w:val="single" w:sz="4" w:space="0" w:color="auto"/>
              <w:left w:val="single" w:sz="4" w:space="0" w:color="auto"/>
              <w:right w:val="single" w:sz="4" w:space="0" w:color="auto"/>
            </w:tcBorders>
            <w:shd w:val="clear" w:color="auto" w:fill="auto"/>
          </w:tcPr>
          <w:p w14:paraId="5886C852" w14:textId="0A07AF25"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Ministerstvo </w:t>
            </w:r>
            <w:proofErr w:type="gramStart"/>
            <w:r w:rsidRPr="0035187E">
              <w:rPr>
                <w:rFonts w:ascii="Times New Roman" w:hAnsi="Times New Roman" w:cs="Times New Roman"/>
                <w:sz w:val="20"/>
                <w:szCs w:val="20"/>
              </w:rPr>
              <w:t>školství‚ mládeže</w:t>
            </w:r>
            <w:proofErr w:type="gramEnd"/>
            <w:r w:rsidRPr="0035187E">
              <w:rPr>
                <w:rFonts w:ascii="Times New Roman" w:hAnsi="Times New Roman" w:cs="Times New Roman"/>
                <w:sz w:val="20"/>
                <w:szCs w:val="20"/>
              </w:rPr>
              <w:t xml:space="preserve"> a tělovýchovy</w:t>
            </w:r>
          </w:p>
        </w:tc>
        <w:tc>
          <w:tcPr>
            <w:tcW w:w="168" w:type="pct"/>
            <w:tcBorders>
              <w:top w:val="single" w:sz="4" w:space="0" w:color="auto"/>
              <w:left w:val="single" w:sz="4" w:space="0" w:color="auto"/>
              <w:right w:val="single" w:sz="4" w:space="0" w:color="auto"/>
            </w:tcBorders>
            <w:shd w:val="clear" w:color="auto" w:fill="auto"/>
          </w:tcPr>
          <w:p w14:paraId="45BFCB7A" w14:textId="2272EBB0"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21.</w:t>
            </w:r>
          </w:p>
        </w:tc>
        <w:tc>
          <w:tcPr>
            <w:tcW w:w="169" w:type="pct"/>
            <w:tcBorders>
              <w:top w:val="single" w:sz="4" w:space="0" w:color="auto"/>
              <w:left w:val="single" w:sz="4" w:space="0" w:color="auto"/>
              <w:right w:val="single" w:sz="4" w:space="0" w:color="auto"/>
            </w:tcBorders>
            <w:shd w:val="clear" w:color="auto" w:fill="auto"/>
          </w:tcPr>
          <w:p w14:paraId="69EDF16B" w14:textId="2DC88C31"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8537780" w14:textId="736152FE" w:rsidR="00BE73FF" w:rsidRPr="0035187E" w:rsidRDefault="00BE73FF" w:rsidP="0035187E">
            <w:pPr>
              <w:widowControl w:val="0"/>
              <w:numPr>
                <w:ilvl w:val="0"/>
                <w:numId w:val="47"/>
              </w:numPr>
              <w:autoSpaceDE w:val="0"/>
              <w:autoSpaceDN w:val="0"/>
              <w:adjustRightInd w:val="0"/>
              <w:ind w:left="0" w:firstLine="0"/>
              <w:jc w:val="both"/>
              <w:rPr>
                <w:rFonts w:ascii="Times New Roman" w:hAnsi="Times New Roman" w:cs="Times New Roman"/>
                <w:sz w:val="20"/>
                <w:szCs w:val="20"/>
              </w:rPr>
            </w:pPr>
            <w:r w:rsidRPr="0035187E">
              <w:rPr>
                <w:rFonts w:ascii="Times New Roman" w:hAnsi="Times New Roman" w:cs="Times New Roman"/>
                <w:b/>
                <w:sz w:val="20"/>
                <w:szCs w:val="20"/>
              </w:rPr>
              <w:t>K § 23 návrhu zákona:</w:t>
            </w:r>
            <w:r w:rsidRPr="0035187E">
              <w:rPr>
                <w:rFonts w:ascii="Times New Roman" w:hAnsi="Times New Roman" w:cs="Times New Roman"/>
                <w:bCs/>
                <w:sz w:val="20"/>
                <w:szCs w:val="20"/>
              </w:rPr>
              <w:t xml:space="preserve"> Doporučujeme do informační povinnosti správce daně výslovně zahrnout i potvrzovací kód. Ustanovení § 23 říká „</w:t>
            </w:r>
            <w:r w:rsidRPr="0035187E">
              <w:rPr>
                <w:rFonts w:ascii="Times New Roman" w:hAnsi="Times New Roman" w:cs="Times New Roman"/>
                <w:bCs/>
                <w:i/>
                <w:iCs/>
                <w:sz w:val="20"/>
                <w:szCs w:val="20"/>
              </w:rPr>
              <w:t>alespoň v rozsahu povinně zasílaných údajů</w:t>
            </w:r>
            <w:r w:rsidRPr="0035187E">
              <w:rPr>
                <w:rFonts w:ascii="Times New Roman" w:hAnsi="Times New Roman" w:cs="Times New Roman"/>
                <w:bCs/>
                <w:sz w:val="20"/>
                <w:szCs w:val="20"/>
              </w:rPr>
              <w:t xml:space="preserve">“. Potvrzovací kód ale není zasílaný údaj, je to výstup systému. Přitom pro poplatníka je zásadní pro samokontrolu; a pro následnou kontrolu (a spory) je užitečné, aby byl k evidované tržbě dohledatelný přímo v DIS. Navrhuje se proto § 23 doplnit např. takto </w:t>
            </w:r>
            <w:r w:rsidRPr="0035187E">
              <w:rPr>
                <w:rFonts w:ascii="Times New Roman" w:hAnsi="Times New Roman" w:cs="Times New Roman"/>
                <w:bCs/>
                <w:i/>
                <w:iCs/>
                <w:sz w:val="20"/>
                <w:szCs w:val="20"/>
              </w:rPr>
              <w:t>„Správce daně … poskytuje … informace … alespoň v rozsahu povinně zasílaných</w:t>
            </w:r>
            <w:r w:rsidRPr="0035187E">
              <w:rPr>
                <w:rFonts w:ascii="Times New Roman" w:hAnsi="Times New Roman" w:cs="Times New Roman"/>
                <w:bCs/>
                <w:sz w:val="20"/>
                <w:szCs w:val="20"/>
              </w:rPr>
              <w:t xml:space="preserve"> </w:t>
            </w:r>
            <w:r w:rsidRPr="0035187E">
              <w:rPr>
                <w:rFonts w:ascii="Times New Roman" w:hAnsi="Times New Roman" w:cs="Times New Roman"/>
                <w:bCs/>
                <w:i/>
                <w:iCs/>
                <w:sz w:val="20"/>
                <w:szCs w:val="20"/>
              </w:rPr>
              <w:t>údajů a dále potvrzovací kód, byl-li k datové zprávě přidělen.“.</w:t>
            </w:r>
            <w:r w:rsidRPr="0035187E">
              <w:rPr>
                <w:rFonts w:ascii="Times New Roman" w:hAnsi="Times New Roman" w:cs="Times New Roman"/>
                <w:bCs/>
                <w:sz w:val="20"/>
                <w:szCs w:val="20"/>
              </w:rPr>
              <w:t xml:space="preserve"> To je plně kompatibilní s koncepcí „</w:t>
            </w:r>
            <w:r w:rsidRPr="0035187E">
              <w:rPr>
                <w:rFonts w:ascii="Times New Roman" w:hAnsi="Times New Roman" w:cs="Times New Roman"/>
                <w:bCs/>
                <w:i/>
                <w:iCs/>
                <w:sz w:val="20"/>
                <w:szCs w:val="20"/>
              </w:rPr>
              <w:t>bez účtenky</w:t>
            </w:r>
            <w:r w:rsidRPr="0035187E">
              <w:rPr>
                <w:rFonts w:ascii="Times New Roman" w:hAnsi="Times New Roman" w:cs="Times New Roman"/>
                <w:bCs/>
                <w:sz w:val="20"/>
                <w:szCs w:val="20"/>
              </w:rPr>
              <w:t>“, protože stát poplatníkovi dá možnost dohledat potvrzení o přijetí.</w:t>
            </w:r>
          </w:p>
        </w:tc>
        <w:tc>
          <w:tcPr>
            <w:tcW w:w="1453" w:type="pct"/>
            <w:tcBorders>
              <w:top w:val="single" w:sz="4" w:space="0" w:color="auto"/>
              <w:left w:val="single" w:sz="4" w:space="0" w:color="auto"/>
              <w:right w:val="single" w:sz="4" w:space="0" w:color="auto"/>
            </w:tcBorders>
            <w:shd w:val="clear" w:color="auto" w:fill="auto"/>
          </w:tcPr>
          <w:p w14:paraId="36542810" w14:textId="77777777" w:rsidR="00BC3191" w:rsidRPr="0035187E" w:rsidRDefault="00BC3191" w:rsidP="0035187E">
            <w:pPr>
              <w:jc w:val="both"/>
              <w:rPr>
                <w:rFonts w:ascii="Times New Roman" w:hAnsi="Times New Roman" w:cs="Times New Roman"/>
                <w:b/>
                <w:sz w:val="20"/>
                <w:szCs w:val="20"/>
              </w:rPr>
            </w:pPr>
            <w:r w:rsidRPr="0035187E">
              <w:rPr>
                <w:rFonts w:ascii="Times New Roman" w:hAnsi="Times New Roman" w:cs="Times New Roman"/>
                <w:b/>
                <w:sz w:val="20"/>
                <w:szCs w:val="20"/>
              </w:rPr>
              <w:t>Vyhověno jinak.</w:t>
            </w:r>
          </w:p>
          <w:p w14:paraId="5591B837" w14:textId="77777777" w:rsidR="00BC3191" w:rsidRPr="0035187E" w:rsidRDefault="00BC3191"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 ve prospěch doplnění normy stanovující správci daně povinnost určit a zveřejnit způsobem umožňujícím dálkový přístup podmínky a způsob přijímání, potvrzování a další zpracování datové zprávy o evidované tržbě na společném technickém zařízení správce daně.</w:t>
            </w:r>
          </w:p>
          <w:p w14:paraId="651C5D56" w14:textId="6ECFD610" w:rsidR="007D109B" w:rsidRPr="0035187E" w:rsidRDefault="007D109B" w:rsidP="0035187E">
            <w:pPr>
              <w:jc w:val="both"/>
              <w:rPr>
                <w:rFonts w:ascii="Times New Roman" w:hAnsi="Times New Roman" w:cs="Times New Roman"/>
                <w:sz w:val="20"/>
                <w:szCs w:val="20"/>
              </w:rPr>
            </w:pPr>
          </w:p>
        </w:tc>
      </w:tr>
      <w:tr w:rsidR="0035187E" w:rsidRPr="0035187E" w14:paraId="51B54136"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1172F3F" w14:textId="63D6CC25"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8.</w:t>
            </w:r>
          </w:p>
        </w:tc>
        <w:tc>
          <w:tcPr>
            <w:tcW w:w="583" w:type="pct"/>
            <w:tcBorders>
              <w:top w:val="single" w:sz="4" w:space="0" w:color="auto"/>
              <w:left w:val="single" w:sz="4" w:space="0" w:color="auto"/>
              <w:right w:val="single" w:sz="4" w:space="0" w:color="auto"/>
            </w:tcBorders>
            <w:shd w:val="clear" w:color="auto" w:fill="auto"/>
          </w:tcPr>
          <w:p w14:paraId="717C3AA8" w14:textId="4262A000"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Ministerstvo </w:t>
            </w:r>
            <w:proofErr w:type="gramStart"/>
            <w:r w:rsidRPr="0035187E">
              <w:rPr>
                <w:rFonts w:ascii="Times New Roman" w:hAnsi="Times New Roman" w:cs="Times New Roman"/>
                <w:sz w:val="20"/>
                <w:szCs w:val="20"/>
              </w:rPr>
              <w:t>školství‚ mládeže</w:t>
            </w:r>
            <w:proofErr w:type="gramEnd"/>
            <w:r w:rsidRPr="0035187E">
              <w:rPr>
                <w:rFonts w:ascii="Times New Roman" w:hAnsi="Times New Roman" w:cs="Times New Roman"/>
                <w:sz w:val="20"/>
                <w:szCs w:val="20"/>
              </w:rPr>
              <w:t xml:space="preserve"> a tělovýchovy</w:t>
            </w:r>
          </w:p>
        </w:tc>
        <w:tc>
          <w:tcPr>
            <w:tcW w:w="168" w:type="pct"/>
            <w:tcBorders>
              <w:top w:val="single" w:sz="4" w:space="0" w:color="auto"/>
              <w:left w:val="single" w:sz="4" w:space="0" w:color="auto"/>
              <w:right w:val="single" w:sz="4" w:space="0" w:color="auto"/>
            </w:tcBorders>
            <w:shd w:val="clear" w:color="auto" w:fill="auto"/>
          </w:tcPr>
          <w:p w14:paraId="45E336C5" w14:textId="08640D6E"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22.</w:t>
            </w:r>
          </w:p>
        </w:tc>
        <w:tc>
          <w:tcPr>
            <w:tcW w:w="169" w:type="pct"/>
            <w:tcBorders>
              <w:top w:val="single" w:sz="4" w:space="0" w:color="auto"/>
              <w:left w:val="single" w:sz="4" w:space="0" w:color="auto"/>
              <w:right w:val="single" w:sz="4" w:space="0" w:color="auto"/>
            </w:tcBorders>
            <w:shd w:val="clear" w:color="auto" w:fill="auto"/>
          </w:tcPr>
          <w:p w14:paraId="38B8EC9F" w14:textId="0163DB2E"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95A6D6C" w14:textId="0D1C8CB1" w:rsidR="00BE73FF" w:rsidRPr="0035187E" w:rsidRDefault="00BE73FF" w:rsidP="0035187E">
            <w:pPr>
              <w:widowControl w:val="0"/>
              <w:numPr>
                <w:ilvl w:val="0"/>
                <w:numId w:val="47"/>
              </w:numPr>
              <w:autoSpaceDE w:val="0"/>
              <w:autoSpaceDN w:val="0"/>
              <w:adjustRightInd w:val="0"/>
              <w:ind w:left="0" w:firstLine="0"/>
              <w:jc w:val="both"/>
              <w:rPr>
                <w:rFonts w:ascii="Times New Roman" w:hAnsi="Times New Roman" w:cs="Times New Roman"/>
                <w:sz w:val="20"/>
                <w:szCs w:val="20"/>
              </w:rPr>
            </w:pPr>
            <w:r w:rsidRPr="0035187E">
              <w:rPr>
                <w:rFonts w:ascii="Times New Roman" w:hAnsi="Times New Roman" w:cs="Times New Roman"/>
                <w:b/>
                <w:sz w:val="20"/>
                <w:szCs w:val="20"/>
              </w:rPr>
              <w:t>K části druhé (Změna zákona o daních z příjmů):</w:t>
            </w:r>
            <w:r w:rsidRPr="0035187E">
              <w:rPr>
                <w:rFonts w:ascii="Times New Roman" w:hAnsi="Times New Roman" w:cs="Times New Roman"/>
                <w:bCs/>
                <w:sz w:val="20"/>
                <w:szCs w:val="20"/>
              </w:rPr>
              <w:t xml:space="preserve"> V bodech 16 a 18 chybí horní uvozovky za textem „e)“.</w:t>
            </w:r>
          </w:p>
        </w:tc>
        <w:tc>
          <w:tcPr>
            <w:tcW w:w="1453" w:type="pct"/>
            <w:tcBorders>
              <w:top w:val="single" w:sz="4" w:space="0" w:color="auto"/>
              <w:left w:val="single" w:sz="4" w:space="0" w:color="auto"/>
              <w:right w:val="single" w:sz="4" w:space="0" w:color="auto"/>
            </w:tcBorders>
            <w:shd w:val="clear" w:color="auto" w:fill="auto"/>
          </w:tcPr>
          <w:p w14:paraId="6002537B" w14:textId="77777777" w:rsidR="00BE73FF" w:rsidRPr="0035187E" w:rsidRDefault="00BE73FF"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Vyhověno.</w:t>
            </w:r>
          </w:p>
          <w:p w14:paraId="0D24A406" w14:textId="544980D5"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tc>
      </w:tr>
      <w:tr w:rsidR="0035187E" w:rsidRPr="0035187E" w14:paraId="39DF111E"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19395F3" w14:textId="5CA103CE"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8.</w:t>
            </w:r>
          </w:p>
        </w:tc>
        <w:tc>
          <w:tcPr>
            <w:tcW w:w="583" w:type="pct"/>
            <w:tcBorders>
              <w:top w:val="single" w:sz="4" w:space="0" w:color="auto"/>
              <w:left w:val="single" w:sz="4" w:space="0" w:color="auto"/>
              <w:right w:val="single" w:sz="4" w:space="0" w:color="auto"/>
            </w:tcBorders>
            <w:shd w:val="clear" w:color="auto" w:fill="auto"/>
          </w:tcPr>
          <w:p w14:paraId="05EC633F" w14:textId="281BCD94"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Ministerstvo </w:t>
            </w:r>
            <w:proofErr w:type="gramStart"/>
            <w:r w:rsidRPr="0035187E">
              <w:rPr>
                <w:rFonts w:ascii="Times New Roman" w:hAnsi="Times New Roman" w:cs="Times New Roman"/>
                <w:sz w:val="20"/>
                <w:szCs w:val="20"/>
              </w:rPr>
              <w:t>školství‚ mládeže</w:t>
            </w:r>
            <w:proofErr w:type="gramEnd"/>
            <w:r w:rsidRPr="0035187E">
              <w:rPr>
                <w:rFonts w:ascii="Times New Roman" w:hAnsi="Times New Roman" w:cs="Times New Roman"/>
                <w:sz w:val="20"/>
                <w:szCs w:val="20"/>
              </w:rPr>
              <w:t xml:space="preserve"> a tělovýchovy</w:t>
            </w:r>
          </w:p>
        </w:tc>
        <w:tc>
          <w:tcPr>
            <w:tcW w:w="168" w:type="pct"/>
            <w:tcBorders>
              <w:top w:val="single" w:sz="4" w:space="0" w:color="auto"/>
              <w:left w:val="single" w:sz="4" w:space="0" w:color="auto"/>
              <w:right w:val="single" w:sz="4" w:space="0" w:color="auto"/>
            </w:tcBorders>
            <w:shd w:val="clear" w:color="auto" w:fill="auto"/>
          </w:tcPr>
          <w:p w14:paraId="58A824CD" w14:textId="7744DD6F"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23.</w:t>
            </w:r>
          </w:p>
        </w:tc>
        <w:tc>
          <w:tcPr>
            <w:tcW w:w="169" w:type="pct"/>
            <w:tcBorders>
              <w:top w:val="single" w:sz="4" w:space="0" w:color="auto"/>
              <w:left w:val="single" w:sz="4" w:space="0" w:color="auto"/>
              <w:right w:val="single" w:sz="4" w:space="0" w:color="auto"/>
            </w:tcBorders>
            <w:shd w:val="clear" w:color="auto" w:fill="auto"/>
          </w:tcPr>
          <w:p w14:paraId="4598C029" w14:textId="27EFE5E9"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010D01F" w14:textId="7B752704" w:rsidR="00BE73FF" w:rsidRPr="0035187E" w:rsidRDefault="00BE73FF" w:rsidP="0035187E">
            <w:pPr>
              <w:widowControl w:val="0"/>
              <w:numPr>
                <w:ilvl w:val="0"/>
                <w:numId w:val="47"/>
              </w:numPr>
              <w:autoSpaceDE w:val="0"/>
              <w:autoSpaceDN w:val="0"/>
              <w:adjustRightInd w:val="0"/>
              <w:ind w:left="0" w:firstLine="0"/>
              <w:jc w:val="both"/>
              <w:rPr>
                <w:rFonts w:ascii="Times New Roman" w:hAnsi="Times New Roman" w:cs="Times New Roman"/>
                <w:sz w:val="20"/>
                <w:szCs w:val="20"/>
              </w:rPr>
            </w:pPr>
            <w:r w:rsidRPr="0035187E">
              <w:rPr>
                <w:rFonts w:ascii="Times New Roman" w:hAnsi="Times New Roman" w:cs="Times New Roman"/>
                <w:b/>
                <w:sz w:val="20"/>
                <w:szCs w:val="20"/>
              </w:rPr>
              <w:t>K zákonu o daních z příjmů obecně:</w:t>
            </w:r>
            <w:r w:rsidRPr="0035187E">
              <w:rPr>
                <w:rFonts w:ascii="Times New Roman" w:hAnsi="Times New Roman" w:cs="Times New Roman"/>
                <w:bCs/>
                <w:sz w:val="20"/>
                <w:szCs w:val="20"/>
              </w:rPr>
              <w:t xml:space="preserve"> Doporučujeme do budoucna zvážit vydání nového zákona o daních z příjmů. Zákon už je značně nepřehledný. Tato novela např. doplňuje nový § 38ldaa.</w:t>
            </w:r>
          </w:p>
        </w:tc>
        <w:tc>
          <w:tcPr>
            <w:tcW w:w="1453" w:type="pct"/>
            <w:tcBorders>
              <w:top w:val="single" w:sz="4" w:space="0" w:color="auto"/>
              <w:left w:val="single" w:sz="4" w:space="0" w:color="auto"/>
              <w:right w:val="single" w:sz="4" w:space="0" w:color="auto"/>
            </w:tcBorders>
            <w:shd w:val="clear" w:color="auto" w:fill="auto"/>
          </w:tcPr>
          <w:p w14:paraId="30152A62" w14:textId="77777777" w:rsidR="00641217" w:rsidRPr="0035187E" w:rsidRDefault="00641217" w:rsidP="0035187E">
            <w:pPr>
              <w:jc w:val="both"/>
              <w:rPr>
                <w:rFonts w:ascii="Times New Roman" w:hAnsi="Times New Roman" w:cs="Times New Roman"/>
                <w:sz w:val="20"/>
                <w:szCs w:val="20"/>
              </w:rPr>
            </w:pPr>
            <w:r w:rsidRPr="0035187E">
              <w:rPr>
                <w:rFonts w:ascii="Times New Roman" w:hAnsi="Times New Roman" w:cs="Times New Roman"/>
                <w:b/>
                <w:sz w:val="20"/>
                <w:szCs w:val="20"/>
              </w:rPr>
              <w:t>Bere se na vědomí.</w:t>
            </w:r>
          </w:p>
          <w:p w14:paraId="3707B843" w14:textId="77777777" w:rsidR="00641217" w:rsidRPr="0035187E" w:rsidRDefault="00641217"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Otázka rekodifikace zdanění příjmů je dlouhodobě diskutována. </w:t>
            </w:r>
          </w:p>
          <w:p w14:paraId="700CE5F6" w14:textId="2744BA95" w:rsidR="00BE73FF" w:rsidRPr="0035187E" w:rsidRDefault="00641217" w:rsidP="0035187E">
            <w:pPr>
              <w:jc w:val="both"/>
              <w:rPr>
                <w:rFonts w:ascii="Times New Roman" w:hAnsi="Times New Roman" w:cs="Times New Roman"/>
                <w:sz w:val="20"/>
                <w:szCs w:val="20"/>
              </w:rPr>
            </w:pPr>
            <w:r w:rsidRPr="0035187E">
              <w:rPr>
                <w:rFonts w:ascii="Times New Roman" w:hAnsi="Times New Roman" w:cs="Times New Roman"/>
                <w:sz w:val="20"/>
                <w:szCs w:val="20"/>
              </w:rPr>
              <w:t>Předmětem této novely je však dílčí úprava vybraných oblastí, nikoli komplexní rekodifikace právní úpravy daně z příjmů.</w:t>
            </w:r>
          </w:p>
        </w:tc>
      </w:tr>
      <w:tr w:rsidR="0035187E" w:rsidRPr="0035187E" w14:paraId="6971F8B4"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DA08464" w14:textId="4DAA7524"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8.</w:t>
            </w:r>
          </w:p>
        </w:tc>
        <w:tc>
          <w:tcPr>
            <w:tcW w:w="583" w:type="pct"/>
            <w:tcBorders>
              <w:top w:val="single" w:sz="4" w:space="0" w:color="auto"/>
              <w:left w:val="single" w:sz="4" w:space="0" w:color="auto"/>
              <w:right w:val="single" w:sz="4" w:space="0" w:color="auto"/>
            </w:tcBorders>
            <w:shd w:val="clear" w:color="auto" w:fill="auto"/>
          </w:tcPr>
          <w:p w14:paraId="5203B7A9" w14:textId="1F5CBFC5"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Ministerstvo </w:t>
            </w:r>
            <w:proofErr w:type="gramStart"/>
            <w:r w:rsidRPr="0035187E">
              <w:rPr>
                <w:rFonts w:ascii="Times New Roman" w:hAnsi="Times New Roman" w:cs="Times New Roman"/>
                <w:sz w:val="20"/>
                <w:szCs w:val="20"/>
              </w:rPr>
              <w:t>školství‚ mládeže</w:t>
            </w:r>
            <w:proofErr w:type="gramEnd"/>
            <w:r w:rsidRPr="0035187E">
              <w:rPr>
                <w:rFonts w:ascii="Times New Roman" w:hAnsi="Times New Roman" w:cs="Times New Roman"/>
                <w:sz w:val="20"/>
                <w:szCs w:val="20"/>
              </w:rPr>
              <w:t xml:space="preserve"> a tělovýchovy</w:t>
            </w:r>
          </w:p>
        </w:tc>
        <w:tc>
          <w:tcPr>
            <w:tcW w:w="168" w:type="pct"/>
            <w:tcBorders>
              <w:top w:val="single" w:sz="4" w:space="0" w:color="auto"/>
              <w:left w:val="single" w:sz="4" w:space="0" w:color="auto"/>
              <w:right w:val="single" w:sz="4" w:space="0" w:color="auto"/>
            </w:tcBorders>
            <w:shd w:val="clear" w:color="auto" w:fill="auto"/>
          </w:tcPr>
          <w:p w14:paraId="73A9A53C" w14:textId="0AC7CE08"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24.</w:t>
            </w:r>
          </w:p>
        </w:tc>
        <w:tc>
          <w:tcPr>
            <w:tcW w:w="169" w:type="pct"/>
            <w:tcBorders>
              <w:top w:val="single" w:sz="4" w:space="0" w:color="auto"/>
              <w:left w:val="single" w:sz="4" w:space="0" w:color="auto"/>
              <w:right w:val="single" w:sz="4" w:space="0" w:color="auto"/>
            </w:tcBorders>
            <w:shd w:val="clear" w:color="auto" w:fill="auto"/>
          </w:tcPr>
          <w:p w14:paraId="4E34DCA4" w14:textId="2E37D03D"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D016481" w14:textId="5D122DD5" w:rsidR="00BE73FF" w:rsidRPr="0035187E" w:rsidRDefault="00BE73FF" w:rsidP="0035187E">
            <w:pPr>
              <w:widowControl w:val="0"/>
              <w:numPr>
                <w:ilvl w:val="0"/>
                <w:numId w:val="47"/>
              </w:numPr>
              <w:autoSpaceDE w:val="0"/>
              <w:autoSpaceDN w:val="0"/>
              <w:adjustRightInd w:val="0"/>
              <w:ind w:left="0" w:firstLine="0"/>
              <w:jc w:val="both"/>
              <w:rPr>
                <w:rFonts w:ascii="Times New Roman" w:hAnsi="Times New Roman" w:cs="Times New Roman"/>
                <w:sz w:val="20"/>
                <w:szCs w:val="20"/>
              </w:rPr>
            </w:pPr>
            <w:r w:rsidRPr="0035187E">
              <w:rPr>
                <w:rFonts w:ascii="Times New Roman" w:hAnsi="Times New Roman" w:cs="Times New Roman"/>
                <w:b/>
                <w:sz w:val="20"/>
                <w:szCs w:val="20"/>
              </w:rPr>
              <w:t>K § 6 odst. 9 písm. g) zákona o daních z příjmů:</w:t>
            </w:r>
            <w:r w:rsidRPr="0035187E">
              <w:rPr>
                <w:rFonts w:ascii="Times New Roman" w:hAnsi="Times New Roman" w:cs="Times New Roman"/>
                <w:bCs/>
                <w:sz w:val="20"/>
                <w:szCs w:val="20"/>
              </w:rPr>
              <w:t xml:space="preserve"> Doporučujeme zvážit, zda je nezbytné definovat spropitné, případně vhodnost navržené definice. Spropitné je definováno velmi úzce a nezahrne se do něj spropitné obvykle poskytované i při jiných příležitostech, např. spropitné kurýrovi při rozvozu jídla. Dále se zdá podmínka, že poskytování spropitného je za danou činnost „</w:t>
            </w:r>
            <w:r w:rsidRPr="0035187E">
              <w:rPr>
                <w:rFonts w:ascii="Times New Roman" w:hAnsi="Times New Roman" w:cs="Times New Roman"/>
                <w:bCs/>
                <w:i/>
                <w:iCs/>
                <w:sz w:val="20"/>
                <w:szCs w:val="20"/>
              </w:rPr>
              <w:t>obvyklé</w:t>
            </w:r>
            <w:r w:rsidRPr="0035187E">
              <w:rPr>
                <w:rFonts w:ascii="Times New Roman" w:hAnsi="Times New Roman" w:cs="Times New Roman"/>
                <w:bCs/>
                <w:sz w:val="20"/>
                <w:szCs w:val="20"/>
              </w:rPr>
              <w:t>", příliš neurčitá.</w:t>
            </w:r>
          </w:p>
        </w:tc>
        <w:tc>
          <w:tcPr>
            <w:tcW w:w="1453" w:type="pct"/>
            <w:tcBorders>
              <w:top w:val="single" w:sz="4" w:space="0" w:color="auto"/>
              <w:left w:val="single" w:sz="4" w:space="0" w:color="auto"/>
              <w:right w:val="single" w:sz="4" w:space="0" w:color="auto"/>
            </w:tcBorders>
            <w:shd w:val="clear" w:color="auto" w:fill="auto"/>
          </w:tcPr>
          <w:p w14:paraId="21E78A02" w14:textId="77777777" w:rsidR="00641217" w:rsidRPr="0035187E" w:rsidRDefault="00641217"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Nevyhověno.</w:t>
            </w:r>
          </w:p>
          <w:p w14:paraId="4AA62B45" w14:textId="77777777" w:rsidR="00641217" w:rsidRPr="0035187E" w:rsidRDefault="00641217" w:rsidP="0035187E">
            <w:pPr>
              <w:jc w:val="both"/>
              <w:rPr>
                <w:rFonts w:ascii="Times New Roman" w:hAnsi="Times New Roman" w:cs="Times New Roman"/>
                <w:sz w:val="20"/>
                <w:szCs w:val="20"/>
              </w:rPr>
            </w:pPr>
            <w:r w:rsidRPr="0035187E">
              <w:rPr>
                <w:rFonts w:ascii="Times New Roman" w:hAnsi="Times New Roman" w:cs="Times New Roman"/>
                <w:sz w:val="20"/>
                <w:szCs w:val="20"/>
              </w:rPr>
              <w:t>Navržené vymezení spropitného je záměrně koncipováno užším způsobem, a to s cílem cílit úpravu na oblast gastronomie, kde spropitné představuje významnou složku příjmů zaměstnanců. Tomu odpovídá i nastavení daňového režimu, který je navázán na zaměstnavatele, kdy při splnění stanovených podmínek je spropitné vyplácené zaměstnancům osvobozeno od daně do zákonem stanoveného limitu. Účelem je osvobodit spropitné v sektoru gastronomie, které obdrží zaměstnanci přicházející do přímého styku se zákazníky, jako jsou např. číšníci, barmani nebo kuchaři. Vymezení tohoto pojmu je zvoleno tak, aby se osvobození spropitného netýkalo dalších profesí v sektoru gastronomie, např. kurýři, u kterých nemá být poskytnuté spropitné osvobozeno od daně z příjmů.</w:t>
            </w:r>
          </w:p>
          <w:p w14:paraId="63D6C6EA" w14:textId="77777777" w:rsidR="00641217" w:rsidRPr="0035187E" w:rsidRDefault="00641217" w:rsidP="0035187E">
            <w:pPr>
              <w:jc w:val="both"/>
              <w:rPr>
                <w:rFonts w:ascii="Times New Roman" w:hAnsi="Times New Roman" w:cs="Times New Roman"/>
                <w:sz w:val="20"/>
                <w:szCs w:val="20"/>
              </w:rPr>
            </w:pPr>
            <w:r w:rsidRPr="0035187E">
              <w:rPr>
                <w:rFonts w:ascii="Times New Roman" w:hAnsi="Times New Roman" w:cs="Times New Roman"/>
                <w:sz w:val="20"/>
                <w:szCs w:val="20"/>
              </w:rPr>
              <w:t>Rozšíření definice i na jiné oblasti služeb nebylo shledáno účelným, neboť v těchto případech spropitné zpravidla nepředstavuje natolik významnou část příjmů, aby odůvodňovalo zavedení zvláštního daňového režimu. Navržené řešení tak reflektuje specifika jednotlivých odvětví a sleduje přiměřené a cílené nastavení daňové podpory.</w:t>
            </w:r>
          </w:p>
          <w:p w14:paraId="19799C68" w14:textId="79A7C249" w:rsidR="00BE73FF" w:rsidRPr="0035187E" w:rsidRDefault="00641217" w:rsidP="0035187E">
            <w:pPr>
              <w:jc w:val="both"/>
              <w:rPr>
                <w:rFonts w:ascii="Times New Roman" w:hAnsi="Times New Roman" w:cs="Times New Roman"/>
                <w:sz w:val="20"/>
                <w:szCs w:val="20"/>
              </w:rPr>
            </w:pPr>
            <w:r w:rsidRPr="0035187E">
              <w:rPr>
                <w:rFonts w:ascii="Times New Roman" w:hAnsi="Times New Roman" w:cs="Times New Roman"/>
                <w:sz w:val="20"/>
                <w:szCs w:val="20"/>
              </w:rPr>
              <w:t>K námitce neurčitosti pojmu „obvyklost“ uvádíme, že tento prvek plní důležitou roli při vymezení spropitného jako dobrovolného plnění. Směřuje k odlišení situací, kdy je spropitné poskytováno jako běžný projev ocenění služby, od případů, kdy by mohlo docházet k jeho faktické povinnosti či systematickému nahrazování mzdy.</w:t>
            </w:r>
          </w:p>
        </w:tc>
      </w:tr>
      <w:tr w:rsidR="0035187E" w:rsidRPr="0035187E" w14:paraId="5AC9BC48"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45EF0B3" w14:textId="4435AC4D"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8.</w:t>
            </w:r>
          </w:p>
        </w:tc>
        <w:tc>
          <w:tcPr>
            <w:tcW w:w="583" w:type="pct"/>
            <w:tcBorders>
              <w:top w:val="single" w:sz="4" w:space="0" w:color="auto"/>
              <w:left w:val="single" w:sz="4" w:space="0" w:color="auto"/>
              <w:right w:val="single" w:sz="4" w:space="0" w:color="auto"/>
            </w:tcBorders>
            <w:shd w:val="clear" w:color="auto" w:fill="auto"/>
          </w:tcPr>
          <w:p w14:paraId="5944DEAA" w14:textId="5A1FE79A"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Ministerstvo </w:t>
            </w:r>
            <w:proofErr w:type="gramStart"/>
            <w:r w:rsidRPr="0035187E">
              <w:rPr>
                <w:rFonts w:ascii="Times New Roman" w:hAnsi="Times New Roman" w:cs="Times New Roman"/>
                <w:sz w:val="20"/>
                <w:szCs w:val="20"/>
              </w:rPr>
              <w:t>školství‚ mládeže</w:t>
            </w:r>
            <w:proofErr w:type="gramEnd"/>
            <w:r w:rsidRPr="0035187E">
              <w:rPr>
                <w:rFonts w:ascii="Times New Roman" w:hAnsi="Times New Roman" w:cs="Times New Roman"/>
                <w:sz w:val="20"/>
                <w:szCs w:val="20"/>
              </w:rPr>
              <w:t xml:space="preserve"> a tělovýchovy</w:t>
            </w:r>
          </w:p>
        </w:tc>
        <w:tc>
          <w:tcPr>
            <w:tcW w:w="168" w:type="pct"/>
            <w:tcBorders>
              <w:top w:val="single" w:sz="4" w:space="0" w:color="auto"/>
              <w:left w:val="single" w:sz="4" w:space="0" w:color="auto"/>
              <w:right w:val="single" w:sz="4" w:space="0" w:color="auto"/>
            </w:tcBorders>
            <w:shd w:val="clear" w:color="auto" w:fill="auto"/>
          </w:tcPr>
          <w:p w14:paraId="421EFF37" w14:textId="0F357F40"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25.</w:t>
            </w:r>
          </w:p>
        </w:tc>
        <w:tc>
          <w:tcPr>
            <w:tcW w:w="169" w:type="pct"/>
            <w:tcBorders>
              <w:top w:val="single" w:sz="4" w:space="0" w:color="auto"/>
              <w:left w:val="single" w:sz="4" w:space="0" w:color="auto"/>
              <w:right w:val="single" w:sz="4" w:space="0" w:color="auto"/>
            </w:tcBorders>
            <w:shd w:val="clear" w:color="auto" w:fill="auto"/>
          </w:tcPr>
          <w:p w14:paraId="3A31CA8E" w14:textId="125F797E"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33480CE" w14:textId="220A0C24" w:rsidR="00BE73FF" w:rsidRPr="0035187E" w:rsidRDefault="00BE73FF" w:rsidP="0035187E">
            <w:pPr>
              <w:widowControl w:val="0"/>
              <w:numPr>
                <w:ilvl w:val="0"/>
                <w:numId w:val="47"/>
              </w:numPr>
              <w:autoSpaceDE w:val="0"/>
              <w:autoSpaceDN w:val="0"/>
              <w:adjustRightInd w:val="0"/>
              <w:ind w:left="0" w:firstLine="0"/>
              <w:jc w:val="both"/>
              <w:rPr>
                <w:rFonts w:ascii="Times New Roman" w:hAnsi="Times New Roman" w:cs="Times New Roman"/>
                <w:bCs/>
                <w:sz w:val="20"/>
                <w:szCs w:val="20"/>
              </w:rPr>
            </w:pPr>
            <w:r w:rsidRPr="0035187E">
              <w:rPr>
                <w:rFonts w:ascii="Times New Roman" w:hAnsi="Times New Roman" w:cs="Times New Roman"/>
                <w:b/>
                <w:sz w:val="20"/>
                <w:szCs w:val="20"/>
              </w:rPr>
              <w:t xml:space="preserve">K § 25 odst. 1 písm. h) zákona o daních z příjmů: </w:t>
            </w:r>
            <w:r w:rsidRPr="0035187E">
              <w:rPr>
                <w:rFonts w:ascii="Times New Roman" w:hAnsi="Times New Roman" w:cs="Times New Roman"/>
                <w:bCs/>
                <w:sz w:val="20"/>
                <w:szCs w:val="20"/>
              </w:rPr>
              <w:t>Doporučujeme ve slovech „</w:t>
            </w:r>
            <w:r w:rsidRPr="0035187E">
              <w:rPr>
                <w:rFonts w:ascii="Times New Roman" w:hAnsi="Times New Roman" w:cs="Times New Roman"/>
                <w:bCs/>
                <w:i/>
                <w:iCs/>
                <w:sz w:val="20"/>
                <w:szCs w:val="20"/>
              </w:rPr>
              <w:t>rekreace, nebo</w:t>
            </w:r>
            <w:r w:rsidRPr="0035187E">
              <w:rPr>
                <w:rFonts w:ascii="Times New Roman" w:hAnsi="Times New Roman" w:cs="Times New Roman"/>
                <w:bCs/>
                <w:sz w:val="20"/>
                <w:szCs w:val="20"/>
              </w:rPr>
              <w:t>" zrušit čárku. Podle našeho názoru nejde o vylučovací poměr.</w:t>
            </w:r>
          </w:p>
        </w:tc>
        <w:tc>
          <w:tcPr>
            <w:tcW w:w="1453" w:type="pct"/>
            <w:tcBorders>
              <w:top w:val="single" w:sz="4" w:space="0" w:color="auto"/>
              <w:left w:val="single" w:sz="4" w:space="0" w:color="auto"/>
              <w:right w:val="single" w:sz="4" w:space="0" w:color="auto"/>
            </w:tcBorders>
            <w:shd w:val="clear" w:color="auto" w:fill="auto"/>
          </w:tcPr>
          <w:p w14:paraId="10CCE2E4" w14:textId="77777777" w:rsidR="00641217" w:rsidRPr="0035187E" w:rsidRDefault="00641217"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Vyhověno.</w:t>
            </w:r>
          </w:p>
          <w:p w14:paraId="303E22CC" w14:textId="1F291215" w:rsidR="00BE73FF" w:rsidRPr="0035187E" w:rsidRDefault="00641217"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tc>
      </w:tr>
      <w:tr w:rsidR="0035187E" w:rsidRPr="0035187E" w14:paraId="25799477"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848FDA3" w14:textId="1504F2CA"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8.</w:t>
            </w:r>
          </w:p>
        </w:tc>
        <w:tc>
          <w:tcPr>
            <w:tcW w:w="583" w:type="pct"/>
            <w:tcBorders>
              <w:top w:val="single" w:sz="4" w:space="0" w:color="auto"/>
              <w:left w:val="single" w:sz="4" w:space="0" w:color="auto"/>
              <w:right w:val="single" w:sz="4" w:space="0" w:color="auto"/>
            </w:tcBorders>
            <w:shd w:val="clear" w:color="auto" w:fill="auto"/>
          </w:tcPr>
          <w:p w14:paraId="733703C5" w14:textId="79E2DBD0"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Ministerstvo </w:t>
            </w:r>
            <w:proofErr w:type="gramStart"/>
            <w:r w:rsidRPr="0035187E">
              <w:rPr>
                <w:rFonts w:ascii="Times New Roman" w:hAnsi="Times New Roman" w:cs="Times New Roman"/>
                <w:sz w:val="20"/>
                <w:szCs w:val="20"/>
              </w:rPr>
              <w:t>školství‚ mládeže</w:t>
            </w:r>
            <w:proofErr w:type="gramEnd"/>
            <w:r w:rsidRPr="0035187E">
              <w:rPr>
                <w:rFonts w:ascii="Times New Roman" w:hAnsi="Times New Roman" w:cs="Times New Roman"/>
                <w:sz w:val="20"/>
                <w:szCs w:val="20"/>
              </w:rPr>
              <w:t xml:space="preserve"> a tělovýchovy</w:t>
            </w:r>
          </w:p>
        </w:tc>
        <w:tc>
          <w:tcPr>
            <w:tcW w:w="168" w:type="pct"/>
            <w:tcBorders>
              <w:top w:val="single" w:sz="4" w:space="0" w:color="auto"/>
              <w:left w:val="single" w:sz="4" w:space="0" w:color="auto"/>
              <w:right w:val="single" w:sz="4" w:space="0" w:color="auto"/>
            </w:tcBorders>
            <w:shd w:val="clear" w:color="auto" w:fill="auto"/>
          </w:tcPr>
          <w:p w14:paraId="20988731" w14:textId="6DDEE03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26.</w:t>
            </w:r>
          </w:p>
        </w:tc>
        <w:tc>
          <w:tcPr>
            <w:tcW w:w="169" w:type="pct"/>
            <w:tcBorders>
              <w:top w:val="single" w:sz="4" w:space="0" w:color="auto"/>
              <w:left w:val="single" w:sz="4" w:space="0" w:color="auto"/>
              <w:right w:val="single" w:sz="4" w:space="0" w:color="auto"/>
            </w:tcBorders>
            <w:shd w:val="clear" w:color="auto" w:fill="auto"/>
          </w:tcPr>
          <w:p w14:paraId="16872890" w14:textId="1A4C8E3A"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A2BD3E8" w14:textId="750B649F" w:rsidR="00BE73FF" w:rsidRPr="0035187E" w:rsidRDefault="00BE73FF" w:rsidP="0035187E">
            <w:pPr>
              <w:widowControl w:val="0"/>
              <w:numPr>
                <w:ilvl w:val="0"/>
                <w:numId w:val="47"/>
              </w:numPr>
              <w:autoSpaceDE w:val="0"/>
              <w:autoSpaceDN w:val="0"/>
              <w:adjustRightInd w:val="0"/>
              <w:ind w:left="0" w:firstLine="0"/>
              <w:jc w:val="both"/>
              <w:rPr>
                <w:rFonts w:ascii="Times New Roman" w:hAnsi="Times New Roman" w:cs="Times New Roman"/>
                <w:sz w:val="20"/>
                <w:szCs w:val="20"/>
              </w:rPr>
            </w:pPr>
            <w:r w:rsidRPr="0035187E">
              <w:rPr>
                <w:rFonts w:ascii="Times New Roman" w:hAnsi="Times New Roman" w:cs="Times New Roman"/>
                <w:b/>
                <w:sz w:val="20"/>
                <w:szCs w:val="20"/>
              </w:rPr>
              <w:t>K § 35be odst. 1 zákona o daních z příjmů.:</w:t>
            </w:r>
            <w:r w:rsidRPr="0035187E">
              <w:rPr>
                <w:rFonts w:ascii="Times New Roman" w:hAnsi="Times New Roman" w:cs="Times New Roman"/>
                <w:bCs/>
                <w:sz w:val="20"/>
                <w:szCs w:val="20"/>
              </w:rPr>
              <w:t xml:space="preserve"> Doporučujeme v platném znění mezi slovy „</w:t>
            </w:r>
            <w:r w:rsidRPr="0035187E">
              <w:rPr>
                <w:rFonts w:ascii="Times New Roman" w:hAnsi="Times New Roman" w:cs="Times New Roman"/>
                <w:bCs/>
                <w:i/>
                <w:iCs/>
                <w:sz w:val="20"/>
                <w:szCs w:val="20"/>
              </w:rPr>
              <w:t>výše slevy</w:t>
            </w:r>
            <w:r w:rsidRPr="0035187E">
              <w:rPr>
                <w:rFonts w:ascii="Times New Roman" w:hAnsi="Times New Roman" w:cs="Times New Roman"/>
                <w:bCs/>
                <w:sz w:val="20"/>
                <w:szCs w:val="20"/>
              </w:rPr>
              <w:t>" zrušit přebytečné mezery.</w:t>
            </w:r>
          </w:p>
        </w:tc>
        <w:tc>
          <w:tcPr>
            <w:tcW w:w="1453" w:type="pct"/>
            <w:tcBorders>
              <w:top w:val="single" w:sz="4" w:space="0" w:color="auto"/>
              <w:left w:val="single" w:sz="4" w:space="0" w:color="auto"/>
              <w:right w:val="single" w:sz="4" w:space="0" w:color="auto"/>
            </w:tcBorders>
            <w:shd w:val="clear" w:color="auto" w:fill="auto"/>
          </w:tcPr>
          <w:p w14:paraId="03216282" w14:textId="77777777" w:rsidR="00641217" w:rsidRPr="0035187E" w:rsidRDefault="00641217"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Vyhověno.</w:t>
            </w:r>
          </w:p>
          <w:p w14:paraId="5E6D62F1" w14:textId="32CCCAE0" w:rsidR="00BE73FF" w:rsidRPr="0035187E" w:rsidRDefault="00641217"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tc>
      </w:tr>
      <w:tr w:rsidR="0035187E" w:rsidRPr="0035187E" w14:paraId="2C4C8854" w14:textId="77777777" w:rsidTr="0035187E">
        <w:trPr>
          <w:trHeight w:val="139"/>
        </w:trPr>
        <w:tc>
          <w:tcPr>
            <w:tcW w:w="227" w:type="pct"/>
            <w:tcBorders>
              <w:top w:val="single" w:sz="4" w:space="0" w:color="auto"/>
              <w:left w:val="single" w:sz="4" w:space="0" w:color="auto"/>
              <w:right w:val="single" w:sz="4" w:space="0" w:color="auto"/>
            </w:tcBorders>
            <w:shd w:val="clear" w:color="auto" w:fill="auto"/>
          </w:tcPr>
          <w:p w14:paraId="444155B3" w14:textId="0F17AFC1"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8.</w:t>
            </w:r>
          </w:p>
        </w:tc>
        <w:tc>
          <w:tcPr>
            <w:tcW w:w="583" w:type="pct"/>
            <w:tcBorders>
              <w:top w:val="single" w:sz="4" w:space="0" w:color="auto"/>
              <w:left w:val="single" w:sz="4" w:space="0" w:color="auto"/>
              <w:right w:val="single" w:sz="4" w:space="0" w:color="auto"/>
            </w:tcBorders>
            <w:shd w:val="clear" w:color="auto" w:fill="auto"/>
          </w:tcPr>
          <w:p w14:paraId="19817DE9" w14:textId="1ABE35E3"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Ministerstvo </w:t>
            </w:r>
            <w:proofErr w:type="gramStart"/>
            <w:r w:rsidRPr="0035187E">
              <w:rPr>
                <w:rFonts w:ascii="Times New Roman" w:hAnsi="Times New Roman" w:cs="Times New Roman"/>
                <w:sz w:val="20"/>
                <w:szCs w:val="20"/>
              </w:rPr>
              <w:t>školství‚ mládeže</w:t>
            </w:r>
            <w:proofErr w:type="gramEnd"/>
            <w:r w:rsidRPr="0035187E">
              <w:rPr>
                <w:rFonts w:ascii="Times New Roman" w:hAnsi="Times New Roman" w:cs="Times New Roman"/>
                <w:sz w:val="20"/>
                <w:szCs w:val="20"/>
              </w:rPr>
              <w:t xml:space="preserve"> a tělovýchovy</w:t>
            </w:r>
          </w:p>
        </w:tc>
        <w:tc>
          <w:tcPr>
            <w:tcW w:w="168" w:type="pct"/>
            <w:tcBorders>
              <w:top w:val="single" w:sz="4" w:space="0" w:color="auto"/>
              <w:left w:val="single" w:sz="4" w:space="0" w:color="auto"/>
              <w:right w:val="single" w:sz="4" w:space="0" w:color="auto"/>
            </w:tcBorders>
            <w:shd w:val="clear" w:color="auto" w:fill="auto"/>
          </w:tcPr>
          <w:p w14:paraId="17C80ADF" w14:textId="680C231C"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27.</w:t>
            </w:r>
          </w:p>
        </w:tc>
        <w:tc>
          <w:tcPr>
            <w:tcW w:w="169" w:type="pct"/>
            <w:tcBorders>
              <w:top w:val="single" w:sz="4" w:space="0" w:color="auto"/>
              <w:left w:val="single" w:sz="4" w:space="0" w:color="auto"/>
              <w:right w:val="single" w:sz="4" w:space="0" w:color="auto"/>
            </w:tcBorders>
            <w:shd w:val="clear" w:color="auto" w:fill="auto"/>
          </w:tcPr>
          <w:p w14:paraId="7055BB77" w14:textId="34ABCAE1"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405B5C0" w14:textId="06592646" w:rsidR="00BE73FF" w:rsidRPr="0035187E" w:rsidRDefault="00BE73FF" w:rsidP="0035187E">
            <w:pPr>
              <w:widowControl w:val="0"/>
              <w:numPr>
                <w:ilvl w:val="0"/>
                <w:numId w:val="47"/>
              </w:numPr>
              <w:autoSpaceDE w:val="0"/>
              <w:autoSpaceDN w:val="0"/>
              <w:adjustRightInd w:val="0"/>
              <w:ind w:left="0" w:firstLine="0"/>
              <w:jc w:val="both"/>
              <w:rPr>
                <w:rFonts w:ascii="Times New Roman" w:hAnsi="Times New Roman" w:cs="Times New Roman"/>
                <w:bCs/>
                <w:sz w:val="20"/>
                <w:szCs w:val="20"/>
              </w:rPr>
            </w:pPr>
            <w:r w:rsidRPr="0035187E">
              <w:rPr>
                <w:rFonts w:ascii="Times New Roman" w:hAnsi="Times New Roman" w:cs="Times New Roman"/>
                <w:b/>
                <w:sz w:val="20"/>
                <w:szCs w:val="20"/>
              </w:rPr>
              <w:t>K § 35be odst. 2 zákona o daních z příjmů:</w:t>
            </w:r>
            <w:r w:rsidRPr="0035187E">
              <w:rPr>
                <w:rFonts w:ascii="Times New Roman" w:hAnsi="Times New Roman" w:cs="Times New Roman"/>
                <w:bCs/>
                <w:sz w:val="20"/>
                <w:szCs w:val="20"/>
              </w:rPr>
              <w:t xml:space="preserve"> Doporučujeme toto ustanovení přesunout do přechodných ustanovení, kam správně patří.</w:t>
            </w:r>
          </w:p>
        </w:tc>
        <w:tc>
          <w:tcPr>
            <w:tcW w:w="1453" w:type="pct"/>
            <w:tcBorders>
              <w:top w:val="single" w:sz="4" w:space="0" w:color="auto"/>
              <w:left w:val="single" w:sz="4" w:space="0" w:color="auto"/>
              <w:right w:val="single" w:sz="4" w:space="0" w:color="auto"/>
            </w:tcBorders>
            <w:shd w:val="clear" w:color="auto" w:fill="auto"/>
          </w:tcPr>
          <w:p w14:paraId="0306B41A" w14:textId="77777777" w:rsidR="00641217" w:rsidRPr="0035187E" w:rsidRDefault="00641217"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Nevyhověno.</w:t>
            </w:r>
          </w:p>
          <w:p w14:paraId="0A1A416C" w14:textId="3337F2A8" w:rsidR="00BE73FF" w:rsidRPr="0035187E" w:rsidRDefault="00641217"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Nejedná se o přechodné ustanovení. Smyslem přechodného ustanovení je upravit vztah nové právní úpravy k dosavadní právní úpravě, resp. právní vztahy vzniklé na základě dosavadní právní úpravy. Ačkoliv se navržené ustanovení může jevit jako </w:t>
            </w:r>
            <w:r w:rsidRPr="0035187E">
              <w:rPr>
                <w:rFonts w:ascii="Times New Roman" w:hAnsi="Times New Roman" w:cs="Times New Roman"/>
                <w:sz w:val="20"/>
                <w:szCs w:val="20"/>
              </w:rPr>
              <w:lastRenderedPageBreak/>
              <w:t>přechodné ustanovení, jeho účel je odlišný – pomocí specifikace zdaňovacího období, ve kterém lze slevu na evidenci tržeb uplatnit poprvé, se vymezuje jedna z podmínek uplatnění této slevy. Slevu na evidenci tržeb může uplatnit poplatník, který skutečně zaevidoval tržbu podle navrhovaného zákona o evidenci tržeb, avšak tuto slevu může uplatnit pouze jednou, a to ve zdaňovacím období, ve kterém tak učinil vůbec poprvé. Vzhledem k tomu, že povinnost evidence tržeb již v minulosti existovala, absence vymezení zdaňovacího období jakožto jedné z podmínek uplatnění slevy by z této slevy fakticky vyloučila všechny poplatníky, kteří povinnost evidence tržeb splnili již v minulosti podle zákona č. 112/2016 Sb., což není záměrem. Slevu na evidenci tržeb naopak musí být umožněno uplatnit všem poplatníkům, kteří povinnost evidence tržeb splní podle nově navrhovaného zákona o evidenci tržeb, a to bez ohledu na to, zda tržby evidovaly již v minulosti. Ustanovení navíc není jednorázové, protože daná podmínka bude relevantní i pro poplatníky, kteří začnou evidovat tržby až po několika letech od nabytí účinností navrhovaného zákona.</w:t>
            </w:r>
          </w:p>
        </w:tc>
      </w:tr>
      <w:tr w:rsidR="0035187E" w:rsidRPr="0035187E" w14:paraId="53FC8F70"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F16CBEB" w14:textId="0E2616D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8.</w:t>
            </w:r>
          </w:p>
        </w:tc>
        <w:tc>
          <w:tcPr>
            <w:tcW w:w="583" w:type="pct"/>
            <w:tcBorders>
              <w:top w:val="single" w:sz="4" w:space="0" w:color="auto"/>
              <w:left w:val="single" w:sz="4" w:space="0" w:color="auto"/>
              <w:right w:val="single" w:sz="4" w:space="0" w:color="auto"/>
            </w:tcBorders>
            <w:shd w:val="clear" w:color="auto" w:fill="auto"/>
          </w:tcPr>
          <w:p w14:paraId="7899C232" w14:textId="6646F39F"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Ministerstvo </w:t>
            </w:r>
            <w:proofErr w:type="gramStart"/>
            <w:r w:rsidRPr="0035187E">
              <w:rPr>
                <w:rFonts w:ascii="Times New Roman" w:hAnsi="Times New Roman" w:cs="Times New Roman"/>
                <w:sz w:val="20"/>
                <w:szCs w:val="20"/>
              </w:rPr>
              <w:t>školství‚ mládeže</w:t>
            </w:r>
            <w:proofErr w:type="gramEnd"/>
            <w:r w:rsidRPr="0035187E">
              <w:rPr>
                <w:rFonts w:ascii="Times New Roman" w:hAnsi="Times New Roman" w:cs="Times New Roman"/>
                <w:sz w:val="20"/>
                <w:szCs w:val="20"/>
              </w:rPr>
              <w:t xml:space="preserve"> a tělovýchovy</w:t>
            </w:r>
          </w:p>
        </w:tc>
        <w:tc>
          <w:tcPr>
            <w:tcW w:w="168" w:type="pct"/>
            <w:tcBorders>
              <w:top w:val="single" w:sz="4" w:space="0" w:color="auto"/>
              <w:left w:val="single" w:sz="4" w:space="0" w:color="auto"/>
              <w:right w:val="single" w:sz="4" w:space="0" w:color="auto"/>
            </w:tcBorders>
            <w:shd w:val="clear" w:color="auto" w:fill="auto"/>
          </w:tcPr>
          <w:p w14:paraId="3DBBF179" w14:textId="47A847F3"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28.</w:t>
            </w:r>
          </w:p>
        </w:tc>
        <w:tc>
          <w:tcPr>
            <w:tcW w:w="169" w:type="pct"/>
            <w:tcBorders>
              <w:top w:val="single" w:sz="4" w:space="0" w:color="auto"/>
              <w:left w:val="single" w:sz="4" w:space="0" w:color="auto"/>
              <w:right w:val="single" w:sz="4" w:space="0" w:color="auto"/>
            </w:tcBorders>
            <w:shd w:val="clear" w:color="auto" w:fill="auto"/>
          </w:tcPr>
          <w:p w14:paraId="6E2B8BCA" w14:textId="1DDD0EE5"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79EC69C" w14:textId="7A1D359A" w:rsidR="00BE73FF" w:rsidRPr="0035187E" w:rsidRDefault="00BE73FF" w:rsidP="0035187E">
            <w:pPr>
              <w:widowControl w:val="0"/>
              <w:numPr>
                <w:ilvl w:val="0"/>
                <w:numId w:val="47"/>
              </w:numPr>
              <w:autoSpaceDE w:val="0"/>
              <w:autoSpaceDN w:val="0"/>
              <w:adjustRightInd w:val="0"/>
              <w:ind w:left="0" w:firstLine="0"/>
              <w:jc w:val="both"/>
              <w:rPr>
                <w:rFonts w:ascii="Times New Roman" w:hAnsi="Times New Roman" w:cs="Times New Roman"/>
                <w:sz w:val="20"/>
                <w:szCs w:val="20"/>
              </w:rPr>
            </w:pPr>
            <w:r w:rsidRPr="0035187E">
              <w:rPr>
                <w:rFonts w:ascii="Times New Roman" w:hAnsi="Times New Roman" w:cs="Times New Roman"/>
                <w:b/>
                <w:sz w:val="20"/>
                <w:szCs w:val="20"/>
              </w:rPr>
              <w:t>K § 38l odst. 2 písm. g) bod 1 zákona o daních z příjmu:</w:t>
            </w:r>
            <w:r w:rsidRPr="0035187E">
              <w:rPr>
                <w:rFonts w:ascii="Times New Roman" w:hAnsi="Times New Roman" w:cs="Times New Roman"/>
                <w:bCs/>
                <w:sz w:val="20"/>
                <w:szCs w:val="20"/>
              </w:rPr>
              <w:t xml:space="preserve"> Doporučujeme slova „</w:t>
            </w:r>
            <w:r w:rsidRPr="0035187E">
              <w:rPr>
                <w:rFonts w:ascii="Times New Roman" w:hAnsi="Times New Roman" w:cs="Times New Roman"/>
                <w:bCs/>
                <w:i/>
                <w:iCs/>
                <w:sz w:val="20"/>
                <w:szCs w:val="20"/>
              </w:rPr>
              <w:t>školského rejstříku</w:t>
            </w:r>
            <w:r w:rsidRPr="0035187E">
              <w:rPr>
                <w:rFonts w:ascii="Times New Roman" w:hAnsi="Times New Roman" w:cs="Times New Roman"/>
                <w:bCs/>
                <w:sz w:val="20"/>
                <w:szCs w:val="20"/>
              </w:rPr>
              <w:t>" nahradit slovy „</w:t>
            </w:r>
            <w:r w:rsidRPr="0035187E">
              <w:rPr>
                <w:rFonts w:ascii="Times New Roman" w:hAnsi="Times New Roman" w:cs="Times New Roman"/>
                <w:bCs/>
                <w:i/>
                <w:iCs/>
                <w:sz w:val="20"/>
                <w:szCs w:val="20"/>
              </w:rPr>
              <w:t>rejstříku škol a školských zařízení</w:t>
            </w:r>
            <w:r w:rsidRPr="0035187E">
              <w:rPr>
                <w:rFonts w:ascii="Times New Roman" w:hAnsi="Times New Roman" w:cs="Times New Roman"/>
                <w:bCs/>
                <w:sz w:val="20"/>
                <w:szCs w:val="20"/>
              </w:rPr>
              <w:t xml:space="preserve">". Jde o upřesnění terminologie, protože školský rejstřík je nadřazený pojem a zahrnuje i rejstřík školských právnických </w:t>
            </w:r>
            <w:proofErr w:type="gramStart"/>
            <w:r w:rsidRPr="0035187E">
              <w:rPr>
                <w:rFonts w:ascii="Times New Roman" w:hAnsi="Times New Roman" w:cs="Times New Roman"/>
                <w:bCs/>
                <w:sz w:val="20"/>
                <w:szCs w:val="20"/>
              </w:rPr>
              <w:t>osob - toho</w:t>
            </w:r>
            <w:proofErr w:type="gramEnd"/>
            <w:r w:rsidRPr="0035187E">
              <w:rPr>
                <w:rFonts w:ascii="Times New Roman" w:hAnsi="Times New Roman" w:cs="Times New Roman"/>
                <w:bCs/>
                <w:sz w:val="20"/>
                <w:szCs w:val="20"/>
              </w:rPr>
              <w:t xml:space="preserve"> se však ustanovení netýká.</w:t>
            </w:r>
          </w:p>
        </w:tc>
        <w:tc>
          <w:tcPr>
            <w:tcW w:w="1453" w:type="pct"/>
            <w:tcBorders>
              <w:top w:val="single" w:sz="4" w:space="0" w:color="auto"/>
              <w:left w:val="single" w:sz="4" w:space="0" w:color="auto"/>
              <w:right w:val="single" w:sz="4" w:space="0" w:color="auto"/>
            </w:tcBorders>
            <w:shd w:val="clear" w:color="auto" w:fill="auto"/>
          </w:tcPr>
          <w:p w14:paraId="7316D46A" w14:textId="77777777" w:rsidR="00641217" w:rsidRPr="0035187E" w:rsidRDefault="00641217"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Nevyhověno.</w:t>
            </w:r>
          </w:p>
          <w:p w14:paraId="4DDFE80F" w14:textId="77777777" w:rsidR="00641217" w:rsidRPr="0035187E" w:rsidRDefault="00641217"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Školský rejstřík je veřejným seznamem, který obsahuje rejstřík škol a školských zařízení a rejstřík školských právnických osob. </w:t>
            </w:r>
          </w:p>
          <w:p w14:paraId="41361CD3" w14:textId="09B3ADF7" w:rsidR="00BE73FF" w:rsidRPr="0035187E" w:rsidRDefault="00641217" w:rsidP="0035187E">
            <w:pPr>
              <w:jc w:val="both"/>
              <w:rPr>
                <w:rFonts w:ascii="Times New Roman" w:hAnsi="Times New Roman" w:cs="Times New Roman"/>
                <w:sz w:val="20"/>
                <w:szCs w:val="20"/>
              </w:rPr>
            </w:pPr>
            <w:r w:rsidRPr="0035187E">
              <w:rPr>
                <w:rFonts w:ascii="Times New Roman" w:hAnsi="Times New Roman" w:cs="Times New Roman"/>
                <w:sz w:val="20"/>
                <w:szCs w:val="20"/>
              </w:rPr>
              <w:t>Předmětem tohoto ustanovení je předepsat důkazní prostředek k prokázání nároku na slevu na dani podle § 35bd zákona o daních z příjmů. Vzhledem k definici předškolního zařízení v § 35bd odst. 6 zákona o daních z příjmů je použití pojmu „školský rejstřík“ odpovídající, protože mateřská škola může být i školskou právnickou osobou.</w:t>
            </w:r>
          </w:p>
        </w:tc>
      </w:tr>
      <w:tr w:rsidR="0035187E" w:rsidRPr="0035187E" w14:paraId="40840EA1"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B178BCA" w14:textId="4AFCF979"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8.</w:t>
            </w:r>
          </w:p>
        </w:tc>
        <w:tc>
          <w:tcPr>
            <w:tcW w:w="583" w:type="pct"/>
            <w:tcBorders>
              <w:top w:val="single" w:sz="4" w:space="0" w:color="auto"/>
              <w:left w:val="single" w:sz="4" w:space="0" w:color="auto"/>
              <w:right w:val="single" w:sz="4" w:space="0" w:color="auto"/>
            </w:tcBorders>
            <w:shd w:val="clear" w:color="auto" w:fill="auto"/>
          </w:tcPr>
          <w:p w14:paraId="715A7E86" w14:textId="65FB6135"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Ministerstvo </w:t>
            </w:r>
            <w:proofErr w:type="gramStart"/>
            <w:r w:rsidRPr="0035187E">
              <w:rPr>
                <w:rFonts w:ascii="Times New Roman" w:hAnsi="Times New Roman" w:cs="Times New Roman"/>
                <w:sz w:val="20"/>
                <w:szCs w:val="20"/>
              </w:rPr>
              <w:t>školství‚ mládeže</w:t>
            </w:r>
            <w:proofErr w:type="gramEnd"/>
            <w:r w:rsidRPr="0035187E">
              <w:rPr>
                <w:rFonts w:ascii="Times New Roman" w:hAnsi="Times New Roman" w:cs="Times New Roman"/>
                <w:sz w:val="20"/>
                <w:szCs w:val="20"/>
              </w:rPr>
              <w:t xml:space="preserve"> a tělovýchovy</w:t>
            </w:r>
          </w:p>
        </w:tc>
        <w:tc>
          <w:tcPr>
            <w:tcW w:w="168" w:type="pct"/>
            <w:tcBorders>
              <w:top w:val="single" w:sz="4" w:space="0" w:color="auto"/>
              <w:left w:val="single" w:sz="4" w:space="0" w:color="auto"/>
              <w:right w:val="single" w:sz="4" w:space="0" w:color="auto"/>
            </w:tcBorders>
            <w:shd w:val="clear" w:color="auto" w:fill="auto"/>
          </w:tcPr>
          <w:p w14:paraId="37B4D916" w14:textId="73230693"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29.</w:t>
            </w:r>
          </w:p>
        </w:tc>
        <w:tc>
          <w:tcPr>
            <w:tcW w:w="169" w:type="pct"/>
            <w:tcBorders>
              <w:top w:val="single" w:sz="4" w:space="0" w:color="auto"/>
              <w:left w:val="single" w:sz="4" w:space="0" w:color="auto"/>
              <w:right w:val="single" w:sz="4" w:space="0" w:color="auto"/>
            </w:tcBorders>
            <w:shd w:val="clear" w:color="auto" w:fill="auto"/>
          </w:tcPr>
          <w:p w14:paraId="2FF8E4F4" w14:textId="21C03216"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A7434D0" w14:textId="5A46AB50" w:rsidR="00BE73FF" w:rsidRPr="0035187E" w:rsidRDefault="00BE73FF" w:rsidP="0035187E">
            <w:pPr>
              <w:widowControl w:val="0"/>
              <w:numPr>
                <w:ilvl w:val="0"/>
                <w:numId w:val="47"/>
              </w:numPr>
              <w:autoSpaceDE w:val="0"/>
              <w:autoSpaceDN w:val="0"/>
              <w:adjustRightInd w:val="0"/>
              <w:ind w:left="0" w:firstLine="0"/>
              <w:jc w:val="both"/>
              <w:rPr>
                <w:rFonts w:ascii="Times New Roman" w:hAnsi="Times New Roman" w:cs="Times New Roman"/>
                <w:sz w:val="20"/>
                <w:szCs w:val="20"/>
              </w:rPr>
            </w:pPr>
            <w:r w:rsidRPr="0035187E">
              <w:rPr>
                <w:rFonts w:ascii="Times New Roman" w:hAnsi="Times New Roman" w:cs="Times New Roman"/>
                <w:b/>
                <w:sz w:val="20"/>
                <w:szCs w:val="20"/>
              </w:rPr>
              <w:t>K části třetí (Změna zákona o dani z přidané hodnoty):</w:t>
            </w:r>
            <w:r w:rsidRPr="0035187E">
              <w:rPr>
                <w:rFonts w:ascii="Times New Roman" w:hAnsi="Times New Roman" w:cs="Times New Roman"/>
                <w:bCs/>
                <w:sz w:val="20"/>
                <w:szCs w:val="20"/>
              </w:rPr>
              <w:t xml:space="preserve"> V bodě 5 se zrušuje odstavec 9 v § 46 ZDPH, který stanoví, že věřitel opraví základ daně u pohledávky podle § 46 odst. 1 písm. i) „</w:t>
            </w:r>
            <w:r w:rsidRPr="0035187E">
              <w:rPr>
                <w:rFonts w:ascii="Times New Roman" w:hAnsi="Times New Roman" w:cs="Times New Roman"/>
                <w:bCs/>
                <w:i/>
                <w:iCs/>
                <w:sz w:val="20"/>
                <w:szCs w:val="20"/>
              </w:rPr>
              <w:t>v posledním zdaňovacím období kalendářního roku …</w:t>
            </w:r>
            <w:r w:rsidRPr="0035187E">
              <w:rPr>
                <w:rFonts w:ascii="Times New Roman" w:hAnsi="Times New Roman" w:cs="Times New Roman"/>
                <w:bCs/>
                <w:sz w:val="20"/>
                <w:szCs w:val="20"/>
              </w:rPr>
              <w:t>“. Daný odstavec se zrušuje bez náhrady, může tak vzniknout nejistota, v jakém období se oprava u „</w:t>
            </w:r>
            <w:r w:rsidRPr="0035187E">
              <w:rPr>
                <w:rFonts w:ascii="Times New Roman" w:hAnsi="Times New Roman" w:cs="Times New Roman"/>
                <w:bCs/>
                <w:i/>
                <w:iCs/>
                <w:sz w:val="20"/>
                <w:szCs w:val="20"/>
              </w:rPr>
              <w:t>malých</w:t>
            </w:r>
            <w:r w:rsidRPr="0035187E">
              <w:rPr>
                <w:rFonts w:ascii="Times New Roman" w:hAnsi="Times New Roman" w:cs="Times New Roman"/>
                <w:bCs/>
                <w:sz w:val="20"/>
                <w:szCs w:val="20"/>
              </w:rPr>
              <w:t>“ nedobytných pohledávek provádí.</w:t>
            </w:r>
          </w:p>
        </w:tc>
        <w:tc>
          <w:tcPr>
            <w:tcW w:w="1453" w:type="pct"/>
            <w:tcBorders>
              <w:top w:val="single" w:sz="4" w:space="0" w:color="auto"/>
              <w:left w:val="single" w:sz="4" w:space="0" w:color="auto"/>
              <w:right w:val="single" w:sz="4" w:space="0" w:color="auto"/>
            </w:tcBorders>
            <w:shd w:val="clear" w:color="auto" w:fill="auto"/>
          </w:tcPr>
          <w:p w14:paraId="7BC059A0" w14:textId="77777777" w:rsidR="00BE73FF" w:rsidRPr="0035187E" w:rsidRDefault="00C610D7"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Vysvětleno.</w:t>
            </w:r>
          </w:p>
          <w:p w14:paraId="571AF70A" w14:textId="2B047188" w:rsidR="00C610D7" w:rsidRPr="0035187E" w:rsidRDefault="00C610D7"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Lhůty pro podávání daňových přiznání jsou upraveny v zákoně č. 280/2009 Sb., daňový řád, ve znění pozdějších předpisů (např. § 136). Tato lhůta byla lhůtou speciální k obecným lhůtám upraveným v daňovém řádu. Navíc tato lhůta se týkala pouze jednoho z titulů, u nichž je možné opravit nedobytnou pohledávku, v případě ostatních titulů se vycházelo z </w:t>
            </w:r>
            <w:r w:rsidRPr="0035187E">
              <w:rPr>
                <w:rFonts w:ascii="Times New Roman" w:hAnsi="Times New Roman" w:cs="Times New Roman"/>
                <w:sz w:val="20"/>
                <w:szCs w:val="20"/>
              </w:rPr>
              <w:lastRenderedPageBreak/>
              <w:t>obecné úpravy daňového řádu. Nejistota tak nevznikne.</w:t>
            </w:r>
          </w:p>
        </w:tc>
      </w:tr>
      <w:tr w:rsidR="0035187E" w:rsidRPr="0035187E" w14:paraId="557A4C2F"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B6ED9A0" w14:textId="01E47B74"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9.</w:t>
            </w:r>
          </w:p>
        </w:tc>
        <w:tc>
          <w:tcPr>
            <w:tcW w:w="583" w:type="pct"/>
            <w:tcBorders>
              <w:top w:val="single" w:sz="4" w:space="0" w:color="auto"/>
              <w:left w:val="single" w:sz="4" w:space="0" w:color="auto"/>
              <w:right w:val="single" w:sz="4" w:space="0" w:color="auto"/>
            </w:tcBorders>
            <w:shd w:val="clear" w:color="auto" w:fill="auto"/>
          </w:tcPr>
          <w:p w14:paraId="269F9556" w14:textId="3B6F334D"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vnitra</w:t>
            </w:r>
          </w:p>
        </w:tc>
        <w:tc>
          <w:tcPr>
            <w:tcW w:w="168" w:type="pct"/>
            <w:tcBorders>
              <w:top w:val="single" w:sz="4" w:space="0" w:color="auto"/>
              <w:left w:val="single" w:sz="4" w:space="0" w:color="auto"/>
              <w:right w:val="single" w:sz="4" w:space="0" w:color="auto"/>
            </w:tcBorders>
            <w:shd w:val="clear" w:color="auto" w:fill="auto"/>
          </w:tcPr>
          <w:p w14:paraId="5330BF49" w14:textId="74D9871D"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10273275" w14:textId="582157AC"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F2D6A42"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b/>
                <w:sz w:val="20"/>
                <w:szCs w:val="20"/>
                <w:u w:val="single"/>
              </w:rPr>
            </w:pPr>
            <w:r w:rsidRPr="0035187E">
              <w:rPr>
                <w:rFonts w:ascii="Times New Roman" w:hAnsi="Times New Roman" w:cs="Times New Roman"/>
                <w:b/>
                <w:sz w:val="20"/>
                <w:szCs w:val="20"/>
                <w:u w:val="single"/>
              </w:rPr>
              <w:t>Zásadní připomínky:</w:t>
            </w:r>
            <w:r w:rsidRPr="0035187E">
              <w:rPr>
                <w:rFonts w:ascii="Times New Roman" w:hAnsi="Times New Roman" w:cs="Times New Roman"/>
                <w:b/>
                <w:sz w:val="20"/>
                <w:szCs w:val="20"/>
              </w:rPr>
              <w:t xml:space="preserve"> </w:t>
            </w:r>
          </w:p>
          <w:p w14:paraId="6C523FE3"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b/>
                <w:sz w:val="20"/>
                <w:szCs w:val="20"/>
              </w:rPr>
            </w:pPr>
          </w:p>
          <w:p w14:paraId="2A69E678"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b/>
                <w:sz w:val="20"/>
                <w:szCs w:val="20"/>
              </w:rPr>
            </w:pPr>
            <w:r w:rsidRPr="0035187E">
              <w:rPr>
                <w:rFonts w:ascii="Times New Roman" w:hAnsi="Times New Roman" w:cs="Times New Roman"/>
                <w:b/>
                <w:sz w:val="20"/>
                <w:szCs w:val="20"/>
              </w:rPr>
              <w:t>K § 4:</w:t>
            </w:r>
          </w:p>
          <w:p w14:paraId="3BBB5EF0"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bCs/>
                <w:sz w:val="20"/>
                <w:szCs w:val="20"/>
              </w:rPr>
            </w:pPr>
            <w:r w:rsidRPr="0035187E">
              <w:rPr>
                <w:rFonts w:ascii="Times New Roman" w:hAnsi="Times New Roman" w:cs="Times New Roman"/>
                <w:b/>
                <w:sz w:val="20"/>
                <w:szCs w:val="20"/>
              </w:rPr>
              <w:tab/>
            </w:r>
            <w:r w:rsidRPr="0035187E">
              <w:rPr>
                <w:rFonts w:ascii="Times New Roman" w:hAnsi="Times New Roman" w:cs="Times New Roman"/>
                <w:bCs/>
                <w:sz w:val="20"/>
                <w:szCs w:val="20"/>
              </w:rPr>
              <w:t>Pro účely evidence tržeb se vymezuje pojem „</w:t>
            </w:r>
            <w:r w:rsidRPr="0035187E">
              <w:rPr>
                <w:rFonts w:ascii="Times New Roman" w:hAnsi="Times New Roman" w:cs="Times New Roman"/>
                <w:bCs/>
                <w:i/>
                <w:iCs/>
                <w:sz w:val="20"/>
                <w:szCs w:val="20"/>
              </w:rPr>
              <w:t>evidenční jednotka</w:t>
            </w:r>
            <w:r w:rsidRPr="0035187E">
              <w:rPr>
                <w:rFonts w:ascii="Times New Roman" w:hAnsi="Times New Roman" w:cs="Times New Roman"/>
                <w:bCs/>
                <w:sz w:val="20"/>
                <w:szCs w:val="20"/>
              </w:rPr>
              <w:t>“. Opouští se tedy pojem „</w:t>
            </w:r>
            <w:r w:rsidRPr="0035187E">
              <w:rPr>
                <w:rFonts w:ascii="Times New Roman" w:hAnsi="Times New Roman" w:cs="Times New Roman"/>
                <w:bCs/>
                <w:i/>
                <w:iCs/>
                <w:sz w:val="20"/>
                <w:szCs w:val="20"/>
              </w:rPr>
              <w:t>provozovna</w:t>
            </w:r>
            <w:r w:rsidRPr="0035187E">
              <w:rPr>
                <w:rFonts w:ascii="Times New Roman" w:hAnsi="Times New Roman" w:cs="Times New Roman"/>
                <w:bCs/>
                <w:sz w:val="20"/>
                <w:szCs w:val="20"/>
              </w:rPr>
              <w:t>“, který nevyhovoval aktuálním trendům a neobsáhnul online podnikání. Avšak i nově navržená konstrukce může dle našeho názoru způsobit výkladové a aplikační problémy. Především se jedná o neurčité pojmy „</w:t>
            </w:r>
            <w:r w:rsidRPr="0035187E">
              <w:rPr>
                <w:rFonts w:ascii="Times New Roman" w:hAnsi="Times New Roman" w:cs="Times New Roman"/>
                <w:bCs/>
                <w:i/>
                <w:iCs/>
                <w:sz w:val="20"/>
                <w:szCs w:val="20"/>
              </w:rPr>
              <w:t>obdoba provozovny</w:t>
            </w:r>
            <w:r w:rsidRPr="0035187E">
              <w:rPr>
                <w:rFonts w:ascii="Times New Roman" w:hAnsi="Times New Roman" w:cs="Times New Roman"/>
                <w:bCs/>
                <w:sz w:val="20"/>
                <w:szCs w:val="20"/>
              </w:rPr>
              <w:t>“ (i termín „</w:t>
            </w:r>
            <w:r w:rsidRPr="0035187E">
              <w:rPr>
                <w:rFonts w:ascii="Times New Roman" w:hAnsi="Times New Roman" w:cs="Times New Roman"/>
                <w:bCs/>
                <w:i/>
                <w:iCs/>
                <w:sz w:val="20"/>
                <w:szCs w:val="20"/>
              </w:rPr>
              <w:t>provozovna</w:t>
            </w:r>
            <w:r w:rsidRPr="0035187E">
              <w:rPr>
                <w:rFonts w:ascii="Times New Roman" w:hAnsi="Times New Roman" w:cs="Times New Roman"/>
                <w:bCs/>
                <w:sz w:val="20"/>
                <w:szCs w:val="20"/>
              </w:rPr>
              <w:t>“ byl v předešlém sytému problematický), „</w:t>
            </w:r>
            <w:r w:rsidRPr="0035187E">
              <w:rPr>
                <w:rFonts w:ascii="Times New Roman" w:hAnsi="Times New Roman" w:cs="Times New Roman"/>
                <w:bCs/>
                <w:i/>
                <w:iCs/>
                <w:sz w:val="20"/>
                <w:szCs w:val="20"/>
              </w:rPr>
              <w:t>část internetové stránky</w:t>
            </w:r>
            <w:r w:rsidRPr="0035187E">
              <w:rPr>
                <w:rFonts w:ascii="Times New Roman" w:hAnsi="Times New Roman" w:cs="Times New Roman"/>
                <w:bCs/>
                <w:sz w:val="20"/>
                <w:szCs w:val="20"/>
              </w:rPr>
              <w:t>“ (zda se v případě provozovatele e-shopu, který prodává zboží na hlavní doméně a zároveň provozuje subdoménu pro jiný sortiment, bude jednat o dvě evidenční jednotky), „</w:t>
            </w:r>
            <w:r w:rsidRPr="0035187E">
              <w:rPr>
                <w:rFonts w:ascii="Times New Roman" w:hAnsi="Times New Roman" w:cs="Times New Roman"/>
                <w:bCs/>
                <w:i/>
                <w:iCs/>
                <w:sz w:val="20"/>
                <w:szCs w:val="20"/>
              </w:rPr>
              <w:t>aplikace</w:t>
            </w:r>
            <w:r w:rsidRPr="0035187E">
              <w:rPr>
                <w:rFonts w:ascii="Times New Roman" w:hAnsi="Times New Roman" w:cs="Times New Roman"/>
                <w:bCs/>
                <w:sz w:val="20"/>
                <w:szCs w:val="20"/>
              </w:rPr>
              <w:t xml:space="preserve">“ (bude se jednat o mobilní aplikaci, webovou aplikaci, desktopový software, </w:t>
            </w:r>
            <w:proofErr w:type="spellStart"/>
            <w:r w:rsidRPr="0035187E">
              <w:rPr>
                <w:rFonts w:ascii="Times New Roman" w:hAnsi="Times New Roman" w:cs="Times New Roman"/>
                <w:bCs/>
                <w:sz w:val="20"/>
                <w:szCs w:val="20"/>
              </w:rPr>
              <w:t>SaaS</w:t>
            </w:r>
            <w:proofErr w:type="spellEnd"/>
            <w:r w:rsidRPr="0035187E">
              <w:rPr>
                <w:rFonts w:ascii="Times New Roman" w:hAnsi="Times New Roman" w:cs="Times New Roman"/>
                <w:bCs/>
                <w:sz w:val="20"/>
                <w:szCs w:val="20"/>
              </w:rPr>
              <w:t xml:space="preserve"> platformu i API rozhraní pro B2B prodej), ale také o absenci úpravy, která by stanovila pravidla pro situace, při souběhu evidenčních jednotek, což je v dnešním </w:t>
            </w:r>
            <w:proofErr w:type="spellStart"/>
            <w:r w:rsidRPr="0035187E">
              <w:rPr>
                <w:rFonts w:ascii="Times New Roman" w:hAnsi="Times New Roman" w:cs="Times New Roman"/>
                <w:bCs/>
                <w:sz w:val="20"/>
                <w:szCs w:val="20"/>
              </w:rPr>
              <w:t>omnichannel</w:t>
            </w:r>
            <w:proofErr w:type="spellEnd"/>
            <w:r w:rsidRPr="0035187E">
              <w:rPr>
                <w:rFonts w:ascii="Times New Roman" w:hAnsi="Times New Roman" w:cs="Times New Roman"/>
                <w:bCs/>
                <w:sz w:val="20"/>
                <w:szCs w:val="20"/>
              </w:rPr>
              <w:t xml:space="preserve"> obchodním prostředí zcela běžné. </w:t>
            </w:r>
          </w:p>
          <w:p w14:paraId="1E35F2C2"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bCs/>
                <w:sz w:val="20"/>
                <w:szCs w:val="20"/>
              </w:rPr>
            </w:pPr>
            <w:r w:rsidRPr="0035187E">
              <w:rPr>
                <w:rFonts w:ascii="Times New Roman" w:hAnsi="Times New Roman" w:cs="Times New Roman"/>
                <w:bCs/>
                <w:sz w:val="20"/>
                <w:szCs w:val="20"/>
              </w:rPr>
              <w:tab/>
              <w:t>Není jasné, zda bude každá část internetové stránky, či každá aplikace vedena jako evidenční jednotka, kdy pro poplatníka provozujícího více těchto evidenčních jednotek bude související administrace značně náročná. Za důležité považujeme také vyjasnění postupu v případě, kdy zákazník objedná online a platí při osobním odběru v kamenné provozovně, zda je tržba evidována pod evidenční jednotkou e-shopu nebo provozovnou.</w:t>
            </w:r>
          </w:p>
          <w:p w14:paraId="16AEC097"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bCs/>
                <w:sz w:val="20"/>
                <w:szCs w:val="20"/>
              </w:rPr>
            </w:pPr>
            <w:r w:rsidRPr="0035187E">
              <w:rPr>
                <w:rFonts w:ascii="Times New Roman" w:hAnsi="Times New Roman" w:cs="Times New Roman"/>
                <w:bCs/>
                <w:sz w:val="20"/>
                <w:szCs w:val="20"/>
              </w:rPr>
              <w:tab/>
              <w:t xml:space="preserve">U zbytkové kategorie uvedené v písmeni c) vyvstává otázka správné identifikace, kdy daňové identifikační číslo poplatníka se nejspíše stane i identifikací evidenční jednotky. Nejsme si zcela jistí vhodností této konstrukce pro vedení evidence. </w:t>
            </w:r>
          </w:p>
          <w:p w14:paraId="491F189A"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bCs/>
                <w:sz w:val="20"/>
                <w:szCs w:val="20"/>
              </w:rPr>
            </w:pPr>
            <w:r w:rsidRPr="0035187E">
              <w:rPr>
                <w:rFonts w:ascii="Times New Roman" w:hAnsi="Times New Roman" w:cs="Times New Roman"/>
                <w:bCs/>
                <w:sz w:val="20"/>
                <w:szCs w:val="20"/>
              </w:rPr>
              <w:tab/>
              <w:t>Jelikož je definování evidenční jednotky pro systém evidenci tržeb klíčové, resp. správné vymezení představuje základní podmínku funkčnosti sytému, požadujeme vyjasnění výše uvedených nedostatků.</w:t>
            </w:r>
          </w:p>
          <w:p w14:paraId="4AC76B4D" w14:textId="6C58617E"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sz w:val="20"/>
                <w:szCs w:val="20"/>
              </w:rPr>
            </w:pPr>
            <w:r w:rsidRPr="0035187E">
              <w:rPr>
                <w:rFonts w:ascii="Times New Roman" w:hAnsi="Times New Roman" w:cs="Times New Roman"/>
                <w:b/>
                <w:sz w:val="20"/>
                <w:szCs w:val="20"/>
              </w:rPr>
              <w:t xml:space="preserve">Tuto připomínku považuje ministerstvo za zásadní.     </w:t>
            </w:r>
          </w:p>
        </w:tc>
        <w:tc>
          <w:tcPr>
            <w:tcW w:w="1453" w:type="pct"/>
            <w:tcBorders>
              <w:top w:val="single" w:sz="4" w:space="0" w:color="auto"/>
              <w:left w:val="single" w:sz="4" w:space="0" w:color="auto"/>
              <w:right w:val="single" w:sz="4" w:space="0" w:color="auto"/>
            </w:tcBorders>
            <w:shd w:val="clear" w:color="auto" w:fill="auto"/>
          </w:tcPr>
          <w:p w14:paraId="4A1EF23C" w14:textId="77777777" w:rsidR="00BE73FF" w:rsidRPr="0035187E" w:rsidRDefault="007F73D3"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298BF983" w14:textId="77777777" w:rsidR="007F73D3" w:rsidRPr="0035187E" w:rsidRDefault="007F73D3"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Použité pojmy se již v právním řádu vyskytují, jak je ostatně přiblíženo v důvodové zprávě. Není proto obava </w:t>
            </w:r>
            <w:proofErr w:type="gramStart"/>
            <w:r w:rsidRPr="0035187E">
              <w:rPr>
                <w:rFonts w:ascii="Times New Roman" w:hAnsi="Times New Roman" w:cs="Times New Roman"/>
                <w:sz w:val="20"/>
                <w:szCs w:val="20"/>
              </w:rPr>
              <w:t>s</w:t>
            </w:r>
            <w:proofErr w:type="gramEnd"/>
            <w:r w:rsidRPr="0035187E">
              <w:rPr>
                <w:rFonts w:ascii="Times New Roman" w:hAnsi="Times New Roman" w:cs="Times New Roman"/>
                <w:sz w:val="20"/>
                <w:szCs w:val="20"/>
              </w:rPr>
              <w:t> nejistoty při jejich uchopení aplikační praxí. Tak, jako tomu bylo u předchozí právní úpravy, bude zajištěna podrobná metodická a informační podpora, která bude reagovat na poptávku aplikační praxe dohledně osvětlení významu použitých pojmů, zamýšlených postupů atd. Cílem návrhu právního předpisu (ani jeho důvodové zprávy) není a nemůže být kazuisticky reagovat na všechny v úvahu přicházející situace. Přesto lze říci, že navrhované odůvodnění je ve srovnání s jinými návrhy právních předpisů nadstandardně podrobné.</w:t>
            </w:r>
          </w:p>
          <w:p w14:paraId="70A4D077" w14:textId="77777777" w:rsidR="007A78B2" w:rsidRPr="0035187E" w:rsidRDefault="007A78B2" w:rsidP="0035187E">
            <w:pPr>
              <w:jc w:val="both"/>
              <w:rPr>
                <w:rFonts w:ascii="Times New Roman" w:hAnsi="Times New Roman" w:cs="Times New Roman"/>
                <w:sz w:val="20"/>
                <w:szCs w:val="20"/>
              </w:rPr>
            </w:pPr>
          </w:p>
          <w:p w14:paraId="56FA6FAD" w14:textId="557EBA78" w:rsidR="007A78B2" w:rsidRPr="0035187E" w:rsidRDefault="007A78B2"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Připomínkové místo uvedlo, že návrh vypořádací tabulky lze akceptovat. S ohledem na jednání však před konečným sdělením souhlasu s vypořádáním připomínek Ministerstva vnitra k danému návrhu zákona žádá o zaslání případného upraveného návrhu zákona, vč. kompletní vypořádací tabulky.</w:t>
            </w:r>
          </w:p>
          <w:p w14:paraId="79C460FC" w14:textId="6DC4FD4F" w:rsidR="00464C75" w:rsidRPr="0035187E" w:rsidRDefault="00464C75" w:rsidP="0035187E">
            <w:pPr>
              <w:jc w:val="both"/>
              <w:rPr>
                <w:rFonts w:ascii="Times New Roman" w:hAnsi="Times New Roman" w:cs="Times New Roman"/>
                <w:i/>
                <w:iCs/>
                <w:sz w:val="20"/>
                <w:szCs w:val="20"/>
              </w:rPr>
            </w:pPr>
          </w:p>
          <w:p w14:paraId="5F6C36AC" w14:textId="74D61C6B" w:rsidR="007F73D3" w:rsidRPr="0035187E" w:rsidRDefault="00464C75"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Replika předkladatele: Vzhledem k tomu, že ke kompletaci materiálu dojde těsně před odeslání</w:t>
            </w:r>
            <w:r w:rsidR="00067CFE" w:rsidRPr="0035187E">
              <w:rPr>
                <w:rFonts w:ascii="Times New Roman" w:hAnsi="Times New Roman" w:cs="Times New Roman"/>
                <w:i/>
                <w:iCs/>
                <w:sz w:val="20"/>
                <w:szCs w:val="20"/>
              </w:rPr>
              <w:t>m</w:t>
            </w:r>
            <w:r w:rsidRPr="0035187E">
              <w:rPr>
                <w:rFonts w:ascii="Times New Roman" w:hAnsi="Times New Roman" w:cs="Times New Roman"/>
                <w:i/>
                <w:iCs/>
                <w:sz w:val="20"/>
                <w:szCs w:val="20"/>
              </w:rPr>
              <w:t xml:space="preserve"> materiálu na vládu, nelze z časových důvodů tomuto požadavku vyhovět </w:t>
            </w:r>
            <w:proofErr w:type="gramStart"/>
            <w:r w:rsidRPr="0035187E">
              <w:rPr>
                <w:rFonts w:ascii="Times New Roman" w:hAnsi="Times New Roman" w:cs="Times New Roman"/>
                <w:i/>
                <w:iCs/>
                <w:sz w:val="20"/>
                <w:szCs w:val="20"/>
              </w:rPr>
              <w:t>dříve,</w:t>
            </w:r>
            <w:proofErr w:type="gramEnd"/>
            <w:r w:rsidRPr="0035187E">
              <w:rPr>
                <w:rFonts w:ascii="Times New Roman" w:hAnsi="Times New Roman" w:cs="Times New Roman"/>
                <w:i/>
                <w:iCs/>
                <w:sz w:val="20"/>
                <w:szCs w:val="20"/>
              </w:rPr>
              <w:t xml:space="preserve"> než prostřednictvím vložení výsledku do </w:t>
            </w:r>
            <w:proofErr w:type="spellStart"/>
            <w:r w:rsidRPr="0035187E">
              <w:rPr>
                <w:rFonts w:ascii="Times New Roman" w:hAnsi="Times New Roman" w:cs="Times New Roman"/>
                <w:i/>
                <w:iCs/>
                <w:sz w:val="20"/>
                <w:szCs w:val="20"/>
              </w:rPr>
              <w:t>eKLEP</w:t>
            </w:r>
            <w:r w:rsidR="008C7979" w:rsidRPr="0035187E">
              <w:rPr>
                <w:rFonts w:ascii="Times New Roman" w:hAnsi="Times New Roman" w:cs="Times New Roman"/>
                <w:i/>
                <w:iCs/>
                <w:sz w:val="20"/>
                <w:szCs w:val="20"/>
              </w:rPr>
              <w:t>u</w:t>
            </w:r>
            <w:proofErr w:type="spellEnd"/>
            <w:r w:rsidR="008C7979" w:rsidRPr="0035187E">
              <w:rPr>
                <w:rFonts w:ascii="Times New Roman" w:hAnsi="Times New Roman" w:cs="Times New Roman"/>
                <w:i/>
                <w:iCs/>
                <w:sz w:val="20"/>
                <w:szCs w:val="20"/>
              </w:rPr>
              <w:t>.</w:t>
            </w:r>
          </w:p>
        </w:tc>
      </w:tr>
      <w:tr w:rsidR="0035187E" w:rsidRPr="0035187E" w14:paraId="46B9294F"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BB7FEB7" w14:textId="32B0EECE"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9.</w:t>
            </w:r>
          </w:p>
        </w:tc>
        <w:tc>
          <w:tcPr>
            <w:tcW w:w="583" w:type="pct"/>
            <w:tcBorders>
              <w:top w:val="single" w:sz="4" w:space="0" w:color="auto"/>
              <w:left w:val="single" w:sz="4" w:space="0" w:color="auto"/>
              <w:right w:val="single" w:sz="4" w:space="0" w:color="auto"/>
            </w:tcBorders>
            <w:shd w:val="clear" w:color="auto" w:fill="auto"/>
          </w:tcPr>
          <w:p w14:paraId="7CB36820" w14:textId="48C63053"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vnitra</w:t>
            </w:r>
          </w:p>
        </w:tc>
        <w:tc>
          <w:tcPr>
            <w:tcW w:w="168" w:type="pct"/>
            <w:tcBorders>
              <w:top w:val="single" w:sz="4" w:space="0" w:color="auto"/>
              <w:left w:val="single" w:sz="4" w:space="0" w:color="auto"/>
              <w:right w:val="single" w:sz="4" w:space="0" w:color="auto"/>
            </w:tcBorders>
            <w:shd w:val="clear" w:color="auto" w:fill="auto"/>
          </w:tcPr>
          <w:p w14:paraId="09AE95EE" w14:textId="6F6E8C9C"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2.</w:t>
            </w:r>
          </w:p>
        </w:tc>
        <w:tc>
          <w:tcPr>
            <w:tcW w:w="169" w:type="pct"/>
            <w:tcBorders>
              <w:top w:val="single" w:sz="4" w:space="0" w:color="auto"/>
              <w:left w:val="single" w:sz="4" w:space="0" w:color="auto"/>
              <w:right w:val="single" w:sz="4" w:space="0" w:color="auto"/>
            </w:tcBorders>
            <w:shd w:val="clear" w:color="auto" w:fill="auto"/>
          </w:tcPr>
          <w:p w14:paraId="09BA7A25" w14:textId="7F15396D"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6772922"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b/>
                <w:sz w:val="20"/>
                <w:szCs w:val="20"/>
              </w:rPr>
            </w:pPr>
            <w:r w:rsidRPr="0035187E">
              <w:rPr>
                <w:rFonts w:ascii="Times New Roman" w:hAnsi="Times New Roman" w:cs="Times New Roman"/>
                <w:b/>
                <w:sz w:val="20"/>
                <w:szCs w:val="20"/>
              </w:rPr>
              <w:t>K § 6 odst. 1 písm. c):</w:t>
            </w:r>
          </w:p>
          <w:p w14:paraId="6471DF81"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bCs/>
                <w:sz w:val="20"/>
                <w:szCs w:val="20"/>
              </w:rPr>
            </w:pPr>
            <w:r w:rsidRPr="0035187E">
              <w:rPr>
                <w:rFonts w:ascii="Times New Roman" w:hAnsi="Times New Roman" w:cs="Times New Roman"/>
                <w:b/>
                <w:sz w:val="20"/>
                <w:szCs w:val="20"/>
              </w:rPr>
              <w:tab/>
            </w:r>
            <w:r w:rsidRPr="0035187E">
              <w:rPr>
                <w:rFonts w:ascii="Times New Roman" w:hAnsi="Times New Roman" w:cs="Times New Roman"/>
                <w:bCs/>
                <w:sz w:val="20"/>
                <w:szCs w:val="20"/>
              </w:rPr>
              <w:t xml:space="preserve">Dle uvedeného ustanovení splňuje formální náležitosti pro evidovanou tržbu kontaktní platba poplatníkovi, která je uskutečněna prostřednictvím virtuálního aktiva podle zákona upravujícího opatření proti legalizaci výnosů z trestné činnosti. Ustanovení § 18 odst. 1 písm. f) pak mezi údaje o evidované tržbě zasílané datovou zprávou řadí celkovou částku tržby uvedenou v české měně. Upozorňujeme, že z návrhu není patrné, k jakému okamžiku se kurz k české měně přepočítává, ani není zohledněna značná volatilita hodnoty </w:t>
            </w:r>
            <w:proofErr w:type="spellStart"/>
            <w:r w:rsidRPr="0035187E">
              <w:rPr>
                <w:rFonts w:ascii="Times New Roman" w:hAnsi="Times New Roman" w:cs="Times New Roman"/>
                <w:bCs/>
                <w:sz w:val="20"/>
                <w:szCs w:val="20"/>
              </w:rPr>
              <w:t>kryptoaktiva</w:t>
            </w:r>
            <w:proofErr w:type="spellEnd"/>
            <w:r w:rsidRPr="0035187E">
              <w:rPr>
                <w:rFonts w:ascii="Times New Roman" w:hAnsi="Times New Roman" w:cs="Times New Roman"/>
                <w:bCs/>
                <w:sz w:val="20"/>
                <w:szCs w:val="20"/>
              </w:rPr>
              <w:t>. S ohledem na právní jistotu adresátů právní normy je nutné tyto skutečnosti v rámci normativního textu upřesnit.</w:t>
            </w:r>
          </w:p>
          <w:p w14:paraId="51EC9723" w14:textId="653716A9"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sz w:val="20"/>
                <w:szCs w:val="20"/>
              </w:rPr>
            </w:pPr>
            <w:r w:rsidRPr="0035187E">
              <w:rPr>
                <w:rFonts w:ascii="Times New Roman" w:hAnsi="Times New Roman" w:cs="Times New Roman"/>
                <w:b/>
                <w:sz w:val="20"/>
                <w:szCs w:val="20"/>
              </w:rPr>
              <w:t xml:space="preserve">Tuto připomínku považuje ministerstvo za zásadní.     </w:t>
            </w:r>
          </w:p>
        </w:tc>
        <w:tc>
          <w:tcPr>
            <w:tcW w:w="1453" w:type="pct"/>
            <w:tcBorders>
              <w:top w:val="single" w:sz="4" w:space="0" w:color="auto"/>
              <w:left w:val="single" w:sz="4" w:space="0" w:color="auto"/>
              <w:right w:val="single" w:sz="4" w:space="0" w:color="auto"/>
            </w:tcBorders>
            <w:shd w:val="clear" w:color="auto" w:fill="auto"/>
          </w:tcPr>
          <w:p w14:paraId="59174BAB" w14:textId="77777777" w:rsidR="00BE73FF" w:rsidRPr="0035187E" w:rsidRDefault="00DF5515"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7C6EEE4E" w14:textId="02EC14B2" w:rsidR="00DF5515" w:rsidRPr="0035187E" w:rsidRDefault="00DF5515" w:rsidP="0035187E">
            <w:pPr>
              <w:jc w:val="both"/>
              <w:rPr>
                <w:rFonts w:ascii="Times New Roman" w:hAnsi="Times New Roman" w:cs="Times New Roman"/>
                <w:sz w:val="20"/>
                <w:szCs w:val="20"/>
              </w:rPr>
            </w:pPr>
            <w:r w:rsidRPr="0035187E">
              <w:rPr>
                <w:rFonts w:ascii="Times New Roman" w:hAnsi="Times New Roman" w:cs="Times New Roman"/>
                <w:sz w:val="20"/>
                <w:szCs w:val="20"/>
              </w:rPr>
              <w:t>Z pohledu určení výše evidovaného údaje platí obecná pravidla pro přepočet kurzů pro účely zákona o daních z příjmů.</w:t>
            </w:r>
            <w:r w:rsidR="00D46345" w:rsidRPr="0035187E">
              <w:rPr>
                <w:rFonts w:ascii="Times New Roman" w:hAnsi="Times New Roman" w:cs="Times New Roman"/>
                <w:sz w:val="20"/>
                <w:szCs w:val="20"/>
              </w:rPr>
              <w:t xml:space="preserve"> Principiálně jde o obdobu situace, kdy je platba uskutečněna v cizí měně.</w:t>
            </w:r>
          </w:p>
        </w:tc>
      </w:tr>
      <w:tr w:rsidR="0035187E" w:rsidRPr="0035187E" w14:paraId="46A65C03"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5953B17" w14:textId="7638B1AC"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9.</w:t>
            </w:r>
          </w:p>
        </w:tc>
        <w:tc>
          <w:tcPr>
            <w:tcW w:w="583" w:type="pct"/>
            <w:tcBorders>
              <w:top w:val="single" w:sz="4" w:space="0" w:color="auto"/>
              <w:left w:val="single" w:sz="4" w:space="0" w:color="auto"/>
              <w:right w:val="single" w:sz="4" w:space="0" w:color="auto"/>
            </w:tcBorders>
            <w:shd w:val="clear" w:color="auto" w:fill="auto"/>
          </w:tcPr>
          <w:p w14:paraId="49088A91" w14:textId="7805054C"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vnitra</w:t>
            </w:r>
          </w:p>
        </w:tc>
        <w:tc>
          <w:tcPr>
            <w:tcW w:w="168" w:type="pct"/>
            <w:tcBorders>
              <w:top w:val="single" w:sz="4" w:space="0" w:color="auto"/>
              <w:left w:val="single" w:sz="4" w:space="0" w:color="auto"/>
              <w:right w:val="single" w:sz="4" w:space="0" w:color="auto"/>
            </w:tcBorders>
            <w:shd w:val="clear" w:color="auto" w:fill="auto"/>
          </w:tcPr>
          <w:p w14:paraId="67B8B2C4" w14:textId="5586255E"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3.</w:t>
            </w:r>
          </w:p>
        </w:tc>
        <w:tc>
          <w:tcPr>
            <w:tcW w:w="169" w:type="pct"/>
            <w:tcBorders>
              <w:top w:val="single" w:sz="4" w:space="0" w:color="auto"/>
              <w:left w:val="single" w:sz="4" w:space="0" w:color="auto"/>
              <w:right w:val="single" w:sz="4" w:space="0" w:color="auto"/>
            </w:tcBorders>
            <w:shd w:val="clear" w:color="auto" w:fill="auto"/>
          </w:tcPr>
          <w:p w14:paraId="33AEFE18" w14:textId="16547179"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39B6285"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b/>
                <w:sz w:val="20"/>
                <w:szCs w:val="20"/>
              </w:rPr>
            </w:pPr>
            <w:r w:rsidRPr="0035187E">
              <w:rPr>
                <w:rFonts w:ascii="Times New Roman" w:hAnsi="Times New Roman" w:cs="Times New Roman"/>
                <w:b/>
                <w:sz w:val="20"/>
                <w:szCs w:val="20"/>
              </w:rPr>
              <w:t xml:space="preserve">K § 7: </w:t>
            </w:r>
          </w:p>
          <w:p w14:paraId="3B1F6873" w14:textId="77777777" w:rsidR="00BE73FF" w:rsidRPr="0035187E" w:rsidRDefault="00BE73FF" w:rsidP="0035187E">
            <w:pPr>
              <w:numPr>
                <w:ilvl w:val="0"/>
                <w:numId w:val="33"/>
              </w:numPr>
              <w:tabs>
                <w:tab w:val="left" w:pos="0"/>
              </w:tabs>
              <w:overflowPunct w:val="0"/>
              <w:autoSpaceDE w:val="0"/>
              <w:autoSpaceDN w:val="0"/>
              <w:adjustRightInd w:val="0"/>
              <w:ind w:left="0" w:firstLine="0"/>
              <w:contextualSpacing/>
              <w:jc w:val="both"/>
              <w:textAlignment w:val="baseline"/>
              <w:rPr>
                <w:rFonts w:ascii="Times New Roman" w:eastAsia="Calibri" w:hAnsi="Times New Roman" w:cs="Times New Roman"/>
                <w:bCs/>
                <w:kern w:val="2"/>
                <w:sz w:val="20"/>
                <w:szCs w:val="20"/>
                <w:lang w:eastAsia="en-US"/>
                <w14:ligatures w14:val="standardContextual"/>
              </w:rPr>
            </w:pPr>
            <w:r w:rsidRPr="0035187E">
              <w:rPr>
                <w:rFonts w:ascii="Times New Roman" w:eastAsia="Calibri" w:hAnsi="Times New Roman" w:cs="Times New Roman"/>
                <w:bCs/>
                <w:kern w:val="2"/>
                <w:sz w:val="20"/>
                <w:szCs w:val="20"/>
                <w:lang w:eastAsia="en-US"/>
                <w14:ligatures w14:val="standardContextual"/>
              </w:rPr>
              <w:t>Navrhované vymezení „</w:t>
            </w:r>
            <w:r w:rsidRPr="0035187E">
              <w:rPr>
                <w:rFonts w:ascii="Times New Roman" w:eastAsia="Calibri" w:hAnsi="Times New Roman" w:cs="Times New Roman"/>
                <w:bCs/>
                <w:i/>
                <w:iCs/>
                <w:kern w:val="2"/>
                <w:sz w:val="20"/>
                <w:szCs w:val="20"/>
                <w:lang w:eastAsia="en-US"/>
                <w14:ligatures w14:val="standardContextual"/>
              </w:rPr>
              <w:t>kontaktní platby</w:t>
            </w:r>
            <w:r w:rsidRPr="0035187E">
              <w:rPr>
                <w:rFonts w:ascii="Times New Roman" w:eastAsia="Calibri" w:hAnsi="Times New Roman" w:cs="Times New Roman"/>
                <w:bCs/>
                <w:kern w:val="2"/>
                <w:sz w:val="20"/>
                <w:szCs w:val="20"/>
                <w:lang w:eastAsia="en-US"/>
                <w14:ligatures w14:val="standardContextual"/>
              </w:rPr>
              <w:t xml:space="preserve">“ je pro evidenci tržeb zcela stěžejní. Upozorňujeme na jistou vnitřní rozpornost ustanovení, když odstavec 1 požaduje osobní </w:t>
            </w:r>
            <w:r w:rsidRPr="0035187E">
              <w:rPr>
                <w:rFonts w:ascii="Times New Roman" w:eastAsia="Calibri" w:hAnsi="Times New Roman" w:cs="Times New Roman"/>
                <w:bCs/>
                <w:kern w:val="2"/>
                <w:sz w:val="20"/>
                <w:szCs w:val="20"/>
                <w:lang w:eastAsia="en-US"/>
                <w14:ligatures w14:val="standardContextual"/>
              </w:rPr>
              <w:lastRenderedPageBreak/>
              <w:t>kontakt (jehož obsah je sám o sobě rovněž diskutabilní) a odstavec 2 zahrnuje hotovost a jiné formy plateb i mimo osobní kontakt. Zákon také konstruuje kruhovou definici, když v</w:t>
            </w:r>
            <w:r w:rsidRPr="0035187E">
              <w:rPr>
                <w:rFonts w:ascii="Times New Roman" w:eastAsia="Calibri" w:hAnsi="Times New Roman" w:cs="Times New Roman"/>
                <w:kern w:val="2"/>
                <w:sz w:val="20"/>
                <w:szCs w:val="20"/>
                <w:lang w:eastAsia="en-US"/>
                <w14:ligatures w14:val="standardContextual"/>
              </w:rPr>
              <w:t xml:space="preserve"> ustanovení </w:t>
            </w:r>
            <w:r w:rsidRPr="0035187E">
              <w:rPr>
                <w:rFonts w:ascii="Times New Roman" w:eastAsia="Calibri" w:hAnsi="Times New Roman" w:cs="Times New Roman"/>
                <w:bCs/>
                <w:kern w:val="2"/>
                <w:sz w:val="20"/>
                <w:szCs w:val="20"/>
                <w:lang w:eastAsia="en-US"/>
                <w14:ligatures w14:val="standardContextual"/>
              </w:rPr>
              <w:t>§ 6 vymezuje formální náležitosti pro evidovanou tržbu a výslovně uvádí, že jde o „</w:t>
            </w:r>
            <w:r w:rsidRPr="0035187E">
              <w:rPr>
                <w:rFonts w:ascii="Times New Roman" w:eastAsia="Calibri" w:hAnsi="Times New Roman" w:cs="Times New Roman"/>
                <w:bCs/>
                <w:i/>
                <w:iCs/>
                <w:kern w:val="2"/>
                <w:sz w:val="20"/>
                <w:szCs w:val="20"/>
                <w:lang w:eastAsia="en-US"/>
                <w14:ligatures w14:val="standardContextual"/>
              </w:rPr>
              <w:t>kontaktní platbu poplatníkovi</w:t>
            </w:r>
            <w:r w:rsidRPr="0035187E">
              <w:rPr>
                <w:rFonts w:ascii="Times New Roman" w:eastAsia="Calibri" w:hAnsi="Times New Roman" w:cs="Times New Roman"/>
                <w:bCs/>
                <w:kern w:val="2"/>
                <w:sz w:val="20"/>
                <w:szCs w:val="20"/>
                <w:lang w:eastAsia="en-US"/>
                <w14:ligatures w14:val="standardContextual"/>
              </w:rPr>
              <w:t>“. Ustanovení § 7 pak definuje kontaktní platbu. Evidovaná tržba předpokládá kontaktní platbu (§ 6) a kontaktní platba je definována způsobem, který částečně odkazuje zpět na formy uvedené v § 6. Požadujeme ustanovení v daných souvislostech revidovat.</w:t>
            </w:r>
          </w:p>
          <w:p w14:paraId="3EF6DF57" w14:textId="77777777" w:rsidR="00BE73FF" w:rsidRPr="0035187E" w:rsidRDefault="00BE73FF" w:rsidP="0035187E">
            <w:pPr>
              <w:numPr>
                <w:ilvl w:val="0"/>
                <w:numId w:val="33"/>
              </w:numPr>
              <w:tabs>
                <w:tab w:val="left" w:pos="0"/>
              </w:tabs>
              <w:overflowPunct w:val="0"/>
              <w:autoSpaceDE w:val="0"/>
              <w:autoSpaceDN w:val="0"/>
              <w:adjustRightInd w:val="0"/>
              <w:ind w:left="0" w:firstLine="0"/>
              <w:contextualSpacing/>
              <w:jc w:val="both"/>
              <w:textAlignment w:val="baseline"/>
              <w:rPr>
                <w:rFonts w:ascii="Times New Roman" w:eastAsia="Calibri" w:hAnsi="Times New Roman" w:cs="Times New Roman"/>
                <w:bCs/>
                <w:kern w:val="2"/>
                <w:sz w:val="20"/>
                <w:szCs w:val="20"/>
                <w:lang w:eastAsia="en-US"/>
                <w14:ligatures w14:val="standardContextual"/>
              </w:rPr>
            </w:pPr>
            <w:r w:rsidRPr="0035187E">
              <w:rPr>
                <w:rFonts w:ascii="Times New Roman" w:eastAsia="Calibri" w:hAnsi="Times New Roman" w:cs="Times New Roman"/>
                <w:bCs/>
                <w:kern w:val="2"/>
                <w:sz w:val="20"/>
                <w:szCs w:val="20"/>
                <w:lang w:eastAsia="en-US"/>
                <w14:ligatures w14:val="standardContextual"/>
              </w:rPr>
              <w:t>Za významný nedostatek pak lze považovat nejasný a neurčitý pojem „</w:t>
            </w:r>
            <w:r w:rsidRPr="0035187E">
              <w:rPr>
                <w:rFonts w:ascii="Times New Roman" w:eastAsia="Calibri" w:hAnsi="Times New Roman" w:cs="Times New Roman"/>
                <w:bCs/>
                <w:i/>
                <w:iCs/>
                <w:kern w:val="2"/>
                <w:sz w:val="20"/>
                <w:szCs w:val="20"/>
                <w:lang w:eastAsia="en-US"/>
                <w14:ligatures w14:val="standardContextual"/>
              </w:rPr>
              <w:t>hmotná povaha</w:t>
            </w:r>
            <w:r w:rsidRPr="0035187E">
              <w:rPr>
                <w:rFonts w:ascii="Times New Roman" w:eastAsia="Calibri" w:hAnsi="Times New Roman" w:cs="Times New Roman"/>
                <w:bCs/>
                <w:kern w:val="2"/>
                <w:sz w:val="20"/>
                <w:szCs w:val="20"/>
                <w:lang w:eastAsia="en-US"/>
                <w14:ligatures w14:val="standardContextual"/>
              </w:rPr>
              <w:t>“. Požadujeme do ustanovení doplnit, co se za jinou formou platby s hmotnou povahou pro účely předkládaného zákona považuje.</w:t>
            </w:r>
          </w:p>
          <w:p w14:paraId="5B569FFB" w14:textId="6FF04A69"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sz w:val="20"/>
                <w:szCs w:val="20"/>
              </w:rPr>
            </w:pPr>
            <w:r w:rsidRPr="0035187E">
              <w:rPr>
                <w:rFonts w:ascii="Times New Roman" w:hAnsi="Times New Roman" w:cs="Times New Roman"/>
                <w:b/>
                <w:sz w:val="20"/>
                <w:szCs w:val="20"/>
              </w:rPr>
              <w:t xml:space="preserve">Tyto připomínky považuje ministerstvo za zásadní.     </w:t>
            </w:r>
          </w:p>
        </w:tc>
        <w:tc>
          <w:tcPr>
            <w:tcW w:w="1453" w:type="pct"/>
            <w:tcBorders>
              <w:top w:val="single" w:sz="4" w:space="0" w:color="auto"/>
              <w:left w:val="single" w:sz="4" w:space="0" w:color="auto"/>
              <w:right w:val="single" w:sz="4" w:space="0" w:color="auto"/>
            </w:tcBorders>
            <w:shd w:val="clear" w:color="auto" w:fill="auto"/>
          </w:tcPr>
          <w:p w14:paraId="08F141D0" w14:textId="77777777" w:rsidR="00BE73FF" w:rsidRPr="0035187E" w:rsidRDefault="00DF5515"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Vysvětleno.</w:t>
            </w:r>
          </w:p>
          <w:p w14:paraId="7324BBA1" w14:textId="00E4DD14" w:rsidR="00057756" w:rsidRPr="0035187E" w:rsidRDefault="00057756"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1. </w:t>
            </w:r>
            <w:r w:rsidR="00DF5515" w:rsidRPr="0035187E">
              <w:rPr>
                <w:rFonts w:ascii="Times New Roman" w:hAnsi="Times New Roman" w:cs="Times New Roman"/>
                <w:sz w:val="20"/>
                <w:szCs w:val="20"/>
              </w:rPr>
              <w:t xml:space="preserve">Nejde o kruhovou definici, ale logicky vrstvený celek (viz důvodová zpráva). </w:t>
            </w:r>
          </w:p>
          <w:p w14:paraId="6701F7B1" w14:textId="26DB972B" w:rsidR="0006449D" w:rsidRPr="0035187E" w:rsidRDefault="0006449D"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Vyhověno jinak.</w:t>
            </w:r>
          </w:p>
          <w:p w14:paraId="2544420B" w14:textId="36387673" w:rsidR="00DF5515" w:rsidRPr="0035187E" w:rsidRDefault="00057756"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2. </w:t>
            </w:r>
            <w:r w:rsidR="00DF5515" w:rsidRPr="0035187E">
              <w:rPr>
                <w:rFonts w:ascii="Times New Roman" w:hAnsi="Times New Roman" w:cs="Times New Roman"/>
                <w:sz w:val="20"/>
                <w:szCs w:val="20"/>
              </w:rPr>
              <w:t>Pojem</w:t>
            </w:r>
            <w:r w:rsidRPr="0035187E">
              <w:rPr>
                <w:rFonts w:ascii="Times New Roman" w:hAnsi="Times New Roman" w:cs="Times New Roman"/>
                <w:sz w:val="20"/>
                <w:szCs w:val="20"/>
              </w:rPr>
              <w:t xml:space="preserve"> „hmotná povaha“</w:t>
            </w:r>
            <w:r w:rsidR="0006449D" w:rsidRPr="0035187E">
              <w:rPr>
                <w:rFonts w:ascii="Times New Roman" w:hAnsi="Times New Roman" w:cs="Times New Roman"/>
                <w:sz w:val="20"/>
                <w:szCs w:val="20"/>
              </w:rPr>
              <w:t xml:space="preserve"> byl upraven na „hmotná podstata“, </w:t>
            </w:r>
            <w:r w:rsidRPr="0035187E">
              <w:rPr>
                <w:rFonts w:ascii="Times New Roman" w:hAnsi="Times New Roman" w:cs="Times New Roman"/>
                <w:sz w:val="20"/>
                <w:szCs w:val="20"/>
              </w:rPr>
              <w:t>což je pojem v právním řádu používaný</w:t>
            </w:r>
            <w:r w:rsidR="0006449D" w:rsidRPr="0035187E">
              <w:rPr>
                <w:rFonts w:ascii="Times New Roman" w:hAnsi="Times New Roman" w:cs="Times New Roman"/>
                <w:sz w:val="20"/>
                <w:szCs w:val="20"/>
              </w:rPr>
              <w:t>. Tento pojem</w:t>
            </w:r>
            <w:r w:rsidRPr="0035187E">
              <w:rPr>
                <w:rFonts w:ascii="Times New Roman" w:hAnsi="Times New Roman" w:cs="Times New Roman"/>
                <w:sz w:val="20"/>
                <w:szCs w:val="20"/>
              </w:rPr>
              <w:t xml:space="preserve"> je z pohledu obecného významu slov dle názoru předkladatele dostatečně určitý. Ambicí návrhu není kazuistický taxativní výčet všech v úvahu připadajících </w:t>
            </w:r>
            <w:proofErr w:type="spellStart"/>
            <w:r w:rsidRPr="0035187E">
              <w:rPr>
                <w:rFonts w:ascii="Times New Roman" w:hAnsi="Times New Roman" w:cs="Times New Roman"/>
                <w:sz w:val="20"/>
                <w:szCs w:val="20"/>
              </w:rPr>
              <w:t>kvazihotovostních</w:t>
            </w:r>
            <w:proofErr w:type="spellEnd"/>
            <w:r w:rsidRPr="0035187E">
              <w:rPr>
                <w:rFonts w:ascii="Times New Roman" w:hAnsi="Times New Roman" w:cs="Times New Roman"/>
                <w:sz w:val="20"/>
                <w:szCs w:val="20"/>
              </w:rPr>
              <w:t xml:space="preserve"> platebních prostředků ve formě žetonů, lístků apod.</w:t>
            </w:r>
          </w:p>
        </w:tc>
      </w:tr>
      <w:tr w:rsidR="0035187E" w:rsidRPr="0035187E" w14:paraId="0A7335F0"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724CBE2" w14:textId="73A93183"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9.</w:t>
            </w:r>
          </w:p>
        </w:tc>
        <w:tc>
          <w:tcPr>
            <w:tcW w:w="583" w:type="pct"/>
            <w:tcBorders>
              <w:top w:val="single" w:sz="4" w:space="0" w:color="auto"/>
              <w:left w:val="single" w:sz="4" w:space="0" w:color="auto"/>
              <w:right w:val="single" w:sz="4" w:space="0" w:color="auto"/>
            </w:tcBorders>
            <w:shd w:val="clear" w:color="auto" w:fill="auto"/>
          </w:tcPr>
          <w:p w14:paraId="59AE9369" w14:textId="3CDD6700"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vnitra</w:t>
            </w:r>
          </w:p>
        </w:tc>
        <w:tc>
          <w:tcPr>
            <w:tcW w:w="168" w:type="pct"/>
            <w:tcBorders>
              <w:top w:val="single" w:sz="4" w:space="0" w:color="auto"/>
              <w:left w:val="single" w:sz="4" w:space="0" w:color="auto"/>
              <w:right w:val="single" w:sz="4" w:space="0" w:color="auto"/>
            </w:tcBorders>
            <w:shd w:val="clear" w:color="auto" w:fill="auto"/>
          </w:tcPr>
          <w:p w14:paraId="195A1C28" w14:textId="3BF57C7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4.</w:t>
            </w:r>
          </w:p>
        </w:tc>
        <w:tc>
          <w:tcPr>
            <w:tcW w:w="169" w:type="pct"/>
            <w:tcBorders>
              <w:top w:val="single" w:sz="4" w:space="0" w:color="auto"/>
              <w:left w:val="single" w:sz="4" w:space="0" w:color="auto"/>
              <w:right w:val="single" w:sz="4" w:space="0" w:color="auto"/>
            </w:tcBorders>
            <w:shd w:val="clear" w:color="auto" w:fill="auto"/>
          </w:tcPr>
          <w:p w14:paraId="30F6EB6C" w14:textId="53B4B526"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5182565"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b/>
                <w:sz w:val="20"/>
                <w:szCs w:val="20"/>
              </w:rPr>
            </w:pPr>
            <w:r w:rsidRPr="0035187E">
              <w:rPr>
                <w:rFonts w:ascii="Times New Roman" w:hAnsi="Times New Roman" w:cs="Times New Roman"/>
                <w:b/>
                <w:sz w:val="20"/>
                <w:szCs w:val="20"/>
              </w:rPr>
              <w:t>K § 12 odst. 3 a § 30 bodům 1, 8, 9, 26, 27 a souvisejícím:</w:t>
            </w:r>
          </w:p>
          <w:p w14:paraId="0A5F52A3"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bCs/>
                <w:sz w:val="20"/>
                <w:szCs w:val="20"/>
              </w:rPr>
            </w:pPr>
            <w:r w:rsidRPr="0035187E">
              <w:rPr>
                <w:rFonts w:ascii="Times New Roman" w:hAnsi="Times New Roman" w:cs="Times New Roman"/>
                <w:bCs/>
                <w:sz w:val="20"/>
                <w:szCs w:val="20"/>
              </w:rPr>
              <w:tab/>
              <w:t>Oproti předchozímu systému evidence tržeb je navrhováno zakotvit možnost využít přirážku zprošťující povinnosti evidovat tržby. Tento typ „</w:t>
            </w:r>
            <w:r w:rsidRPr="0035187E">
              <w:rPr>
                <w:rFonts w:ascii="Times New Roman" w:hAnsi="Times New Roman" w:cs="Times New Roman"/>
                <w:bCs/>
                <w:i/>
                <w:iCs/>
                <w:sz w:val="20"/>
                <w:szCs w:val="20"/>
              </w:rPr>
              <w:t>vykoupení se</w:t>
            </w:r>
            <w:r w:rsidRPr="0035187E">
              <w:rPr>
                <w:rFonts w:ascii="Times New Roman" w:hAnsi="Times New Roman" w:cs="Times New Roman"/>
                <w:bCs/>
                <w:sz w:val="20"/>
                <w:szCs w:val="20"/>
              </w:rPr>
              <w:t>“ z povinnosti evidovat tržby považujeme za poměrně bezprecedentní, vyvolávající určité pochyby o proporcionalitě dobrovolně zaplacené výjimky ve vztahu k rovnosti podnikatelů. Jedná se de facto o nerovné zacházení mezi skupinami poplatníků (srov. čl. 26 Listiny základních práv a svobod).</w:t>
            </w:r>
          </w:p>
          <w:p w14:paraId="05F1DA83"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bCs/>
                <w:sz w:val="20"/>
                <w:szCs w:val="20"/>
              </w:rPr>
            </w:pPr>
            <w:r w:rsidRPr="0035187E">
              <w:rPr>
                <w:rFonts w:ascii="Times New Roman" w:hAnsi="Times New Roman" w:cs="Times New Roman"/>
                <w:bCs/>
                <w:sz w:val="20"/>
                <w:szCs w:val="20"/>
              </w:rPr>
              <w:tab/>
              <w:t>Podotýkáme, že jednoznačně podporujeme snížení administrativní i ekonomické zátěže drobných podnikatelů. Postrádáme však hlubší analýzu, která by dokládala, že navržené řešení je pro Českou republiku nejvhodnější (lze uvažovat o objektivním příjmovém kritériu a stanovení hranice pro automatické zproštění povinnosti evidovat tržby). Domníváme se, že je nezbytné systém „</w:t>
            </w:r>
            <w:r w:rsidRPr="0035187E">
              <w:rPr>
                <w:rFonts w:ascii="Times New Roman" w:hAnsi="Times New Roman" w:cs="Times New Roman"/>
                <w:bCs/>
                <w:i/>
                <w:iCs/>
                <w:sz w:val="20"/>
                <w:szCs w:val="20"/>
              </w:rPr>
              <w:t>obhájit</w:t>
            </w:r>
            <w:r w:rsidRPr="0035187E">
              <w:rPr>
                <w:rFonts w:ascii="Times New Roman" w:hAnsi="Times New Roman" w:cs="Times New Roman"/>
                <w:bCs/>
                <w:sz w:val="20"/>
                <w:szCs w:val="20"/>
              </w:rPr>
              <w:t>“ i ve vztahu k riziku daňových úniků u těchto malých podnikatelů, které je velmi nízké. Je zcela logické, že podnikatelé s vyšší hotovostní aktivitou, byť v prvním pásmu paušálního režimu, budou mít nejvyšší motivaci si výjimku zaplatit, čímž zákon pozbývá deklarovanou kontrolní funkci. Pokud se k přirážce přihlásí velký podíl podnikatelů, bude dosaženo stabilního, předvídatelného a paušálního výnosu, nebudou však k dispozici data, která jsou z hlediska dlouhodobé správy daní hodnotnější.</w:t>
            </w:r>
          </w:p>
          <w:p w14:paraId="2A5875E9"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bCs/>
                <w:sz w:val="20"/>
                <w:szCs w:val="20"/>
              </w:rPr>
            </w:pPr>
            <w:r w:rsidRPr="0035187E">
              <w:rPr>
                <w:rFonts w:ascii="Times New Roman" w:hAnsi="Times New Roman" w:cs="Times New Roman"/>
                <w:bCs/>
                <w:sz w:val="20"/>
                <w:szCs w:val="20"/>
              </w:rPr>
              <w:tab/>
              <w:t>Požadujeme doplnit zvláštní část důvodové zprávy ve vztahu k výše uvedené problematice.</w:t>
            </w:r>
          </w:p>
          <w:p w14:paraId="0BB24D41" w14:textId="65B1C313"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sz w:val="20"/>
                <w:szCs w:val="20"/>
              </w:rPr>
            </w:pPr>
            <w:r w:rsidRPr="0035187E">
              <w:rPr>
                <w:rFonts w:ascii="Times New Roman" w:hAnsi="Times New Roman" w:cs="Times New Roman"/>
                <w:b/>
                <w:sz w:val="20"/>
                <w:szCs w:val="20"/>
              </w:rPr>
              <w:t xml:space="preserve">Tuto připomínku považuje ministerstvo za zásadní.     </w:t>
            </w:r>
          </w:p>
        </w:tc>
        <w:tc>
          <w:tcPr>
            <w:tcW w:w="1453" w:type="pct"/>
            <w:tcBorders>
              <w:top w:val="single" w:sz="4" w:space="0" w:color="auto"/>
              <w:left w:val="single" w:sz="4" w:space="0" w:color="auto"/>
              <w:right w:val="single" w:sz="4" w:space="0" w:color="auto"/>
            </w:tcBorders>
            <w:shd w:val="clear" w:color="auto" w:fill="auto"/>
          </w:tcPr>
          <w:p w14:paraId="483E4D4F" w14:textId="77777777" w:rsidR="00BE73FF" w:rsidRPr="0035187E" w:rsidRDefault="00057756"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0C8A52F8" w14:textId="2E3CD932" w:rsidR="00B37AC3" w:rsidRPr="0035187E" w:rsidRDefault="00B37AC3" w:rsidP="0035187E">
            <w:pPr>
              <w:jc w:val="both"/>
              <w:rPr>
                <w:rFonts w:ascii="Times New Roman" w:hAnsi="Times New Roman" w:cs="Times New Roman"/>
                <w:sz w:val="20"/>
                <w:szCs w:val="20"/>
              </w:rPr>
            </w:pPr>
            <w:r w:rsidRPr="0035187E">
              <w:rPr>
                <w:rFonts w:ascii="Times New Roman" w:hAnsi="Times New Roman" w:cs="Times New Roman"/>
                <w:sz w:val="20"/>
                <w:szCs w:val="20"/>
              </w:rPr>
              <w:t>Z pohledu rovnosti p</w:t>
            </w:r>
            <w:r w:rsidR="00285FC8" w:rsidRPr="0035187E">
              <w:rPr>
                <w:rFonts w:ascii="Times New Roman" w:hAnsi="Times New Roman" w:cs="Times New Roman"/>
                <w:sz w:val="20"/>
                <w:szCs w:val="20"/>
              </w:rPr>
              <w:t xml:space="preserve">odnikatelů platí, že přístup k dané </w:t>
            </w:r>
            <w:r w:rsidRPr="0035187E">
              <w:rPr>
                <w:rFonts w:ascii="Times New Roman" w:hAnsi="Times New Roman" w:cs="Times New Roman"/>
                <w:sz w:val="20"/>
                <w:szCs w:val="20"/>
              </w:rPr>
              <w:t xml:space="preserve">výjimce je zachován všem, kteří naplní zákonem stanovené </w:t>
            </w:r>
            <w:r w:rsidR="00285FC8" w:rsidRPr="0035187E">
              <w:rPr>
                <w:rFonts w:ascii="Times New Roman" w:hAnsi="Times New Roman" w:cs="Times New Roman"/>
                <w:sz w:val="20"/>
                <w:szCs w:val="20"/>
              </w:rPr>
              <w:t>podmínky. Ty</w:t>
            </w:r>
            <w:r w:rsidRPr="0035187E">
              <w:rPr>
                <w:rFonts w:ascii="Times New Roman" w:hAnsi="Times New Roman" w:cs="Times New Roman"/>
                <w:sz w:val="20"/>
                <w:szCs w:val="20"/>
              </w:rPr>
              <w:t xml:space="preserve"> jsou nastaveny nediskriminačním způsobem. Skutečnost, že určitá úleva je vázána na kvantitativní ukazatel (v daném případě na obrat)</w:t>
            </w:r>
            <w:r w:rsidR="00BC1072" w:rsidRPr="0035187E">
              <w:rPr>
                <w:rFonts w:ascii="Times New Roman" w:hAnsi="Times New Roman" w:cs="Times New Roman"/>
                <w:sz w:val="20"/>
                <w:szCs w:val="20"/>
              </w:rPr>
              <w:t>, který umožňuje její zacílení na „nejmenší“ podnikatele, je zcela legitimní a v právním řádu zcela obvyklá.</w:t>
            </w:r>
          </w:p>
          <w:p w14:paraId="524A60DF" w14:textId="07BD2ECF" w:rsidR="00B37AC3" w:rsidRPr="0035187E" w:rsidRDefault="00285FC8" w:rsidP="0035187E">
            <w:pPr>
              <w:jc w:val="both"/>
              <w:rPr>
                <w:rFonts w:ascii="Times New Roman" w:hAnsi="Times New Roman" w:cs="Times New Roman"/>
                <w:sz w:val="20"/>
                <w:szCs w:val="20"/>
              </w:rPr>
            </w:pPr>
            <w:r w:rsidRPr="0035187E">
              <w:rPr>
                <w:rFonts w:ascii="Times New Roman" w:hAnsi="Times New Roman" w:cs="Times New Roman"/>
                <w:sz w:val="20"/>
                <w:szCs w:val="20"/>
              </w:rPr>
              <w:t>Z hlediska posouzení, zda navržené řešení je nejvhodnější, je zapotřebí konstatovat, že vhodnost je nutné vztáhnout vždy vůči vytýčenému cíli, přičemž ten se může u jednotlivých aspektů lišit. Je zřejmé, že zvolené řešení odpovídá politickému konsenzu stran vládní koalice. Jeho cílem je t</w:t>
            </w:r>
            <w:r w:rsidR="00A4250E" w:rsidRPr="0035187E">
              <w:rPr>
                <w:rFonts w:ascii="Times New Roman" w:hAnsi="Times New Roman" w:cs="Times New Roman"/>
                <w:sz w:val="20"/>
                <w:szCs w:val="20"/>
              </w:rPr>
              <w:t xml:space="preserve">edy nalezení kompromisu několika protichůdných zájmů, které je zapotřebí vzájemně vyvažovat. Izolovaně z partikulárního pohledu nemůže být žádný kompromis z povahy věci maximalistickým naplněním sledovaného cíle reprezentující daný zájem (např. zájem na maximální výtěžnosti dat potřebných pro správu daní). V realitě společenských vztahů však žádný zájem nestojí a nemůže stát izolovaně. </w:t>
            </w:r>
          </w:p>
        </w:tc>
      </w:tr>
      <w:tr w:rsidR="0035187E" w:rsidRPr="0035187E" w14:paraId="5D47EA9D"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47A9EC74" w14:textId="14C540F2"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9.</w:t>
            </w:r>
          </w:p>
        </w:tc>
        <w:tc>
          <w:tcPr>
            <w:tcW w:w="583" w:type="pct"/>
            <w:tcBorders>
              <w:top w:val="single" w:sz="4" w:space="0" w:color="auto"/>
              <w:left w:val="single" w:sz="4" w:space="0" w:color="auto"/>
              <w:right w:val="single" w:sz="4" w:space="0" w:color="auto"/>
            </w:tcBorders>
            <w:shd w:val="clear" w:color="auto" w:fill="auto"/>
          </w:tcPr>
          <w:p w14:paraId="5CE10098" w14:textId="6E594480"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vnitra</w:t>
            </w:r>
          </w:p>
        </w:tc>
        <w:tc>
          <w:tcPr>
            <w:tcW w:w="168" w:type="pct"/>
            <w:tcBorders>
              <w:top w:val="single" w:sz="4" w:space="0" w:color="auto"/>
              <w:left w:val="single" w:sz="4" w:space="0" w:color="auto"/>
              <w:right w:val="single" w:sz="4" w:space="0" w:color="auto"/>
            </w:tcBorders>
            <w:shd w:val="clear" w:color="auto" w:fill="auto"/>
          </w:tcPr>
          <w:p w14:paraId="3EE0BAFC" w14:textId="618B0AA4"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5.</w:t>
            </w:r>
          </w:p>
        </w:tc>
        <w:tc>
          <w:tcPr>
            <w:tcW w:w="169" w:type="pct"/>
            <w:tcBorders>
              <w:top w:val="single" w:sz="4" w:space="0" w:color="auto"/>
              <w:left w:val="single" w:sz="4" w:space="0" w:color="auto"/>
              <w:right w:val="single" w:sz="4" w:space="0" w:color="auto"/>
            </w:tcBorders>
            <w:shd w:val="clear" w:color="auto" w:fill="auto"/>
          </w:tcPr>
          <w:p w14:paraId="4E722160" w14:textId="2E2432EF"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11BDE90"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b/>
                <w:bCs/>
                <w:sz w:val="20"/>
                <w:szCs w:val="20"/>
              </w:rPr>
            </w:pPr>
            <w:r w:rsidRPr="0035187E">
              <w:rPr>
                <w:rFonts w:ascii="Times New Roman" w:hAnsi="Times New Roman" w:cs="Times New Roman"/>
                <w:b/>
                <w:bCs/>
                <w:sz w:val="20"/>
                <w:szCs w:val="20"/>
              </w:rPr>
              <w:t>K § 12 až 14:</w:t>
            </w:r>
          </w:p>
          <w:p w14:paraId="2535F9A1"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sz w:val="20"/>
                <w:szCs w:val="20"/>
              </w:rPr>
            </w:pPr>
            <w:r w:rsidRPr="0035187E">
              <w:rPr>
                <w:rFonts w:ascii="Times New Roman" w:hAnsi="Times New Roman" w:cs="Times New Roman"/>
                <w:sz w:val="20"/>
                <w:szCs w:val="20"/>
              </w:rPr>
              <w:tab/>
              <w:t>Zákon č. 112/2016 Sb., o evidenci tržeb, ve znění pozdějších předpisů, zakotvoval celou řadu výjimek z povinnosti evidovat tržby v oblasti sociální péče. Tato oblast v dotčených ustanoveních však v předkládaném návrhu již nefiguruje. Požadujeme vyjasnit, zda sociální služby poskytované veřejnou institucí nebudou muset tržby evidovat, avšak například na neziskové organizace a soukromé podnikatele tato povinnost dopadne. V tomto kontextu by zákon odporoval rovnosti subjektů a byl v rozporu se zásadou minimalizace administrativní zátěže veřejně prospěšných činností, což nelze akceptovat.</w:t>
            </w:r>
          </w:p>
          <w:p w14:paraId="0B7732D3" w14:textId="78C5211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sz w:val="20"/>
                <w:szCs w:val="20"/>
              </w:rPr>
            </w:pPr>
            <w:r w:rsidRPr="0035187E">
              <w:rPr>
                <w:rFonts w:ascii="Times New Roman" w:hAnsi="Times New Roman" w:cs="Times New Roman"/>
                <w:b/>
                <w:sz w:val="20"/>
                <w:szCs w:val="20"/>
              </w:rPr>
              <w:lastRenderedPageBreak/>
              <w:t xml:space="preserve">Tuto připomínku považuje ministerstvo za zásadní.     </w:t>
            </w:r>
          </w:p>
        </w:tc>
        <w:tc>
          <w:tcPr>
            <w:tcW w:w="1453" w:type="pct"/>
            <w:tcBorders>
              <w:top w:val="single" w:sz="4" w:space="0" w:color="auto"/>
              <w:left w:val="single" w:sz="4" w:space="0" w:color="auto"/>
              <w:right w:val="single" w:sz="4" w:space="0" w:color="auto"/>
            </w:tcBorders>
            <w:shd w:val="clear" w:color="auto" w:fill="auto"/>
          </w:tcPr>
          <w:p w14:paraId="18F93A8E" w14:textId="77777777" w:rsidR="00BE73FF" w:rsidRPr="0035187E" w:rsidRDefault="004627AF"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Vysvětleno.</w:t>
            </w:r>
          </w:p>
          <w:p w14:paraId="4C4A8B26" w14:textId="77777777" w:rsidR="004627AF" w:rsidRPr="0035187E" w:rsidRDefault="004627AF"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Lze potvrdit, že poskytování služeb (a to nejen v sociální oblasti) bude z pohledu evidence tržeb odlišná v závislosti na tom, zda bude poskytována subjektem, kterému svědčí výjimka podle § 12, nebo nikoliv. Z tohoto pohledu nejde o nestandardní konstrukci. </w:t>
            </w:r>
          </w:p>
          <w:p w14:paraId="76E57F0C" w14:textId="33267882" w:rsidR="004627AF" w:rsidRPr="0035187E" w:rsidRDefault="004627AF" w:rsidP="0035187E">
            <w:pPr>
              <w:jc w:val="both"/>
              <w:rPr>
                <w:rFonts w:ascii="Times New Roman" w:hAnsi="Times New Roman" w:cs="Times New Roman"/>
                <w:sz w:val="20"/>
                <w:szCs w:val="20"/>
              </w:rPr>
            </w:pPr>
            <w:r w:rsidRPr="0035187E">
              <w:rPr>
                <w:rFonts w:ascii="Times New Roman" w:hAnsi="Times New Roman" w:cs="Times New Roman"/>
                <w:sz w:val="20"/>
                <w:szCs w:val="20"/>
              </w:rPr>
              <w:lastRenderedPageBreak/>
              <w:t>Oblast</w:t>
            </w:r>
            <w:r w:rsidR="00D46345" w:rsidRPr="0035187E">
              <w:rPr>
                <w:rFonts w:ascii="Times New Roman" w:hAnsi="Times New Roman" w:cs="Times New Roman"/>
                <w:sz w:val="20"/>
                <w:szCs w:val="20"/>
              </w:rPr>
              <w:t xml:space="preserve"> </w:t>
            </w:r>
            <w:r w:rsidRPr="0035187E">
              <w:rPr>
                <w:rFonts w:ascii="Times New Roman" w:hAnsi="Times New Roman" w:cs="Times New Roman"/>
                <w:sz w:val="20"/>
                <w:szCs w:val="20"/>
              </w:rPr>
              <w:t>poskytování sociálních služeb na podnikatelské bázi předkladatel nepovažuje samu o sobě za natolik unikátní, že by jí měla svědčit výjimka z evidence tržeb.</w:t>
            </w:r>
          </w:p>
        </w:tc>
      </w:tr>
      <w:tr w:rsidR="0035187E" w:rsidRPr="0035187E" w14:paraId="2CCE6F73"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B008199" w14:textId="71A5D25E"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9.</w:t>
            </w:r>
          </w:p>
        </w:tc>
        <w:tc>
          <w:tcPr>
            <w:tcW w:w="583" w:type="pct"/>
            <w:tcBorders>
              <w:top w:val="single" w:sz="4" w:space="0" w:color="auto"/>
              <w:left w:val="single" w:sz="4" w:space="0" w:color="auto"/>
              <w:right w:val="single" w:sz="4" w:space="0" w:color="auto"/>
            </w:tcBorders>
            <w:shd w:val="clear" w:color="auto" w:fill="auto"/>
          </w:tcPr>
          <w:p w14:paraId="4D788806" w14:textId="01844156"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vnitra</w:t>
            </w:r>
          </w:p>
        </w:tc>
        <w:tc>
          <w:tcPr>
            <w:tcW w:w="168" w:type="pct"/>
            <w:tcBorders>
              <w:top w:val="single" w:sz="4" w:space="0" w:color="auto"/>
              <w:left w:val="single" w:sz="4" w:space="0" w:color="auto"/>
              <w:right w:val="single" w:sz="4" w:space="0" w:color="auto"/>
            </w:tcBorders>
            <w:shd w:val="clear" w:color="auto" w:fill="auto"/>
          </w:tcPr>
          <w:p w14:paraId="240725EC" w14:textId="75BBB70F"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6.</w:t>
            </w:r>
          </w:p>
        </w:tc>
        <w:tc>
          <w:tcPr>
            <w:tcW w:w="169" w:type="pct"/>
            <w:tcBorders>
              <w:top w:val="single" w:sz="4" w:space="0" w:color="auto"/>
              <w:left w:val="single" w:sz="4" w:space="0" w:color="auto"/>
              <w:right w:val="single" w:sz="4" w:space="0" w:color="auto"/>
            </w:tcBorders>
            <w:shd w:val="clear" w:color="auto" w:fill="auto"/>
          </w:tcPr>
          <w:p w14:paraId="41469D1C" w14:textId="3D6AA0CD"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86CC718"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b/>
                <w:sz w:val="20"/>
                <w:szCs w:val="20"/>
              </w:rPr>
            </w:pPr>
            <w:r w:rsidRPr="0035187E">
              <w:rPr>
                <w:rFonts w:ascii="Times New Roman" w:hAnsi="Times New Roman" w:cs="Times New Roman"/>
                <w:b/>
                <w:sz w:val="20"/>
                <w:szCs w:val="20"/>
              </w:rPr>
              <w:t>K § 17 odst. 3:</w:t>
            </w:r>
          </w:p>
          <w:p w14:paraId="101EC7C0" w14:textId="77777777" w:rsidR="00BE73FF" w:rsidRPr="0035187E" w:rsidRDefault="00BE73FF" w:rsidP="0035187E">
            <w:pPr>
              <w:ind w:firstLine="709"/>
              <w:jc w:val="both"/>
              <w:rPr>
                <w:rFonts w:ascii="Times New Roman" w:hAnsi="Times New Roman" w:cs="Times New Roman"/>
                <w:sz w:val="20"/>
                <w:szCs w:val="20"/>
              </w:rPr>
            </w:pPr>
            <w:r w:rsidRPr="0035187E">
              <w:rPr>
                <w:rFonts w:ascii="Times New Roman" w:hAnsi="Times New Roman" w:cs="Times New Roman"/>
                <w:sz w:val="20"/>
                <w:szCs w:val="20"/>
              </w:rPr>
              <w:t>Z hlediska působnosti Ministerstva vnitra jako ústředního správního úřadu pro oblast archivnictví a spisové služby se jeví podstatným § 17 předmětného návrhu zákona stanovující povinnost poplatníka zaevidovat tržbu, a to zasláním údajů o evidované tržbě správci daně datovou zprávou na společné technické zařízení určené správcem daně ve stanoveném formátu a datové struktuře. § 17 odst. 3 pak uvádí, že zaslání údajů o evidované tržbě není podáním ani dokumentem podle právních předpisů upravujících archivnictví a spisovou službu. V důvodové zprávě je obsah tohoto ustanovení odůvodněn tím, že „</w:t>
            </w:r>
            <w:r w:rsidRPr="0035187E">
              <w:rPr>
                <w:rFonts w:ascii="Times New Roman" w:hAnsi="Times New Roman" w:cs="Times New Roman"/>
                <w:i/>
                <w:iCs/>
                <w:sz w:val="20"/>
                <w:szCs w:val="20"/>
              </w:rPr>
              <w:t>(z)práva obsahující údaje o evidované tržbě je výsledkem automatizovaného technického procesu za účelem splnění zákonné evidenční povinnosti poplatníka. Jedná se o dílčí a podkladové informace pro případný další postup správce daně, na jejichž základě se a priori nezahajuje žádné (daňové ani správní) řízení.</w:t>
            </w:r>
            <w:r w:rsidRPr="0035187E">
              <w:rPr>
                <w:rFonts w:ascii="Times New Roman" w:hAnsi="Times New Roman" w:cs="Times New Roman"/>
                <w:sz w:val="20"/>
                <w:szCs w:val="20"/>
              </w:rPr>
              <w:t>“. Odhlédneme-li od nepřípadnosti takovéhoto odůvodnění, dle našeho názoru ustanovení mj. eliminuje aplikaci § 3a zákona</w:t>
            </w:r>
            <w:r w:rsidRPr="0035187E">
              <w:rPr>
                <w:rFonts w:ascii="Times New Roman" w:hAnsi="Times New Roman" w:cs="Times New Roman"/>
                <w:b/>
                <w:bCs/>
                <w:sz w:val="20"/>
                <w:szCs w:val="20"/>
              </w:rPr>
              <w:t xml:space="preserve"> </w:t>
            </w:r>
            <w:r w:rsidRPr="0035187E">
              <w:rPr>
                <w:rFonts w:ascii="Times New Roman" w:hAnsi="Times New Roman" w:cs="Times New Roman"/>
                <w:sz w:val="20"/>
                <w:szCs w:val="20"/>
              </w:rPr>
              <w:t xml:space="preserve">č. 499/2004 Sb., o archivnictví a spisové službě a o změně některých zákonů, ve znění pozdějších předpisů (dále jen „archivní zákon“). V § 17 zmíněné technické zařízení je materiálně vzato informačním systémem, a mělo by tedy, v souladu s § 3a archivního zákona, umožnit uchovávání příslušných informací, tj. údajů o tržbách, a provedení výběru archiválií. Existence § 17 odst. 3 však (patrně) aplikaci § 3a archivního zákona vyloučí. </w:t>
            </w:r>
          </w:p>
          <w:p w14:paraId="07E1D709" w14:textId="77777777" w:rsidR="00BE73FF" w:rsidRPr="0035187E" w:rsidRDefault="00BE73FF" w:rsidP="0035187E">
            <w:pPr>
              <w:ind w:firstLine="709"/>
              <w:jc w:val="both"/>
              <w:rPr>
                <w:rFonts w:ascii="Times New Roman" w:hAnsi="Times New Roman" w:cs="Times New Roman"/>
                <w:sz w:val="20"/>
                <w:szCs w:val="20"/>
              </w:rPr>
            </w:pPr>
            <w:r w:rsidRPr="0035187E">
              <w:rPr>
                <w:rFonts w:ascii="Times New Roman" w:hAnsi="Times New Roman" w:cs="Times New Roman"/>
                <w:sz w:val="20"/>
                <w:szCs w:val="20"/>
              </w:rPr>
              <w:t>Rovněž je nezbytné uvést, že požadované zaslané údaje poplatníka popsané v § 17 odst. 3 návrhu zákona splňují zákonnou definici dokumentu, jsou tedy zcela jistě dokumentem podle § 2 písm. c) archivního zákona</w:t>
            </w:r>
            <w:r w:rsidRPr="0035187E">
              <w:rPr>
                <w:rFonts w:ascii="Times New Roman" w:hAnsi="Times New Roman" w:cs="Times New Roman"/>
                <w:b/>
                <w:bCs/>
                <w:sz w:val="20"/>
                <w:szCs w:val="20"/>
              </w:rPr>
              <w:t xml:space="preserve"> </w:t>
            </w:r>
            <w:r w:rsidRPr="0035187E">
              <w:rPr>
                <w:rFonts w:ascii="Times New Roman" w:hAnsi="Times New Roman" w:cs="Times New Roman"/>
                <w:sz w:val="20"/>
                <w:szCs w:val="20"/>
              </w:rPr>
              <w:t xml:space="preserve">neboť jsou zaznamenanými informacemi v digitální podobě a nelze připustit, aby správce daně, který je veřejnoprávním původcem, byl zcela zbaven povinnosti odborné správy části dokumentů (popsaných v návrhu zákona) tak, jak stanoví příslušná ustanovení archivního zákona, který stanoví požadavky na transparentní a přezkoumatelné nakládání s doručenými dokumenty v celém procesu jejich existence. </w:t>
            </w:r>
          </w:p>
          <w:p w14:paraId="4D0614DC" w14:textId="6FED4E78"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sz w:val="20"/>
                <w:szCs w:val="20"/>
              </w:rPr>
            </w:pPr>
            <w:r w:rsidRPr="0035187E">
              <w:rPr>
                <w:rFonts w:ascii="Times New Roman" w:hAnsi="Times New Roman" w:cs="Times New Roman"/>
                <w:b/>
                <w:sz w:val="20"/>
                <w:szCs w:val="20"/>
              </w:rPr>
              <w:t>Tuto připomínku považuje ministerstvo za zásadní.</w:t>
            </w:r>
          </w:p>
        </w:tc>
        <w:tc>
          <w:tcPr>
            <w:tcW w:w="1453" w:type="pct"/>
            <w:tcBorders>
              <w:top w:val="single" w:sz="4" w:space="0" w:color="auto"/>
              <w:left w:val="single" w:sz="4" w:space="0" w:color="auto"/>
              <w:right w:val="single" w:sz="4" w:space="0" w:color="auto"/>
            </w:tcBorders>
            <w:shd w:val="clear" w:color="auto" w:fill="auto"/>
          </w:tcPr>
          <w:p w14:paraId="2591C509" w14:textId="57F155E2" w:rsidR="00D46345" w:rsidRPr="0035187E" w:rsidRDefault="00D46345" w:rsidP="0035187E">
            <w:pPr>
              <w:jc w:val="both"/>
              <w:rPr>
                <w:rFonts w:ascii="Times New Roman" w:hAnsi="Times New Roman" w:cs="Times New Roman"/>
                <w:b/>
                <w:sz w:val="20"/>
                <w:szCs w:val="20"/>
              </w:rPr>
            </w:pPr>
            <w:r w:rsidRPr="0035187E">
              <w:rPr>
                <w:rFonts w:ascii="Times New Roman" w:hAnsi="Times New Roman" w:cs="Times New Roman"/>
                <w:b/>
                <w:sz w:val="20"/>
                <w:szCs w:val="20"/>
              </w:rPr>
              <w:t>Vyhověno.</w:t>
            </w:r>
          </w:p>
          <w:p w14:paraId="52E1C228" w14:textId="2132DCBB" w:rsidR="00D46345" w:rsidRPr="0035187E" w:rsidRDefault="00D46345" w:rsidP="0035187E">
            <w:pPr>
              <w:jc w:val="both"/>
              <w:rPr>
                <w:rFonts w:ascii="Times New Roman" w:hAnsi="Times New Roman" w:cs="Times New Roman"/>
                <w:sz w:val="20"/>
                <w:szCs w:val="20"/>
                <w:highlight w:val="cyan"/>
              </w:rPr>
            </w:pPr>
            <w:r w:rsidRPr="0035187E">
              <w:rPr>
                <w:rFonts w:ascii="Times New Roman" w:hAnsi="Times New Roman" w:cs="Times New Roman"/>
                <w:sz w:val="20"/>
                <w:szCs w:val="20"/>
              </w:rPr>
              <w:t>Materiál byl upraven.</w:t>
            </w:r>
          </w:p>
          <w:p w14:paraId="7D5B2604" w14:textId="3327E594" w:rsidR="00BE73FF" w:rsidRPr="0035187E" w:rsidRDefault="00BE73FF" w:rsidP="0035187E">
            <w:pPr>
              <w:jc w:val="both"/>
              <w:rPr>
                <w:rFonts w:ascii="Times New Roman" w:hAnsi="Times New Roman" w:cs="Times New Roman"/>
                <w:sz w:val="20"/>
                <w:szCs w:val="20"/>
              </w:rPr>
            </w:pPr>
          </w:p>
        </w:tc>
      </w:tr>
      <w:tr w:rsidR="0035187E" w:rsidRPr="0035187E" w14:paraId="6E51664A"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6965C55" w14:textId="49CB23FC"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9.</w:t>
            </w:r>
          </w:p>
        </w:tc>
        <w:tc>
          <w:tcPr>
            <w:tcW w:w="583" w:type="pct"/>
            <w:tcBorders>
              <w:top w:val="single" w:sz="4" w:space="0" w:color="auto"/>
              <w:left w:val="single" w:sz="4" w:space="0" w:color="auto"/>
              <w:right w:val="single" w:sz="4" w:space="0" w:color="auto"/>
            </w:tcBorders>
            <w:shd w:val="clear" w:color="auto" w:fill="auto"/>
          </w:tcPr>
          <w:p w14:paraId="5160DC47" w14:textId="113046AE"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vnitra</w:t>
            </w:r>
          </w:p>
        </w:tc>
        <w:tc>
          <w:tcPr>
            <w:tcW w:w="168" w:type="pct"/>
            <w:tcBorders>
              <w:top w:val="single" w:sz="4" w:space="0" w:color="auto"/>
              <w:left w:val="single" w:sz="4" w:space="0" w:color="auto"/>
              <w:right w:val="single" w:sz="4" w:space="0" w:color="auto"/>
            </w:tcBorders>
            <w:shd w:val="clear" w:color="auto" w:fill="auto"/>
          </w:tcPr>
          <w:p w14:paraId="0BEF80DD" w14:textId="43287075"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7.</w:t>
            </w:r>
          </w:p>
        </w:tc>
        <w:tc>
          <w:tcPr>
            <w:tcW w:w="169" w:type="pct"/>
            <w:tcBorders>
              <w:top w:val="single" w:sz="4" w:space="0" w:color="auto"/>
              <w:left w:val="single" w:sz="4" w:space="0" w:color="auto"/>
              <w:right w:val="single" w:sz="4" w:space="0" w:color="auto"/>
            </w:tcBorders>
            <w:shd w:val="clear" w:color="auto" w:fill="auto"/>
          </w:tcPr>
          <w:p w14:paraId="7E2F556E" w14:textId="016F16B1"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756C75A"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b/>
                <w:bCs/>
                <w:sz w:val="20"/>
                <w:szCs w:val="20"/>
              </w:rPr>
            </w:pPr>
            <w:r w:rsidRPr="0035187E">
              <w:rPr>
                <w:rFonts w:ascii="Times New Roman" w:hAnsi="Times New Roman" w:cs="Times New Roman"/>
                <w:b/>
                <w:bCs/>
                <w:sz w:val="20"/>
                <w:szCs w:val="20"/>
              </w:rPr>
              <w:t>K § 26:</w:t>
            </w:r>
          </w:p>
          <w:p w14:paraId="772A7A32" w14:textId="77777777" w:rsidR="00BE73FF" w:rsidRPr="0035187E" w:rsidRDefault="00BE73FF" w:rsidP="0035187E">
            <w:pPr>
              <w:numPr>
                <w:ilvl w:val="0"/>
                <w:numId w:val="34"/>
              </w:numPr>
              <w:tabs>
                <w:tab w:val="left" w:pos="0"/>
              </w:tabs>
              <w:overflowPunct w:val="0"/>
              <w:autoSpaceDE w:val="0"/>
              <w:autoSpaceDN w:val="0"/>
              <w:adjustRightInd w:val="0"/>
              <w:ind w:left="0" w:firstLine="0"/>
              <w:contextualSpacing/>
              <w:jc w:val="both"/>
              <w:textAlignment w:val="baseline"/>
              <w:rPr>
                <w:rFonts w:ascii="Times New Roman" w:eastAsia="Calibri" w:hAnsi="Times New Roman" w:cs="Times New Roman"/>
                <w:kern w:val="2"/>
                <w:sz w:val="20"/>
                <w:szCs w:val="20"/>
                <w:lang w:eastAsia="en-US"/>
                <w14:ligatures w14:val="standardContextual"/>
              </w:rPr>
            </w:pPr>
            <w:r w:rsidRPr="0035187E">
              <w:rPr>
                <w:rFonts w:ascii="Times New Roman" w:eastAsia="Calibri" w:hAnsi="Times New Roman" w:cs="Times New Roman"/>
                <w:kern w:val="2"/>
                <w:sz w:val="20"/>
                <w:szCs w:val="20"/>
                <w:lang w:eastAsia="en-US"/>
                <w14:ligatures w14:val="standardContextual"/>
              </w:rPr>
              <w:t xml:space="preserve">Odstavec 1 požadujeme přeformulovat takto: „(1) </w:t>
            </w:r>
            <w:r w:rsidRPr="0035187E">
              <w:rPr>
                <w:rFonts w:ascii="Times New Roman" w:eastAsia="Calibri" w:hAnsi="Times New Roman" w:cs="Times New Roman"/>
                <w:i/>
                <w:iCs/>
                <w:kern w:val="2"/>
                <w:sz w:val="20"/>
                <w:szCs w:val="20"/>
                <w:lang w:eastAsia="en-US"/>
                <w14:ligatures w14:val="standardContextual"/>
              </w:rPr>
              <w:t>K řízení o přestupcích podle tohoto zákona je příslušný finanční úřad. Příkazem na místě může přestupky projednat též celní úřad.“.</w:t>
            </w:r>
            <w:r w:rsidRPr="0035187E">
              <w:rPr>
                <w:rFonts w:ascii="Times New Roman" w:eastAsia="Calibri" w:hAnsi="Times New Roman" w:cs="Times New Roman"/>
                <w:kern w:val="2"/>
                <w:sz w:val="20"/>
                <w:szCs w:val="20"/>
                <w:lang w:eastAsia="en-US"/>
                <w14:ligatures w14:val="standardContextual"/>
              </w:rPr>
              <w:t xml:space="preserve"> Druhou větu lze případně vyčlenit do samostatného odstavce. Cílem je v souladu s obvyklou legislativní technikou zřetelněji odlišit případy stanovení věcné příslušnosti k vedení řízení o přestupku od vymezení případů, kdy má správní orgán pouze parciální působnost v oblasti řešení přestupků příkazem na místě.</w:t>
            </w:r>
          </w:p>
          <w:p w14:paraId="339EBA57" w14:textId="77777777" w:rsidR="00BE73FF" w:rsidRPr="0035187E" w:rsidRDefault="00BE73FF" w:rsidP="0035187E">
            <w:pPr>
              <w:numPr>
                <w:ilvl w:val="0"/>
                <w:numId w:val="34"/>
              </w:numPr>
              <w:tabs>
                <w:tab w:val="left" w:pos="0"/>
              </w:tabs>
              <w:overflowPunct w:val="0"/>
              <w:autoSpaceDE w:val="0"/>
              <w:autoSpaceDN w:val="0"/>
              <w:adjustRightInd w:val="0"/>
              <w:ind w:left="0" w:firstLine="0"/>
              <w:contextualSpacing/>
              <w:jc w:val="both"/>
              <w:textAlignment w:val="baseline"/>
              <w:rPr>
                <w:rFonts w:ascii="Times New Roman" w:eastAsia="Calibri" w:hAnsi="Times New Roman" w:cs="Times New Roman"/>
                <w:kern w:val="2"/>
                <w:sz w:val="20"/>
                <w:szCs w:val="20"/>
                <w:lang w:eastAsia="en-US"/>
                <w14:ligatures w14:val="standardContextual"/>
              </w:rPr>
            </w:pPr>
            <w:r w:rsidRPr="0035187E">
              <w:rPr>
                <w:rFonts w:ascii="Times New Roman" w:eastAsia="Calibri" w:hAnsi="Times New Roman" w:cs="Times New Roman"/>
                <w:kern w:val="2"/>
                <w:sz w:val="20"/>
                <w:szCs w:val="20"/>
                <w:lang w:eastAsia="en-US"/>
                <w14:ligatures w14:val="standardContextual"/>
              </w:rPr>
              <w:t xml:space="preserve">Požadujeme zvážit vhodnost a potřebnost navrhovaného odstavce 3. Vycházíme z toho, že je obecnou povinností každého správního orgánu oznámit podezření ze spáchání přestupku příslušnému správnímu orgánu (viz § 73 zákona č. 250/2016 Sb., o odpovědnosti za přestupky a řízení o nich). Není zcela zřejmé, jaký je důvod pro speciální </w:t>
            </w:r>
            <w:r w:rsidRPr="0035187E">
              <w:rPr>
                <w:rFonts w:ascii="Times New Roman" w:eastAsia="Calibri" w:hAnsi="Times New Roman" w:cs="Times New Roman"/>
                <w:kern w:val="2"/>
                <w:sz w:val="20"/>
                <w:szCs w:val="20"/>
                <w:lang w:eastAsia="en-US"/>
                <w14:ligatures w14:val="standardContextual"/>
              </w:rPr>
              <w:lastRenderedPageBreak/>
              <w:t>úpravu v případech, kdy je věc předávána finančnímu úřadu celním úřadem, ve srovnání s případy, kdy je podezření ze spáchání přestupku oznámeno jiným správním orgánem (případně fyzickou nebo právnickou osobou), což patrně nelze vyloučit, byť asi nepůjde o časté případy. Z návrhu neplyne, jak by bylo postupováno v těchto případech. Je otázkou, zda by finanční úřad, jemuž bylo podezření ze spáchání přestupku oznámeno, zahájil prověřování plnění povinností, a tak by se stal místně příslušným podle odstavce 2, či je počítáno s jiným postupem. Požadujeme navrhovanou úpravu blíže objasnit a případně vypustit odstavec 3 s tím, že metodické vedení celních úřadů v problematice oznamování přestupků, by bylo možné i bez výslovné úpravy. Pokud nebude úprava vypuštěna, lze zvážit, zda namísto speciálního odstavce 3 nerozšířit odstavec 2 o případy, kdy byl orgánu přestupek oznámen.</w:t>
            </w:r>
          </w:p>
          <w:p w14:paraId="78ED512C" w14:textId="7835FCBD"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sz w:val="20"/>
                <w:szCs w:val="20"/>
              </w:rPr>
            </w:pPr>
            <w:r w:rsidRPr="0035187E">
              <w:rPr>
                <w:rFonts w:ascii="Times New Roman" w:hAnsi="Times New Roman" w:cs="Times New Roman"/>
                <w:b/>
                <w:sz w:val="20"/>
                <w:szCs w:val="20"/>
              </w:rPr>
              <w:t xml:space="preserve">Tyto připomínky považuje ministerstvo za zásadní.     </w:t>
            </w:r>
          </w:p>
        </w:tc>
        <w:tc>
          <w:tcPr>
            <w:tcW w:w="1453" w:type="pct"/>
            <w:tcBorders>
              <w:top w:val="single" w:sz="4" w:space="0" w:color="auto"/>
              <w:left w:val="single" w:sz="4" w:space="0" w:color="auto"/>
              <w:right w:val="single" w:sz="4" w:space="0" w:color="auto"/>
            </w:tcBorders>
            <w:shd w:val="clear" w:color="auto" w:fill="auto"/>
          </w:tcPr>
          <w:p w14:paraId="0DB61354" w14:textId="45AA7B9C" w:rsidR="00BE73FF" w:rsidRPr="0035187E" w:rsidRDefault="00A01120"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Vyhověno.</w:t>
            </w:r>
          </w:p>
          <w:p w14:paraId="7B970892" w14:textId="01E5D69E" w:rsidR="00A01120" w:rsidRPr="0035187E" w:rsidRDefault="006602B1"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1. </w:t>
            </w:r>
            <w:r w:rsidR="00A01120" w:rsidRPr="0035187E">
              <w:rPr>
                <w:rFonts w:ascii="Times New Roman" w:hAnsi="Times New Roman" w:cs="Times New Roman"/>
                <w:sz w:val="20"/>
                <w:szCs w:val="20"/>
              </w:rPr>
              <w:t>Materiál byl upraven.</w:t>
            </w:r>
          </w:p>
          <w:p w14:paraId="66624610" w14:textId="77777777" w:rsidR="000124C0" w:rsidRPr="0035187E" w:rsidRDefault="000124C0" w:rsidP="0035187E">
            <w:pPr>
              <w:jc w:val="both"/>
              <w:rPr>
                <w:rFonts w:ascii="Times New Roman" w:hAnsi="Times New Roman" w:cs="Times New Roman"/>
                <w:sz w:val="20"/>
                <w:szCs w:val="20"/>
              </w:rPr>
            </w:pPr>
          </w:p>
          <w:p w14:paraId="5F9F361E" w14:textId="4B5DD4B8" w:rsidR="00D10A21" w:rsidRPr="0035187E" w:rsidRDefault="00D10A21"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50E37B95" w14:textId="10FDABA5" w:rsidR="00D10A21" w:rsidRPr="0035187E" w:rsidRDefault="006602B1"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2. </w:t>
            </w:r>
            <w:r w:rsidR="00AC5D6B" w:rsidRPr="0035187E">
              <w:rPr>
                <w:rFonts w:ascii="Times New Roman" w:hAnsi="Times New Roman" w:cs="Times New Roman"/>
                <w:sz w:val="20"/>
                <w:szCs w:val="20"/>
              </w:rPr>
              <w:t>Odstavec 3 je potřebný z hlediska žádoucího pravidla, kterým se určí místní příslušnosti finančního úřadu, a to tak, aby výsledek odpovídal specifikům obou dotčených soustav orgánů veřejné moci (jiná územní působnosti, možnost provádět tzv. vybranou působnost zahrnující kontrolní postupy celorepublikově atd.).</w:t>
            </w:r>
          </w:p>
          <w:p w14:paraId="2CF206E4" w14:textId="77777777" w:rsidR="00D10A21" w:rsidRPr="0035187E" w:rsidRDefault="00D10A21" w:rsidP="0035187E">
            <w:pPr>
              <w:jc w:val="both"/>
              <w:rPr>
                <w:rFonts w:ascii="Times New Roman" w:hAnsi="Times New Roman" w:cs="Times New Roman"/>
                <w:sz w:val="20"/>
                <w:szCs w:val="20"/>
              </w:rPr>
            </w:pPr>
          </w:p>
          <w:p w14:paraId="434FFAB2" w14:textId="495922C0" w:rsidR="00A01120" w:rsidRPr="0035187E" w:rsidRDefault="00A01120" w:rsidP="0035187E">
            <w:pPr>
              <w:jc w:val="both"/>
              <w:rPr>
                <w:rFonts w:ascii="Times New Roman" w:hAnsi="Times New Roman" w:cs="Times New Roman"/>
                <w:sz w:val="20"/>
                <w:szCs w:val="20"/>
              </w:rPr>
            </w:pPr>
          </w:p>
        </w:tc>
      </w:tr>
      <w:tr w:rsidR="0035187E" w:rsidRPr="0035187E" w14:paraId="6E7D0EA6"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43CE06BD" w14:textId="04142EC5"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9.</w:t>
            </w:r>
          </w:p>
        </w:tc>
        <w:tc>
          <w:tcPr>
            <w:tcW w:w="583" w:type="pct"/>
            <w:tcBorders>
              <w:top w:val="single" w:sz="4" w:space="0" w:color="auto"/>
              <w:left w:val="single" w:sz="4" w:space="0" w:color="auto"/>
              <w:right w:val="single" w:sz="4" w:space="0" w:color="auto"/>
            </w:tcBorders>
            <w:shd w:val="clear" w:color="auto" w:fill="auto"/>
          </w:tcPr>
          <w:p w14:paraId="51E56331" w14:textId="1552FFD4"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vnitra</w:t>
            </w:r>
          </w:p>
        </w:tc>
        <w:tc>
          <w:tcPr>
            <w:tcW w:w="168" w:type="pct"/>
            <w:tcBorders>
              <w:top w:val="single" w:sz="4" w:space="0" w:color="auto"/>
              <w:left w:val="single" w:sz="4" w:space="0" w:color="auto"/>
              <w:right w:val="single" w:sz="4" w:space="0" w:color="auto"/>
            </w:tcBorders>
            <w:shd w:val="clear" w:color="auto" w:fill="auto"/>
          </w:tcPr>
          <w:p w14:paraId="681B232B" w14:textId="114EC118"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8.</w:t>
            </w:r>
          </w:p>
        </w:tc>
        <w:tc>
          <w:tcPr>
            <w:tcW w:w="169" w:type="pct"/>
            <w:tcBorders>
              <w:top w:val="single" w:sz="4" w:space="0" w:color="auto"/>
              <w:left w:val="single" w:sz="4" w:space="0" w:color="auto"/>
              <w:right w:val="single" w:sz="4" w:space="0" w:color="auto"/>
            </w:tcBorders>
            <w:shd w:val="clear" w:color="auto" w:fill="auto"/>
          </w:tcPr>
          <w:p w14:paraId="742116B0" w14:textId="15527004"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E3F0428"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b/>
                <w:bCs/>
                <w:sz w:val="20"/>
                <w:szCs w:val="20"/>
              </w:rPr>
            </w:pPr>
            <w:r w:rsidRPr="0035187E">
              <w:rPr>
                <w:rFonts w:ascii="Times New Roman" w:hAnsi="Times New Roman" w:cs="Times New Roman"/>
                <w:b/>
                <w:bCs/>
                <w:sz w:val="20"/>
                <w:szCs w:val="20"/>
              </w:rPr>
              <w:t xml:space="preserve">K § 34 bodu </w:t>
            </w:r>
            <w:proofErr w:type="gramStart"/>
            <w:r w:rsidRPr="0035187E">
              <w:rPr>
                <w:rFonts w:ascii="Times New Roman" w:hAnsi="Times New Roman" w:cs="Times New Roman"/>
                <w:b/>
                <w:bCs/>
                <w:sz w:val="20"/>
                <w:szCs w:val="20"/>
              </w:rPr>
              <w:t>1 – k</w:t>
            </w:r>
            <w:proofErr w:type="gramEnd"/>
            <w:r w:rsidRPr="0035187E">
              <w:rPr>
                <w:rFonts w:ascii="Times New Roman" w:hAnsi="Times New Roman" w:cs="Times New Roman"/>
                <w:b/>
                <w:bCs/>
                <w:sz w:val="20"/>
                <w:szCs w:val="20"/>
              </w:rPr>
              <w:t xml:space="preserve"> § 12b odst. 4 zákona č. 456/2011 Sb.:</w:t>
            </w:r>
          </w:p>
          <w:p w14:paraId="328F57B0"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sz w:val="20"/>
                <w:szCs w:val="20"/>
              </w:rPr>
            </w:pPr>
            <w:r w:rsidRPr="0035187E">
              <w:rPr>
                <w:rFonts w:ascii="Times New Roman" w:hAnsi="Times New Roman" w:cs="Times New Roman"/>
                <w:sz w:val="20"/>
                <w:szCs w:val="20"/>
              </w:rPr>
              <w:tab/>
              <w:t>Slovní spojení „</w:t>
            </w:r>
            <w:r w:rsidRPr="0035187E">
              <w:rPr>
                <w:rFonts w:ascii="Times New Roman" w:hAnsi="Times New Roman" w:cs="Times New Roman"/>
                <w:i/>
                <w:iCs/>
                <w:sz w:val="20"/>
                <w:szCs w:val="20"/>
              </w:rPr>
              <w:t>pro jiné působnosti finančního úřadu než správu daní</w:t>
            </w:r>
            <w:r w:rsidRPr="0035187E">
              <w:rPr>
                <w:rFonts w:ascii="Times New Roman" w:hAnsi="Times New Roman" w:cs="Times New Roman"/>
                <w:sz w:val="20"/>
                <w:szCs w:val="20"/>
              </w:rPr>
              <w:t>“ užité v § 12b odst. 4 písm. b) považujeme za značně neurčité. Požadujeme tedy blíže vysvětlit vztah § 12b odst. 4 písm. b) k ustanovením o změně místní příslušnosti podle zákona č. 250/2016 Sb., o odpovědnosti za přestupky a řízení o nich. Není zřejmé, zda má jít o speciální právní úpravu, právní úpravu, která bude aplikovatelná paralelně, nebo zda navrhovaná právní úprava nebude na řízení o přestupku vůbec dopadat.</w:t>
            </w:r>
          </w:p>
          <w:p w14:paraId="3470579F" w14:textId="1B4AE9FA"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sz w:val="20"/>
                <w:szCs w:val="20"/>
              </w:rPr>
            </w:pPr>
            <w:r w:rsidRPr="0035187E">
              <w:rPr>
                <w:rFonts w:ascii="Times New Roman" w:hAnsi="Times New Roman" w:cs="Times New Roman"/>
                <w:b/>
                <w:sz w:val="20"/>
                <w:szCs w:val="20"/>
              </w:rPr>
              <w:t xml:space="preserve">Tuto připomínku považuje ministerstvo za zásadní.     </w:t>
            </w:r>
          </w:p>
        </w:tc>
        <w:tc>
          <w:tcPr>
            <w:tcW w:w="1453" w:type="pct"/>
            <w:tcBorders>
              <w:top w:val="single" w:sz="4" w:space="0" w:color="auto"/>
              <w:left w:val="single" w:sz="4" w:space="0" w:color="auto"/>
              <w:right w:val="single" w:sz="4" w:space="0" w:color="auto"/>
            </w:tcBorders>
            <w:shd w:val="clear" w:color="auto" w:fill="auto"/>
          </w:tcPr>
          <w:p w14:paraId="17EF5DEF" w14:textId="77777777" w:rsidR="006155B7" w:rsidRPr="0035187E" w:rsidRDefault="006155B7"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Vysvětleno.</w:t>
            </w:r>
          </w:p>
          <w:p w14:paraId="54F364C0" w14:textId="6D5669E8" w:rsidR="006155B7" w:rsidRPr="0035187E" w:rsidRDefault="006155B7" w:rsidP="0035187E">
            <w:pPr>
              <w:jc w:val="both"/>
              <w:rPr>
                <w:rFonts w:ascii="Times New Roman" w:hAnsi="Times New Roman" w:cs="Times New Roman"/>
                <w:sz w:val="20"/>
                <w:szCs w:val="20"/>
              </w:rPr>
            </w:pPr>
            <w:r w:rsidRPr="0035187E">
              <w:rPr>
                <w:rFonts w:ascii="Times New Roman" w:hAnsi="Times New Roman" w:cs="Times New Roman"/>
                <w:sz w:val="20"/>
                <w:szCs w:val="20"/>
              </w:rPr>
              <w:t>Ustanovení odkazuje na vymezení působnosti finančních úřadů v § 10 zákona o Finanční správě ČR, kde je uvedena jednak působnost k výkonu správy daní, jednak další působnosti finančních úřadů, které nejsou vykonávány v daňovém procesním režimu (výslovně je zde uvedena též působnost v podobě provádění řízení o správních deliktech včetně přestupků). Navržené ustanovení § 12b cílí primárně na výkon správy daní, avšak právě jeho odstavec 4 písm. b) umožňuje jeho aplikaci také na veškeré další působnosti finančních úřadů uvedených v § 10 zákona, popřípadě stanovené jinými zákony. To se týká rovněž řízení o přestupcích. Současně je navržený § 12b speciální normou vůči obecným předpisů</w:t>
            </w:r>
            <w:r w:rsidR="00630B02" w:rsidRPr="0035187E">
              <w:rPr>
                <w:rFonts w:ascii="Times New Roman" w:hAnsi="Times New Roman" w:cs="Times New Roman"/>
                <w:sz w:val="20"/>
                <w:szCs w:val="20"/>
              </w:rPr>
              <w:t>m</w:t>
            </w:r>
            <w:r w:rsidRPr="0035187E">
              <w:rPr>
                <w:rFonts w:ascii="Times New Roman" w:hAnsi="Times New Roman" w:cs="Times New Roman"/>
                <w:sz w:val="20"/>
                <w:szCs w:val="20"/>
              </w:rPr>
              <w:t xml:space="preserve"> upravujícím řízení v jednotlivých oblastech včetně vymezení místní příslušnosti (jedná se o podstatu daného ustanovení, kdy standardně určená místní příslušnost podle daňového řádu, správního řádu, zákona č. 250/2016 Sb.</w:t>
            </w:r>
            <w:r w:rsidR="00F25871" w:rsidRPr="0035187E">
              <w:rPr>
                <w:rFonts w:ascii="Times New Roman" w:hAnsi="Times New Roman" w:cs="Times New Roman"/>
                <w:sz w:val="20"/>
                <w:szCs w:val="20"/>
              </w:rPr>
              <w:t>,</w:t>
            </w:r>
            <w:r w:rsidRPr="0035187E">
              <w:rPr>
                <w:rFonts w:ascii="Times New Roman" w:hAnsi="Times New Roman" w:cs="Times New Roman"/>
                <w:sz w:val="20"/>
                <w:szCs w:val="20"/>
              </w:rPr>
              <w:t xml:space="preserve"> popř. jiných zákonů je pro potřeby jednoho konkrétního orgánu – finančního úřadu – potenciálně modifikována speciálním nástrojem). Vlastní legislativní vymezení založené tom, že úprava primárně určená pro správu daní je v zájmu jednotného přístupu v rámci finančních úřadů vztažena také na nedaňové agendy, je v zákoně o Finanční správě ČR standardně používáno (srov</w:t>
            </w:r>
            <w:r w:rsidR="004B3D34" w:rsidRPr="0035187E">
              <w:rPr>
                <w:rFonts w:ascii="Times New Roman" w:hAnsi="Times New Roman" w:cs="Times New Roman"/>
                <w:sz w:val="20"/>
                <w:szCs w:val="20"/>
              </w:rPr>
              <w:t>.</w:t>
            </w:r>
            <w:r w:rsidRPr="0035187E">
              <w:rPr>
                <w:rFonts w:ascii="Times New Roman" w:hAnsi="Times New Roman" w:cs="Times New Roman"/>
                <w:sz w:val="20"/>
                <w:szCs w:val="20"/>
              </w:rPr>
              <w:t xml:space="preserve"> jeho § 11 odst. 4 nebo § 13c).          </w:t>
            </w:r>
          </w:p>
          <w:p w14:paraId="54DE4800" w14:textId="186D0C2B" w:rsidR="00BE73FF" w:rsidRPr="0035187E" w:rsidRDefault="006155B7" w:rsidP="0035187E">
            <w:pPr>
              <w:jc w:val="both"/>
              <w:rPr>
                <w:rFonts w:ascii="Times New Roman" w:hAnsi="Times New Roman" w:cs="Times New Roman"/>
                <w:sz w:val="20"/>
                <w:szCs w:val="20"/>
              </w:rPr>
            </w:pPr>
            <w:r w:rsidRPr="0035187E">
              <w:rPr>
                <w:rFonts w:ascii="Times New Roman" w:hAnsi="Times New Roman" w:cs="Times New Roman"/>
                <w:sz w:val="20"/>
                <w:szCs w:val="20"/>
              </w:rPr>
              <w:t>V uvedeném duchu byla doplněna důvodová zpráva.</w:t>
            </w:r>
          </w:p>
        </w:tc>
      </w:tr>
      <w:tr w:rsidR="0035187E" w:rsidRPr="0035187E" w14:paraId="68643D7E" w14:textId="77777777" w:rsidTr="0035187E">
        <w:trPr>
          <w:trHeight w:val="139"/>
        </w:trPr>
        <w:tc>
          <w:tcPr>
            <w:tcW w:w="227" w:type="pct"/>
            <w:tcBorders>
              <w:top w:val="single" w:sz="4" w:space="0" w:color="auto"/>
              <w:left w:val="single" w:sz="4" w:space="0" w:color="auto"/>
              <w:right w:val="single" w:sz="4" w:space="0" w:color="auto"/>
            </w:tcBorders>
            <w:shd w:val="clear" w:color="auto" w:fill="auto"/>
          </w:tcPr>
          <w:p w14:paraId="3267DBB1" w14:textId="2C2D2DB3"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9.</w:t>
            </w:r>
          </w:p>
        </w:tc>
        <w:tc>
          <w:tcPr>
            <w:tcW w:w="583" w:type="pct"/>
            <w:tcBorders>
              <w:top w:val="single" w:sz="4" w:space="0" w:color="auto"/>
              <w:left w:val="single" w:sz="4" w:space="0" w:color="auto"/>
              <w:right w:val="single" w:sz="4" w:space="0" w:color="auto"/>
            </w:tcBorders>
            <w:shd w:val="clear" w:color="auto" w:fill="auto"/>
          </w:tcPr>
          <w:p w14:paraId="5563E46D" w14:textId="5C3F0305"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vnitra</w:t>
            </w:r>
          </w:p>
        </w:tc>
        <w:tc>
          <w:tcPr>
            <w:tcW w:w="168" w:type="pct"/>
            <w:tcBorders>
              <w:top w:val="single" w:sz="4" w:space="0" w:color="auto"/>
              <w:left w:val="single" w:sz="4" w:space="0" w:color="auto"/>
              <w:right w:val="single" w:sz="4" w:space="0" w:color="auto"/>
            </w:tcBorders>
            <w:shd w:val="clear" w:color="auto" w:fill="auto"/>
          </w:tcPr>
          <w:p w14:paraId="743EFC3E" w14:textId="1488B32F"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9.</w:t>
            </w:r>
          </w:p>
        </w:tc>
        <w:tc>
          <w:tcPr>
            <w:tcW w:w="169" w:type="pct"/>
            <w:tcBorders>
              <w:top w:val="single" w:sz="4" w:space="0" w:color="auto"/>
              <w:left w:val="single" w:sz="4" w:space="0" w:color="auto"/>
              <w:right w:val="single" w:sz="4" w:space="0" w:color="auto"/>
            </w:tcBorders>
            <w:shd w:val="clear" w:color="auto" w:fill="auto"/>
          </w:tcPr>
          <w:p w14:paraId="2F5FBDC7" w14:textId="5B4EDC0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F994ABA"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b/>
                <w:bCs/>
                <w:sz w:val="20"/>
                <w:szCs w:val="20"/>
              </w:rPr>
            </w:pPr>
            <w:r w:rsidRPr="0035187E">
              <w:rPr>
                <w:rFonts w:ascii="Times New Roman" w:hAnsi="Times New Roman" w:cs="Times New Roman"/>
                <w:b/>
                <w:bCs/>
                <w:sz w:val="20"/>
                <w:szCs w:val="20"/>
              </w:rPr>
              <w:t>Nad rámec návrhu – k § 6 odst. 9 zákona č. 586/1992 Sb.:</w:t>
            </w:r>
          </w:p>
          <w:p w14:paraId="36D4B0FD"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bCs/>
                <w:sz w:val="20"/>
                <w:szCs w:val="20"/>
              </w:rPr>
            </w:pPr>
            <w:r w:rsidRPr="0035187E">
              <w:rPr>
                <w:rFonts w:ascii="Times New Roman" w:hAnsi="Times New Roman" w:cs="Times New Roman"/>
                <w:sz w:val="20"/>
                <w:szCs w:val="20"/>
              </w:rPr>
              <w:lastRenderedPageBreak/>
              <w:tab/>
            </w:r>
            <w:r w:rsidRPr="0035187E">
              <w:rPr>
                <w:rFonts w:ascii="Times New Roman" w:hAnsi="Times New Roman" w:cs="Times New Roman"/>
                <w:bCs/>
                <w:sz w:val="20"/>
                <w:szCs w:val="20"/>
              </w:rPr>
              <w:t>Požadujeme doplnit do § 6 odst. 9 předmětného zákona samostatné osvobození pro odměny a náhrady ušlého výdělku poskytované obcí členům jednotky sboru dobrovolných hasičů obce při výkonu služby. Obec má povinnost poskytovat odměnu za hašení požárů a záchranné práce při mimořádných událostech v mimopracovní době a dále poskytovat náhradu ušlého výdělku při zásahu, nařízeném cvičení nebo odborné přípravě [§ 29 odst. 1 písm. a) a f) zákona č. 133/1985 Sb., o požární ochraně, ve znění pozdějších předpisů].</w:t>
            </w:r>
          </w:p>
          <w:p w14:paraId="1896B7A6"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bCs/>
                <w:sz w:val="20"/>
                <w:szCs w:val="20"/>
              </w:rPr>
            </w:pPr>
            <w:r w:rsidRPr="0035187E">
              <w:rPr>
                <w:rFonts w:ascii="Times New Roman" w:hAnsi="Times New Roman" w:cs="Times New Roman"/>
                <w:bCs/>
                <w:sz w:val="20"/>
                <w:szCs w:val="20"/>
              </w:rPr>
              <w:tab/>
              <w:t>Tyto částky jsou vypláceny za činnost ve veřejném zájmu a mají charakter kompenzace, resp. odměny za službu, nikoliv standardní „</w:t>
            </w:r>
            <w:r w:rsidRPr="0035187E">
              <w:rPr>
                <w:rFonts w:ascii="Times New Roman" w:hAnsi="Times New Roman" w:cs="Times New Roman"/>
                <w:bCs/>
                <w:i/>
                <w:iCs/>
                <w:sz w:val="20"/>
                <w:szCs w:val="20"/>
              </w:rPr>
              <w:t>výdělečné</w:t>
            </w:r>
            <w:r w:rsidRPr="0035187E">
              <w:rPr>
                <w:rFonts w:ascii="Times New Roman" w:hAnsi="Times New Roman" w:cs="Times New Roman"/>
                <w:bCs/>
                <w:sz w:val="20"/>
                <w:szCs w:val="20"/>
              </w:rPr>
              <w:t>“ aktivity. Zároveň jde typicky o nízké až střední částky s významným motivačním efektem pro udržení akceschopnosti jednotky sboru dobrovolných hasičů obce. Daňové zatížení předmětných plnění je vůči dobrovolným členům těchto jednotek nepřiměřené, zejména ve srovnání s rozšiřováním osvobození u jiných plnění uvedených v dotčeném ustanovení. Navrhujeme tedy doplnit nové písmeno u) s ročním limitem, což lze považovat za řešení administrativně jednoduché, kontrolovatelné a s omezeným rozpočtovým dopad. Písmeno u) by pak mohlo znít:</w:t>
            </w:r>
          </w:p>
          <w:p w14:paraId="691017B2"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bCs/>
                <w:sz w:val="20"/>
                <w:szCs w:val="20"/>
              </w:rPr>
            </w:pPr>
            <w:r w:rsidRPr="0035187E">
              <w:rPr>
                <w:rFonts w:ascii="Times New Roman" w:hAnsi="Times New Roman" w:cs="Times New Roman"/>
                <w:bCs/>
                <w:sz w:val="20"/>
                <w:szCs w:val="20"/>
              </w:rPr>
              <w:t>„</w:t>
            </w:r>
            <w:r w:rsidRPr="0035187E">
              <w:rPr>
                <w:rFonts w:ascii="Times New Roman" w:hAnsi="Times New Roman" w:cs="Times New Roman"/>
                <w:bCs/>
                <w:i/>
                <w:iCs/>
                <w:sz w:val="20"/>
                <w:szCs w:val="20"/>
              </w:rPr>
              <w:t>u) odměna a náhrada ušlého výdělku poskytovaná obcí členovi jednotky sboru dobrovolných hasičů obce v souvislosti s plněním úkolů jednotky při zásahu, nařízeném cvičení nebo nařízené odborné přípravě podle zákona upravujícího požární ochranu, a to v úhrnné výši do 50 000 Kč za zdaňovací období.</w:t>
            </w:r>
            <w:r w:rsidRPr="0035187E">
              <w:rPr>
                <w:rFonts w:ascii="Times New Roman" w:hAnsi="Times New Roman" w:cs="Times New Roman"/>
                <w:bCs/>
                <w:sz w:val="20"/>
                <w:szCs w:val="20"/>
              </w:rPr>
              <w:t>“.</w:t>
            </w:r>
          </w:p>
          <w:p w14:paraId="07003A76" w14:textId="3EF44C3C"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sz w:val="20"/>
                <w:szCs w:val="20"/>
              </w:rPr>
            </w:pPr>
            <w:r w:rsidRPr="0035187E">
              <w:rPr>
                <w:rFonts w:ascii="Times New Roman" w:hAnsi="Times New Roman" w:cs="Times New Roman"/>
                <w:b/>
                <w:sz w:val="20"/>
                <w:szCs w:val="20"/>
              </w:rPr>
              <w:t xml:space="preserve">Tuto připomínku považuje ministerstvo za zásadní.     </w:t>
            </w:r>
          </w:p>
        </w:tc>
        <w:tc>
          <w:tcPr>
            <w:tcW w:w="1453" w:type="pct"/>
            <w:tcBorders>
              <w:top w:val="single" w:sz="4" w:space="0" w:color="auto"/>
              <w:left w:val="single" w:sz="4" w:space="0" w:color="auto"/>
              <w:right w:val="single" w:sz="4" w:space="0" w:color="auto"/>
            </w:tcBorders>
            <w:shd w:val="clear" w:color="auto" w:fill="auto"/>
          </w:tcPr>
          <w:p w14:paraId="0A8C8E84" w14:textId="77777777" w:rsidR="0080059D" w:rsidRPr="0035187E" w:rsidRDefault="0080059D"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Nevyhověno.</w:t>
            </w:r>
          </w:p>
          <w:p w14:paraId="477FF915" w14:textId="2AD359F6" w:rsidR="0080059D" w:rsidRPr="0035187E" w:rsidRDefault="0080059D" w:rsidP="0035187E">
            <w:pPr>
              <w:jc w:val="both"/>
              <w:rPr>
                <w:rFonts w:ascii="Times New Roman" w:hAnsi="Times New Roman" w:cs="Times New Roman"/>
                <w:sz w:val="20"/>
                <w:szCs w:val="20"/>
              </w:rPr>
            </w:pPr>
            <w:r w:rsidRPr="0035187E">
              <w:rPr>
                <w:rFonts w:ascii="Times New Roman" w:hAnsi="Times New Roman" w:cs="Times New Roman"/>
                <w:sz w:val="20"/>
                <w:szCs w:val="20"/>
              </w:rPr>
              <w:lastRenderedPageBreak/>
              <w:t xml:space="preserve">Podnět přesahuje rámec navrhované úpravy zákona o evidenci tržeb. </w:t>
            </w:r>
          </w:p>
          <w:p w14:paraId="1C33E3EF" w14:textId="063B4504" w:rsidR="0080059D" w:rsidRPr="0035187E" w:rsidRDefault="0080059D" w:rsidP="0035187E">
            <w:pPr>
              <w:jc w:val="both"/>
              <w:rPr>
                <w:rFonts w:ascii="Times New Roman" w:hAnsi="Times New Roman" w:cs="Times New Roman"/>
                <w:sz w:val="20"/>
                <w:szCs w:val="20"/>
              </w:rPr>
            </w:pPr>
            <w:r w:rsidRPr="0035187E">
              <w:rPr>
                <w:rFonts w:ascii="Times New Roman" w:hAnsi="Times New Roman" w:cs="Times New Roman"/>
                <w:sz w:val="20"/>
                <w:szCs w:val="20"/>
              </w:rPr>
              <w:t>Zavedení samostatného osvobození pro odměny a náhrady ušlého výdělku členů jednotek sboru dobrovolných hasičů by představovalo výjimku z obecného pravidla, podle kterého náhrada ušlého výdělku není příjmem od daně osvobozeným (§ 4 odst. 1 písm. d) bod 1. zákona o daních z příjmů). Je-li poskytována odměna za službu, má nepochybně souvislost s výkonem služby. Osvobození tohoto příjmu by tedy znamenalo neodůvodněnou selektivní výjimku oproti daňovému režimu obdobných příjmů fyzických osob vykonávajících činnost ve veřejném zájmu.</w:t>
            </w:r>
          </w:p>
          <w:p w14:paraId="2ECF7911" w14:textId="3285A9A7" w:rsidR="00BE73FF" w:rsidRPr="0035187E" w:rsidRDefault="0080059D"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Nové osvobození by rovněž vyžadovalo dodatečnou administrativu pro obce při sledování limitu 50 000 Kč a kontrole jeho dodržení, což by zatížilo zejména menší jednotky a obce s omezenými kapacitami. </w:t>
            </w:r>
          </w:p>
        </w:tc>
      </w:tr>
      <w:tr w:rsidR="0035187E" w:rsidRPr="0035187E" w14:paraId="0221BD09"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897ED14" w14:textId="7863AC3B"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9.</w:t>
            </w:r>
          </w:p>
        </w:tc>
        <w:tc>
          <w:tcPr>
            <w:tcW w:w="583" w:type="pct"/>
            <w:tcBorders>
              <w:top w:val="single" w:sz="4" w:space="0" w:color="auto"/>
              <w:left w:val="single" w:sz="4" w:space="0" w:color="auto"/>
              <w:right w:val="single" w:sz="4" w:space="0" w:color="auto"/>
            </w:tcBorders>
            <w:shd w:val="clear" w:color="auto" w:fill="auto"/>
          </w:tcPr>
          <w:p w14:paraId="276EFE18" w14:textId="22D35656"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vnitra</w:t>
            </w:r>
          </w:p>
        </w:tc>
        <w:tc>
          <w:tcPr>
            <w:tcW w:w="168" w:type="pct"/>
            <w:tcBorders>
              <w:top w:val="single" w:sz="4" w:space="0" w:color="auto"/>
              <w:left w:val="single" w:sz="4" w:space="0" w:color="auto"/>
              <w:right w:val="single" w:sz="4" w:space="0" w:color="auto"/>
            </w:tcBorders>
            <w:shd w:val="clear" w:color="auto" w:fill="auto"/>
          </w:tcPr>
          <w:p w14:paraId="6816B2C9" w14:textId="75B23C42"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10.</w:t>
            </w:r>
          </w:p>
        </w:tc>
        <w:tc>
          <w:tcPr>
            <w:tcW w:w="169" w:type="pct"/>
            <w:tcBorders>
              <w:top w:val="single" w:sz="4" w:space="0" w:color="auto"/>
              <w:left w:val="single" w:sz="4" w:space="0" w:color="auto"/>
              <w:right w:val="single" w:sz="4" w:space="0" w:color="auto"/>
            </w:tcBorders>
            <w:shd w:val="clear" w:color="auto" w:fill="auto"/>
          </w:tcPr>
          <w:p w14:paraId="49D5C194" w14:textId="59F7B0B9"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2B3BF7E"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b/>
                <w:sz w:val="20"/>
                <w:szCs w:val="20"/>
                <w:u w:val="single"/>
              </w:rPr>
            </w:pPr>
            <w:r w:rsidRPr="0035187E">
              <w:rPr>
                <w:rFonts w:ascii="Times New Roman" w:hAnsi="Times New Roman" w:cs="Times New Roman"/>
                <w:b/>
                <w:sz w:val="20"/>
                <w:szCs w:val="20"/>
                <w:u w:val="single"/>
              </w:rPr>
              <w:t>Doporučující připomínky:</w:t>
            </w:r>
          </w:p>
          <w:p w14:paraId="1B610EF3"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b/>
                <w:sz w:val="20"/>
                <w:szCs w:val="20"/>
              </w:rPr>
            </w:pPr>
            <w:r w:rsidRPr="0035187E">
              <w:rPr>
                <w:rFonts w:ascii="Times New Roman" w:hAnsi="Times New Roman" w:cs="Times New Roman"/>
                <w:b/>
                <w:sz w:val="20"/>
                <w:szCs w:val="20"/>
              </w:rPr>
              <w:t xml:space="preserve">K § 1 odst. 2: </w:t>
            </w:r>
          </w:p>
          <w:p w14:paraId="28702E92" w14:textId="0B4C659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sz w:val="20"/>
                <w:szCs w:val="20"/>
              </w:rPr>
            </w:pPr>
            <w:r w:rsidRPr="0035187E">
              <w:rPr>
                <w:rFonts w:ascii="Times New Roman" w:hAnsi="Times New Roman" w:cs="Times New Roman"/>
                <w:sz w:val="20"/>
                <w:szCs w:val="20"/>
              </w:rPr>
              <w:tab/>
              <w:t xml:space="preserve">Doporučujeme odstavec 2 vypustit. Domníváme se, že účel zákona jasně plyne z přiložené důvodové zprávy. Není tedy nutné zakotvovat ustanovení, které má, spíše než normativní, proklamační charakter. Účel zákona je vhodné zakotvit u kodexových právní předpisů, veřejnoprávních regulací s hodnotovým základem či při implementaci právních předpisů Evropské unie, do těchto kategorií však návrh nespadá. </w:t>
            </w:r>
          </w:p>
        </w:tc>
        <w:tc>
          <w:tcPr>
            <w:tcW w:w="1453" w:type="pct"/>
            <w:tcBorders>
              <w:top w:val="single" w:sz="4" w:space="0" w:color="auto"/>
              <w:left w:val="single" w:sz="4" w:space="0" w:color="auto"/>
              <w:right w:val="single" w:sz="4" w:space="0" w:color="auto"/>
            </w:tcBorders>
            <w:shd w:val="clear" w:color="auto" w:fill="auto"/>
          </w:tcPr>
          <w:p w14:paraId="583E399C" w14:textId="77777777" w:rsidR="00BE73FF" w:rsidRPr="0035187E" w:rsidRDefault="007D109B" w:rsidP="0035187E">
            <w:pPr>
              <w:jc w:val="both"/>
              <w:rPr>
                <w:rFonts w:ascii="Times New Roman" w:hAnsi="Times New Roman" w:cs="Times New Roman"/>
                <w:b/>
                <w:sz w:val="20"/>
                <w:szCs w:val="20"/>
              </w:rPr>
            </w:pPr>
            <w:r w:rsidRPr="0035187E">
              <w:rPr>
                <w:rFonts w:ascii="Times New Roman" w:hAnsi="Times New Roman" w:cs="Times New Roman"/>
                <w:b/>
                <w:sz w:val="20"/>
                <w:szCs w:val="20"/>
              </w:rPr>
              <w:t>Nevyhověno.</w:t>
            </w:r>
          </w:p>
          <w:p w14:paraId="72B76EC7" w14:textId="7C426418" w:rsidR="007D109B" w:rsidRPr="0035187E" w:rsidRDefault="007D109B" w:rsidP="0035187E">
            <w:pPr>
              <w:jc w:val="both"/>
              <w:rPr>
                <w:rFonts w:ascii="Times New Roman" w:hAnsi="Times New Roman" w:cs="Times New Roman"/>
                <w:sz w:val="20"/>
                <w:szCs w:val="20"/>
              </w:rPr>
            </w:pPr>
            <w:r w:rsidRPr="0035187E">
              <w:rPr>
                <w:rFonts w:ascii="Times New Roman" w:hAnsi="Times New Roman" w:cs="Times New Roman"/>
                <w:sz w:val="20"/>
                <w:szCs w:val="20"/>
              </w:rPr>
              <w:t>Doplnění účelu zákona má velmi důležitý význam pro interpretaci dalších ustanovení, a to i z pohledu na ústavně-právní dimenzi.</w:t>
            </w:r>
          </w:p>
        </w:tc>
      </w:tr>
      <w:tr w:rsidR="0035187E" w:rsidRPr="0035187E" w14:paraId="16C23E2F"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35DB5BE" w14:textId="20A3E14F"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9.</w:t>
            </w:r>
          </w:p>
        </w:tc>
        <w:tc>
          <w:tcPr>
            <w:tcW w:w="583" w:type="pct"/>
            <w:tcBorders>
              <w:top w:val="single" w:sz="4" w:space="0" w:color="auto"/>
              <w:left w:val="single" w:sz="4" w:space="0" w:color="auto"/>
              <w:right w:val="single" w:sz="4" w:space="0" w:color="auto"/>
            </w:tcBorders>
            <w:shd w:val="clear" w:color="auto" w:fill="auto"/>
          </w:tcPr>
          <w:p w14:paraId="1D123210" w14:textId="4A0752CA"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vnitra</w:t>
            </w:r>
          </w:p>
        </w:tc>
        <w:tc>
          <w:tcPr>
            <w:tcW w:w="168" w:type="pct"/>
            <w:tcBorders>
              <w:top w:val="single" w:sz="4" w:space="0" w:color="auto"/>
              <w:left w:val="single" w:sz="4" w:space="0" w:color="auto"/>
              <w:right w:val="single" w:sz="4" w:space="0" w:color="auto"/>
            </w:tcBorders>
            <w:shd w:val="clear" w:color="auto" w:fill="auto"/>
          </w:tcPr>
          <w:p w14:paraId="5E1759D7" w14:textId="54E5618E"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11.</w:t>
            </w:r>
          </w:p>
        </w:tc>
        <w:tc>
          <w:tcPr>
            <w:tcW w:w="169" w:type="pct"/>
            <w:tcBorders>
              <w:top w:val="single" w:sz="4" w:space="0" w:color="auto"/>
              <w:left w:val="single" w:sz="4" w:space="0" w:color="auto"/>
              <w:right w:val="single" w:sz="4" w:space="0" w:color="auto"/>
            </w:tcBorders>
            <w:shd w:val="clear" w:color="auto" w:fill="auto"/>
          </w:tcPr>
          <w:p w14:paraId="40DE78A1" w14:textId="7EDC6145"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69292A6"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b/>
                <w:bCs/>
                <w:sz w:val="20"/>
                <w:szCs w:val="20"/>
              </w:rPr>
            </w:pPr>
            <w:r w:rsidRPr="0035187E">
              <w:rPr>
                <w:rFonts w:ascii="Times New Roman" w:hAnsi="Times New Roman" w:cs="Times New Roman"/>
                <w:b/>
                <w:bCs/>
                <w:sz w:val="20"/>
                <w:szCs w:val="20"/>
              </w:rPr>
              <w:t>K § 2 odst. 2:</w:t>
            </w:r>
          </w:p>
          <w:p w14:paraId="31C68511" w14:textId="328CCC6A"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sz w:val="20"/>
                <w:szCs w:val="20"/>
              </w:rPr>
            </w:pPr>
            <w:r w:rsidRPr="0035187E">
              <w:rPr>
                <w:rFonts w:ascii="Times New Roman" w:hAnsi="Times New Roman" w:cs="Times New Roman"/>
                <w:sz w:val="20"/>
                <w:szCs w:val="20"/>
              </w:rPr>
              <w:tab/>
              <w:t>Za účelem zpřesnění uvedeného odstavce doporučujeme slovo „</w:t>
            </w:r>
            <w:r w:rsidRPr="0035187E">
              <w:rPr>
                <w:rFonts w:ascii="Times New Roman" w:hAnsi="Times New Roman" w:cs="Times New Roman"/>
                <w:i/>
                <w:iCs/>
                <w:sz w:val="20"/>
                <w:szCs w:val="20"/>
              </w:rPr>
              <w:t>mají</w:t>
            </w:r>
            <w:r w:rsidRPr="0035187E">
              <w:rPr>
                <w:rFonts w:ascii="Times New Roman" w:hAnsi="Times New Roman" w:cs="Times New Roman"/>
                <w:sz w:val="20"/>
                <w:szCs w:val="20"/>
              </w:rPr>
              <w:t>“ nahradit slovem „</w:t>
            </w:r>
            <w:r w:rsidRPr="0035187E">
              <w:rPr>
                <w:rFonts w:ascii="Times New Roman" w:hAnsi="Times New Roman" w:cs="Times New Roman"/>
                <w:i/>
                <w:iCs/>
                <w:sz w:val="20"/>
                <w:szCs w:val="20"/>
              </w:rPr>
              <w:t>vykonávají</w:t>
            </w:r>
            <w:r w:rsidRPr="0035187E">
              <w:rPr>
                <w:rFonts w:ascii="Times New Roman" w:hAnsi="Times New Roman" w:cs="Times New Roman"/>
                <w:sz w:val="20"/>
                <w:szCs w:val="20"/>
              </w:rPr>
              <w:t>“.</w:t>
            </w:r>
          </w:p>
        </w:tc>
        <w:tc>
          <w:tcPr>
            <w:tcW w:w="1453" w:type="pct"/>
            <w:tcBorders>
              <w:top w:val="single" w:sz="4" w:space="0" w:color="auto"/>
              <w:left w:val="single" w:sz="4" w:space="0" w:color="auto"/>
              <w:right w:val="single" w:sz="4" w:space="0" w:color="auto"/>
            </w:tcBorders>
            <w:shd w:val="clear" w:color="auto" w:fill="auto"/>
          </w:tcPr>
          <w:p w14:paraId="3C0E9580" w14:textId="77777777" w:rsidR="00BE73FF" w:rsidRPr="0035187E" w:rsidRDefault="007D109B" w:rsidP="0035187E">
            <w:pPr>
              <w:jc w:val="both"/>
              <w:rPr>
                <w:rFonts w:ascii="Times New Roman" w:hAnsi="Times New Roman" w:cs="Times New Roman"/>
                <w:b/>
                <w:sz w:val="20"/>
                <w:szCs w:val="20"/>
              </w:rPr>
            </w:pPr>
            <w:r w:rsidRPr="0035187E">
              <w:rPr>
                <w:rFonts w:ascii="Times New Roman" w:hAnsi="Times New Roman" w:cs="Times New Roman"/>
                <w:b/>
                <w:sz w:val="20"/>
                <w:szCs w:val="20"/>
              </w:rPr>
              <w:t>Vyhověno.</w:t>
            </w:r>
          </w:p>
          <w:p w14:paraId="27EBA914" w14:textId="46F2BFD2" w:rsidR="007D109B" w:rsidRPr="0035187E" w:rsidRDefault="007D109B"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tc>
      </w:tr>
      <w:tr w:rsidR="0035187E" w:rsidRPr="0035187E" w14:paraId="56A47001"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4D8435A" w14:textId="15FFE6FA"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9.</w:t>
            </w:r>
          </w:p>
        </w:tc>
        <w:tc>
          <w:tcPr>
            <w:tcW w:w="583" w:type="pct"/>
            <w:tcBorders>
              <w:top w:val="single" w:sz="4" w:space="0" w:color="auto"/>
              <w:left w:val="single" w:sz="4" w:space="0" w:color="auto"/>
              <w:right w:val="single" w:sz="4" w:space="0" w:color="auto"/>
            </w:tcBorders>
            <w:shd w:val="clear" w:color="auto" w:fill="auto"/>
          </w:tcPr>
          <w:p w14:paraId="679CA8F6" w14:textId="154CC543"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vnitra</w:t>
            </w:r>
          </w:p>
        </w:tc>
        <w:tc>
          <w:tcPr>
            <w:tcW w:w="168" w:type="pct"/>
            <w:tcBorders>
              <w:top w:val="single" w:sz="4" w:space="0" w:color="auto"/>
              <w:left w:val="single" w:sz="4" w:space="0" w:color="auto"/>
              <w:right w:val="single" w:sz="4" w:space="0" w:color="auto"/>
            </w:tcBorders>
            <w:shd w:val="clear" w:color="auto" w:fill="auto"/>
          </w:tcPr>
          <w:p w14:paraId="000ADA56" w14:textId="676B236F"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12.</w:t>
            </w:r>
          </w:p>
        </w:tc>
        <w:tc>
          <w:tcPr>
            <w:tcW w:w="169" w:type="pct"/>
            <w:tcBorders>
              <w:top w:val="single" w:sz="4" w:space="0" w:color="auto"/>
              <w:left w:val="single" w:sz="4" w:space="0" w:color="auto"/>
              <w:right w:val="single" w:sz="4" w:space="0" w:color="auto"/>
            </w:tcBorders>
            <w:shd w:val="clear" w:color="auto" w:fill="auto"/>
          </w:tcPr>
          <w:p w14:paraId="3B66B71C" w14:textId="143B38B6"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7179A7F" w14:textId="77777777" w:rsidR="00BE73FF" w:rsidRPr="0035187E" w:rsidRDefault="00BE73FF" w:rsidP="0035187E">
            <w:pPr>
              <w:keepNext/>
              <w:tabs>
                <w:tab w:val="left" w:pos="0"/>
              </w:tabs>
              <w:overflowPunct w:val="0"/>
              <w:autoSpaceDE w:val="0"/>
              <w:autoSpaceDN w:val="0"/>
              <w:adjustRightInd w:val="0"/>
              <w:jc w:val="both"/>
              <w:textAlignment w:val="baseline"/>
              <w:rPr>
                <w:rFonts w:ascii="Times New Roman" w:hAnsi="Times New Roman" w:cs="Times New Roman"/>
                <w:b/>
                <w:sz w:val="20"/>
                <w:szCs w:val="20"/>
              </w:rPr>
            </w:pPr>
            <w:r w:rsidRPr="0035187E">
              <w:rPr>
                <w:rFonts w:ascii="Times New Roman" w:hAnsi="Times New Roman" w:cs="Times New Roman"/>
                <w:b/>
                <w:sz w:val="20"/>
                <w:szCs w:val="20"/>
              </w:rPr>
              <w:t xml:space="preserve">K § 7 odst. 2: </w:t>
            </w:r>
          </w:p>
          <w:p w14:paraId="5F8EF731" w14:textId="77777777" w:rsidR="00BE73FF" w:rsidRPr="0035187E" w:rsidRDefault="00BE73FF" w:rsidP="0035187E">
            <w:pPr>
              <w:keepNext/>
              <w:numPr>
                <w:ilvl w:val="0"/>
                <w:numId w:val="35"/>
              </w:numPr>
              <w:tabs>
                <w:tab w:val="left" w:pos="0"/>
              </w:tabs>
              <w:overflowPunct w:val="0"/>
              <w:autoSpaceDE w:val="0"/>
              <w:autoSpaceDN w:val="0"/>
              <w:adjustRightInd w:val="0"/>
              <w:ind w:left="0" w:firstLine="0"/>
              <w:contextualSpacing/>
              <w:jc w:val="both"/>
              <w:textAlignment w:val="baseline"/>
              <w:rPr>
                <w:rFonts w:ascii="Times New Roman" w:eastAsia="Calibri" w:hAnsi="Times New Roman" w:cs="Times New Roman"/>
                <w:kern w:val="2"/>
                <w:sz w:val="20"/>
                <w:szCs w:val="20"/>
                <w:lang w:eastAsia="en-US"/>
                <w14:ligatures w14:val="standardContextual"/>
              </w:rPr>
            </w:pPr>
            <w:r w:rsidRPr="0035187E">
              <w:rPr>
                <w:rFonts w:ascii="Times New Roman" w:eastAsia="Calibri" w:hAnsi="Times New Roman" w:cs="Times New Roman"/>
                <w:kern w:val="2"/>
                <w:sz w:val="20"/>
                <w:szCs w:val="20"/>
                <w:lang w:eastAsia="en-US"/>
                <w14:ligatures w14:val="standardContextual"/>
              </w:rPr>
              <w:t>V zájmu přesnosti a srozumitelnosti právního předpisu doporučujeme do ustanovení doplnit, že se jedná o přímé a nepřímé zastoupení vymezené občanským zákoníkem.</w:t>
            </w:r>
          </w:p>
          <w:p w14:paraId="6E8B8AE8" w14:textId="058B3248" w:rsidR="00BE73FF" w:rsidRPr="0035187E" w:rsidRDefault="00BE73FF" w:rsidP="0035187E">
            <w:pPr>
              <w:numPr>
                <w:ilvl w:val="0"/>
                <w:numId w:val="35"/>
              </w:numPr>
              <w:tabs>
                <w:tab w:val="left" w:pos="0"/>
              </w:tabs>
              <w:overflowPunct w:val="0"/>
              <w:autoSpaceDE w:val="0"/>
              <w:autoSpaceDN w:val="0"/>
              <w:adjustRightInd w:val="0"/>
              <w:ind w:left="0" w:firstLine="0"/>
              <w:contextualSpacing/>
              <w:jc w:val="both"/>
              <w:textAlignment w:val="baseline"/>
              <w:rPr>
                <w:rFonts w:ascii="Times New Roman" w:hAnsi="Times New Roman" w:cs="Times New Roman"/>
                <w:sz w:val="20"/>
                <w:szCs w:val="20"/>
              </w:rPr>
            </w:pPr>
            <w:r w:rsidRPr="0035187E">
              <w:rPr>
                <w:rFonts w:ascii="Times New Roman" w:eastAsia="Calibri" w:hAnsi="Times New Roman" w:cs="Times New Roman"/>
                <w:kern w:val="2"/>
                <w:sz w:val="20"/>
                <w:szCs w:val="20"/>
                <w:lang w:eastAsia="en-US"/>
                <w14:ligatures w14:val="standardContextual"/>
              </w:rPr>
              <w:t xml:space="preserve">Dále doporučujeme vyjasnit postup, kdy zprostředkovatel prostředky drží na </w:t>
            </w:r>
            <w:proofErr w:type="spellStart"/>
            <w:r w:rsidRPr="0035187E">
              <w:rPr>
                <w:rFonts w:ascii="Times New Roman" w:eastAsia="Calibri" w:hAnsi="Times New Roman" w:cs="Times New Roman"/>
                <w:kern w:val="2"/>
                <w:sz w:val="20"/>
                <w:szCs w:val="20"/>
                <w:lang w:eastAsia="en-US"/>
                <w14:ligatures w14:val="standardContextual"/>
              </w:rPr>
              <w:t>escrow</w:t>
            </w:r>
            <w:proofErr w:type="spellEnd"/>
            <w:r w:rsidRPr="0035187E">
              <w:rPr>
                <w:rFonts w:ascii="Times New Roman" w:eastAsia="Calibri" w:hAnsi="Times New Roman" w:cs="Times New Roman"/>
                <w:kern w:val="2"/>
                <w:sz w:val="20"/>
                <w:szCs w:val="20"/>
                <w:lang w:eastAsia="en-US"/>
                <w14:ligatures w14:val="standardContextual"/>
              </w:rPr>
              <w:t xml:space="preserve"> účtu nebo zúčtovává v dávkách.</w:t>
            </w:r>
          </w:p>
        </w:tc>
        <w:tc>
          <w:tcPr>
            <w:tcW w:w="1453" w:type="pct"/>
            <w:tcBorders>
              <w:top w:val="single" w:sz="4" w:space="0" w:color="auto"/>
              <w:left w:val="single" w:sz="4" w:space="0" w:color="auto"/>
              <w:right w:val="single" w:sz="4" w:space="0" w:color="auto"/>
            </w:tcBorders>
            <w:shd w:val="clear" w:color="auto" w:fill="auto"/>
          </w:tcPr>
          <w:p w14:paraId="68A97AE8" w14:textId="3A2C66BA" w:rsidR="00BE73FF" w:rsidRPr="0035187E" w:rsidRDefault="00BC3191" w:rsidP="0035187E">
            <w:pPr>
              <w:jc w:val="both"/>
              <w:rPr>
                <w:rFonts w:ascii="Times New Roman" w:hAnsi="Times New Roman" w:cs="Times New Roman"/>
                <w:b/>
                <w:sz w:val="20"/>
                <w:szCs w:val="20"/>
              </w:rPr>
            </w:pPr>
            <w:r w:rsidRPr="0035187E">
              <w:rPr>
                <w:rFonts w:ascii="Times New Roman" w:hAnsi="Times New Roman" w:cs="Times New Roman"/>
                <w:b/>
                <w:sz w:val="20"/>
                <w:szCs w:val="20"/>
              </w:rPr>
              <w:t>Vyhověno jinak</w:t>
            </w:r>
            <w:r w:rsidR="007D109B" w:rsidRPr="0035187E">
              <w:rPr>
                <w:rFonts w:ascii="Times New Roman" w:hAnsi="Times New Roman" w:cs="Times New Roman"/>
                <w:b/>
                <w:sz w:val="20"/>
                <w:szCs w:val="20"/>
              </w:rPr>
              <w:t>.</w:t>
            </w:r>
          </w:p>
          <w:p w14:paraId="7A5CD6AC" w14:textId="5873C0A6" w:rsidR="00563257" w:rsidRPr="0035187E" w:rsidRDefault="00BC3191"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Materiál byl upraven tak, že </w:t>
            </w:r>
            <w:r w:rsidR="004446E1" w:rsidRPr="0035187E">
              <w:rPr>
                <w:rFonts w:ascii="Times New Roman" w:hAnsi="Times New Roman" w:cs="Times New Roman"/>
                <w:sz w:val="20"/>
                <w:szCs w:val="20"/>
              </w:rPr>
              <w:t xml:space="preserve">pro splnění podmínky výjimky musí být </w:t>
            </w:r>
            <w:r w:rsidRPr="0035187E">
              <w:rPr>
                <w:rFonts w:ascii="Times New Roman" w:hAnsi="Times New Roman" w:cs="Times New Roman"/>
                <w:sz w:val="20"/>
                <w:szCs w:val="20"/>
              </w:rPr>
              <w:t>platba zprostředkována jako poštovní služba provedením převodu peněžních prostředků na platební účet tohoto poplatníka</w:t>
            </w:r>
            <w:r w:rsidR="004446E1" w:rsidRPr="0035187E">
              <w:rPr>
                <w:rFonts w:ascii="Times New Roman" w:hAnsi="Times New Roman" w:cs="Times New Roman"/>
                <w:sz w:val="20"/>
                <w:szCs w:val="20"/>
              </w:rPr>
              <w:t>.</w:t>
            </w:r>
          </w:p>
        </w:tc>
      </w:tr>
      <w:tr w:rsidR="0035187E" w:rsidRPr="0035187E" w14:paraId="5DD15FF5"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D69C960" w14:textId="3D3856E9"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9.</w:t>
            </w:r>
          </w:p>
        </w:tc>
        <w:tc>
          <w:tcPr>
            <w:tcW w:w="583" w:type="pct"/>
            <w:tcBorders>
              <w:top w:val="single" w:sz="4" w:space="0" w:color="auto"/>
              <w:left w:val="single" w:sz="4" w:space="0" w:color="auto"/>
              <w:right w:val="single" w:sz="4" w:space="0" w:color="auto"/>
            </w:tcBorders>
            <w:shd w:val="clear" w:color="auto" w:fill="auto"/>
          </w:tcPr>
          <w:p w14:paraId="5E5F611C" w14:textId="356AEBA2"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vnitra</w:t>
            </w:r>
          </w:p>
        </w:tc>
        <w:tc>
          <w:tcPr>
            <w:tcW w:w="168" w:type="pct"/>
            <w:tcBorders>
              <w:top w:val="single" w:sz="4" w:space="0" w:color="auto"/>
              <w:left w:val="single" w:sz="4" w:space="0" w:color="auto"/>
              <w:right w:val="single" w:sz="4" w:space="0" w:color="auto"/>
            </w:tcBorders>
            <w:shd w:val="clear" w:color="auto" w:fill="auto"/>
          </w:tcPr>
          <w:p w14:paraId="0C1D451E" w14:textId="5B05C39A"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13.</w:t>
            </w:r>
          </w:p>
        </w:tc>
        <w:tc>
          <w:tcPr>
            <w:tcW w:w="169" w:type="pct"/>
            <w:tcBorders>
              <w:top w:val="single" w:sz="4" w:space="0" w:color="auto"/>
              <w:left w:val="single" w:sz="4" w:space="0" w:color="auto"/>
              <w:right w:val="single" w:sz="4" w:space="0" w:color="auto"/>
            </w:tcBorders>
            <w:shd w:val="clear" w:color="auto" w:fill="auto"/>
          </w:tcPr>
          <w:p w14:paraId="59F1507C" w14:textId="072DD6C5"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B7F549C"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b/>
                <w:bCs/>
                <w:sz w:val="20"/>
                <w:szCs w:val="20"/>
              </w:rPr>
            </w:pPr>
            <w:r w:rsidRPr="0035187E">
              <w:rPr>
                <w:rFonts w:ascii="Times New Roman" w:hAnsi="Times New Roman" w:cs="Times New Roman"/>
                <w:b/>
                <w:bCs/>
                <w:sz w:val="20"/>
                <w:szCs w:val="20"/>
              </w:rPr>
              <w:t>K § 14 odst. 4:</w:t>
            </w:r>
          </w:p>
          <w:p w14:paraId="19A994EB" w14:textId="4E2507BC" w:rsidR="00BE73FF" w:rsidRPr="0035187E" w:rsidRDefault="00BE73FF" w:rsidP="0035187E">
            <w:pPr>
              <w:tabs>
                <w:tab w:val="left" w:pos="0"/>
              </w:tabs>
              <w:overflowPunct w:val="0"/>
              <w:autoSpaceDE w:val="0"/>
              <w:autoSpaceDN w:val="0"/>
              <w:adjustRightInd w:val="0"/>
              <w:ind w:firstLine="708"/>
              <w:jc w:val="both"/>
              <w:textAlignment w:val="baseline"/>
              <w:rPr>
                <w:rFonts w:ascii="Times New Roman" w:hAnsi="Times New Roman" w:cs="Times New Roman"/>
                <w:sz w:val="20"/>
                <w:szCs w:val="20"/>
              </w:rPr>
            </w:pPr>
            <w:r w:rsidRPr="0035187E">
              <w:rPr>
                <w:rFonts w:ascii="Times New Roman" w:hAnsi="Times New Roman" w:cs="Times New Roman"/>
                <w:sz w:val="20"/>
                <w:szCs w:val="20"/>
              </w:rPr>
              <w:t>Byť rozumíme, kam zbytkové materiální kritérium „</w:t>
            </w:r>
            <w:r w:rsidRPr="0035187E">
              <w:rPr>
                <w:rFonts w:ascii="Times New Roman" w:hAnsi="Times New Roman" w:cs="Times New Roman"/>
                <w:i/>
                <w:iCs/>
                <w:sz w:val="20"/>
                <w:szCs w:val="20"/>
              </w:rPr>
              <w:t>jsou naplněny okolnosti neumožňující nebo zásadně ztěžující evidenci tržeb</w:t>
            </w:r>
            <w:r w:rsidRPr="0035187E">
              <w:rPr>
                <w:rFonts w:ascii="Times New Roman" w:hAnsi="Times New Roman" w:cs="Times New Roman"/>
                <w:sz w:val="20"/>
                <w:szCs w:val="20"/>
              </w:rPr>
              <w:t>“ směřuje, jde o velmi vágní a neurčitou formulaci, která může vést k výkladovým nejasnostem. Doporučujeme přehodnotit, zda je s ohledem na objektivní kritéria a pravděpodobnost daňového úniku v těchto situacích nezbytné zakotvení tohoto materiálního kritéria.</w:t>
            </w:r>
          </w:p>
        </w:tc>
        <w:tc>
          <w:tcPr>
            <w:tcW w:w="1453" w:type="pct"/>
            <w:tcBorders>
              <w:top w:val="single" w:sz="4" w:space="0" w:color="auto"/>
              <w:left w:val="single" w:sz="4" w:space="0" w:color="auto"/>
              <w:right w:val="single" w:sz="4" w:space="0" w:color="auto"/>
            </w:tcBorders>
            <w:shd w:val="clear" w:color="auto" w:fill="auto"/>
          </w:tcPr>
          <w:p w14:paraId="1CFE84A7" w14:textId="77777777" w:rsidR="00BE73FF" w:rsidRPr="0035187E" w:rsidRDefault="00563257"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11ACA6E5" w14:textId="77777777" w:rsidR="00563257" w:rsidRPr="0035187E" w:rsidRDefault="00563257" w:rsidP="0035187E">
            <w:pPr>
              <w:jc w:val="both"/>
              <w:rPr>
                <w:rFonts w:ascii="Times New Roman" w:hAnsi="Times New Roman" w:cs="Times New Roman"/>
                <w:sz w:val="20"/>
                <w:szCs w:val="20"/>
              </w:rPr>
            </w:pPr>
            <w:r w:rsidRPr="0035187E">
              <w:rPr>
                <w:rFonts w:ascii="Times New Roman" w:hAnsi="Times New Roman" w:cs="Times New Roman"/>
                <w:sz w:val="20"/>
                <w:szCs w:val="20"/>
              </w:rPr>
              <w:t>Přítomnost materiálního kritéria je záměrem, nicméně došlo k úpravě textu daného ustanovení a důvodové zprávy.</w:t>
            </w:r>
          </w:p>
          <w:p w14:paraId="19C2B61E" w14:textId="2EE86AB0" w:rsidR="00563257" w:rsidRPr="0035187E" w:rsidRDefault="00563257" w:rsidP="0035187E">
            <w:pPr>
              <w:jc w:val="both"/>
              <w:rPr>
                <w:rFonts w:ascii="Times New Roman" w:hAnsi="Times New Roman" w:cs="Times New Roman"/>
                <w:sz w:val="20"/>
                <w:szCs w:val="20"/>
              </w:rPr>
            </w:pPr>
          </w:p>
        </w:tc>
      </w:tr>
      <w:tr w:rsidR="0035187E" w:rsidRPr="0035187E" w14:paraId="30A5E54A"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445B29A6" w14:textId="61DE6829"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9.</w:t>
            </w:r>
          </w:p>
        </w:tc>
        <w:tc>
          <w:tcPr>
            <w:tcW w:w="583" w:type="pct"/>
            <w:tcBorders>
              <w:top w:val="single" w:sz="4" w:space="0" w:color="auto"/>
              <w:left w:val="single" w:sz="4" w:space="0" w:color="auto"/>
              <w:right w:val="single" w:sz="4" w:space="0" w:color="auto"/>
            </w:tcBorders>
            <w:shd w:val="clear" w:color="auto" w:fill="auto"/>
          </w:tcPr>
          <w:p w14:paraId="78599181" w14:textId="2C4EE395"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vnitra</w:t>
            </w:r>
          </w:p>
        </w:tc>
        <w:tc>
          <w:tcPr>
            <w:tcW w:w="168" w:type="pct"/>
            <w:tcBorders>
              <w:top w:val="single" w:sz="4" w:space="0" w:color="auto"/>
              <w:left w:val="single" w:sz="4" w:space="0" w:color="auto"/>
              <w:right w:val="single" w:sz="4" w:space="0" w:color="auto"/>
            </w:tcBorders>
            <w:shd w:val="clear" w:color="auto" w:fill="auto"/>
          </w:tcPr>
          <w:p w14:paraId="1F2FF7A7" w14:textId="71054C30"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14.</w:t>
            </w:r>
          </w:p>
        </w:tc>
        <w:tc>
          <w:tcPr>
            <w:tcW w:w="169" w:type="pct"/>
            <w:tcBorders>
              <w:top w:val="single" w:sz="4" w:space="0" w:color="auto"/>
              <w:left w:val="single" w:sz="4" w:space="0" w:color="auto"/>
              <w:right w:val="single" w:sz="4" w:space="0" w:color="auto"/>
            </w:tcBorders>
            <w:shd w:val="clear" w:color="auto" w:fill="auto"/>
          </w:tcPr>
          <w:p w14:paraId="0E3C89D4" w14:textId="7348BE5A"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C0A1AD4"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b/>
                <w:bCs/>
                <w:sz w:val="20"/>
                <w:szCs w:val="20"/>
              </w:rPr>
            </w:pPr>
            <w:r w:rsidRPr="0035187E">
              <w:rPr>
                <w:rFonts w:ascii="Times New Roman" w:hAnsi="Times New Roman" w:cs="Times New Roman"/>
                <w:b/>
                <w:bCs/>
                <w:sz w:val="20"/>
                <w:szCs w:val="20"/>
              </w:rPr>
              <w:t>K § 15 odst. 1:</w:t>
            </w:r>
          </w:p>
          <w:p w14:paraId="43803A6B" w14:textId="1EE5ABC3"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sz w:val="20"/>
                <w:szCs w:val="20"/>
              </w:rPr>
            </w:pPr>
            <w:r w:rsidRPr="0035187E">
              <w:rPr>
                <w:rFonts w:ascii="Times New Roman" w:hAnsi="Times New Roman" w:cs="Times New Roman"/>
                <w:sz w:val="20"/>
                <w:szCs w:val="20"/>
              </w:rPr>
              <w:tab/>
              <w:t>Doporučujeme odstavec 1 doplnit o stanovení způsobu určení počtu certifikátů pro evidenci tržeb, neboť je v předložené podobě velmi neurčitý, resp. pro adresáty právní normy přímo nevyplývá, kolik certifikátů si před přijetím první evidované tržby musí zajistit, což odporuje požadavku na jasnost a srozumitelnost právní normy.</w:t>
            </w:r>
          </w:p>
        </w:tc>
        <w:tc>
          <w:tcPr>
            <w:tcW w:w="1453" w:type="pct"/>
            <w:tcBorders>
              <w:top w:val="single" w:sz="4" w:space="0" w:color="auto"/>
              <w:left w:val="single" w:sz="4" w:space="0" w:color="auto"/>
              <w:right w:val="single" w:sz="4" w:space="0" w:color="auto"/>
            </w:tcBorders>
            <w:shd w:val="clear" w:color="auto" w:fill="auto"/>
          </w:tcPr>
          <w:p w14:paraId="7920570F" w14:textId="77777777" w:rsidR="00BE73FF" w:rsidRPr="0035187E" w:rsidRDefault="00563257"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294E01C0" w14:textId="5D3210C6" w:rsidR="00563257" w:rsidRPr="0035187E" w:rsidRDefault="00563257" w:rsidP="0035187E">
            <w:pPr>
              <w:jc w:val="both"/>
              <w:rPr>
                <w:rFonts w:ascii="Times New Roman" w:hAnsi="Times New Roman" w:cs="Times New Roman"/>
                <w:sz w:val="20"/>
                <w:szCs w:val="20"/>
              </w:rPr>
            </w:pPr>
            <w:r w:rsidRPr="0035187E">
              <w:rPr>
                <w:rFonts w:ascii="Times New Roman" w:hAnsi="Times New Roman" w:cs="Times New Roman"/>
                <w:sz w:val="20"/>
                <w:szCs w:val="20"/>
              </w:rPr>
              <w:t>Jde o fungující koncepci z předchozího zákona o evidenci tržeb. Platí, že je primárně na poplatníkovi, aby si posoudil, kolik certifikátů bude potřebovat k tomu, aby zajistil řádné plnění povinnosti evidovat tržby. Implicitně je zřejmé, že certifikát musí být alespoň jeden.</w:t>
            </w:r>
          </w:p>
        </w:tc>
      </w:tr>
      <w:tr w:rsidR="0035187E" w:rsidRPr="0035187E" w14:paraId="5AF56BB5"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75A06BF" w14:textId="697D9A2D"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9.</w:t>
            </w:r>
          </w:p>
        </w:tc>
        <w:tc>
          <w:tcPr>
            <w:tcW w:w="583" w:type="pct"/>
            <w:tcBorders>
              <w:top w:val="single" w:sz="4" w:space="0" w:color="auto"/>
              <w:left w:val="single" w:sz="4" w:space="0" w:color="auto"/>
              <w:right w:val="single" w:sz="4" w:space="0" w:color="auto"/>
            </w:tcBorders>
            <w:shd w:val="clear" w:color="auto" w:fill="auto"/>
          </w:tcPr>
          <w:p w14:paraId="03C1B671" w14:textId="1290A264"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vnitra</w:t>
            </w:r>
          </w:p>
        </w:tc>
        <w:tc>
          <w:tcPr>
            <w:tcW w:w="168" w:type="pct"/>
            <w:tcBorders>
              <w:top w:val="single" w:sz="4" w:space="0" w:color="auto"/>
              <w:left w:val="single" w:sz="4" w:space="0" w:color="auto"/>
              <w:right w:val="single" w:sz="4" w:space="0" w:color="auto"/>
            </w:tcBorders>
            <w:shd w:val="clear" w:color="auto" w:fill="auto"/>
          </w:tcPr>
          <w:p w14:paraId="3980B37D" w14:textId="72E6C033"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15.</w:t>
            </w:r>
          </w:p>
        </w:tc>
        <w:tc>
          <w:tcPr>
            <w:tcW w:w="169" w:type="pct"/>
            <w:tcBorders>
              <w:top w:val="single" w:sz="4" w:space="0" w:color="auto"/>
              <w:left w:val="single" w:sz="4" w:space="0" w:color="auto"/>
              <w:right w:val="single" w:sz="4" w:space="0" w:color="auto"/>
            </w:tcBorders>
            <w:shd w:val="clear" w:color="auto" w:fill="auto"/>
          </w:tcPr>
          <w:p w14:paraId="1972A338" w14:textId="19684869"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9C3F727"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b/>
                <w:bCs/>
                <w:sz w:val="20"/>
                <w:szCs w:val="20"/>
              </w:rPr>
            </w:pPr>
            <w:r w:rsidRPr="0035187E">
              <w:rPr>
                <w:rFonts w:ascii="Times New Roman" w:hAnsi="Times New Roman" w:cs="Times New Roman"/>
                <w:b/>
                <w:bCs/>
                <w:sz w:val="20"/>
                <w:szCs w:val="20"/>
              </w:rPr>
              <w:t>K § 15 odst. 3, § 17 odst. 4, § 18 odst. 3:</w:t>
            </w:r>
          </w:p>
          <w:p w14:paraId="5DEC68E5" w14:textId="51ED9C4A"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sz w:val="20"/>
                <w:szCs w:val="20"/>
              </w:rPr>
            </w:pPr>
            <w:r w:rsidRPr="0035187E">
              <w:rPr>
                <w:rFonts w:ascii="Times New Roman" w:hAnsi="Times New Roman" w:cs="Times New Roman"/>
                <w:sz w:val="20"/>
                <w:szCs w:val="20"/>
              </w:rPr>
              <w:tab/>
              <w:t>Navrhujeme nahradit slova „</w:t>
            </w:r>
            <w:r w:rsidRPr="0035187E">
              <w:rPr>
                <w:rFonts w:ascii="Times New Roman" w:hAnsi="Times New Roman" w:cs="Times New Roman"/>
                <w:i/>
                <w:iCs/>
                <w:sz w:val="20"/>
                <w:szCs w:val="20"/>
              </w:rPr>
              <w:t>způsobem umožňujícím dálkový přístup</w:t>
            </w:r>
            <w:r w:rsidRPr="0035187E">
              <w:rPr>
                <w:rFonts w:ascii="Times New Roman" w:hAnsi="Times New Roman" w:cs="Times New Roman"/>
                <w:sz w:val="20"/>
                <w:szCs w:val="20"/>
              </w:rPr>
              <w:t>“ např. slovy „</w:t>
            </w:r>
            <w:r w:rsidRPr="0035187E">
              <w:rPr>
                <w:rFonts w:ascii="Times New Roman" w:hAnsi="Times New Roman" w:cs="Times New Roman"/>
                <w:i/>
                <w:iCs/>
                <w:sz w:val="20"/>
                <w:szCs w:val="20"/>
              </w:rPr>
              <w:t>na svých internetových stránkách</w:t>
            </w:r>
            <w:r w:rsidRPr="0035187E">
              <w:rPr>
                <w:rFonts w:ascii="Times New Roman" w:hAnsi="Times New Roman" w:cs="Times New Roman"/>
                <w:sz w:val="20"/>
                <w:szCs w:val="20"/>
              </w:rPr>
              <w:t>“. Dojde tak k přesnému vymezení místa uveřejnění. Slova „</w:t>
            </w:r>
            <w:r w:rsidRPr="0035187E">
              <w:rPr>
                <w:rFonts w:ascii="Times New Roman" w:hAnsi="Times New Roman" w:cs="Times New Roman"/>
                <w:i/>
                <w:iCs/>
                <w:sz w:val="20"/>
                <w:szCs w:val="20"/>
              </w:rPr>
              <w:t>způsobem umožňující dálkový přístup</w:t>
            </w:r>
            <w:r w:rsidRPr="0035187E">
              <w:rPr>
                <w:rFonts w:ascii="Times New Roman" w:hAnsi="Times New Roman" w:cs="Times New Roman"/>
                <w:sz w:val="20"/>
                <w:szCs w:val="20"/>
              </w:rPr>
              <w:t>“ fakticky znamenají kdekoliv na internetu, proto se v zájmu právní jistoty od užívání této formulace v právním řádu upouští. Dáváme proto na zvážení úpravu používané terminologie.</w:t>
            </w:r>
          </w:p>
        </w:tc>
        <w:tc>
          <w:tcPr>
            <w:tcW w:w="1453" w:type="pct"/>
            <w:tcBorders>
              <w:top w:val="single" w:sz="4" w:space="0" w:color="auto"/>
              <w:left w:val="single" w:sz="4" w:space="0" w:color="auto"/>
              <w:right w:val="single" w:sz="4" w:space="0" w:color="auto"/>
            </w:tcBorders>
            <w:shd w:val="clear" w:color="auto" w:fill="auto"/>
          </w:tcPr>
          <w:p w14:paraId="315A73C6" w14:textId="77777777" w:rsidR="00BE73FF" w:rsidRPr="0035187E" w:rsidRDefault="00563257" w:rsidP="0035187E">
            <w:pPr>
              <w:jc w:val="both"/>
              <w:rPr>
                <w:rFonts w:ascii="Times New Roman" w:hAnsi="Times New Roman" w:cs="Times New Roman"/>
                <w:b/>
                <w:sz w:val="20"/>
                <w:szCs w:val="20"/>
              </w:rPr>
            </w:pPr>
            <w:r w:rsidRPr="0035187E">
              <w:rPr>
                <w:rFonts w:ascii="Times New Roman" w:hAnsi="Times New Roman" w:cs="Times New Roman"/>
                <w:b/>
                <w:sz w:val="20"/>
                <w:szCs w:val="20"/>
              </w:rPr>
              <w:t>Nevyhověno.</w:t>
            </w:r>
          </w:p>
          <w:p w14:paraId="5180F2F4" w14:textId="62A938C4" w:rsidR="00563257" w:rsidRPr="0035187E" w:rsidRDefault="00E67B6D" w:rsidP="0035187E">
            <w:pPr>
              <w:jc w:val="both"/>
              <w:rPr>
                <w:rFonts w:ascii="Times New Roman" w:hAnsi="Times New Roman" w:cs="Times New Roman"/>
                <w:sz w:val="20"/>
                <w:szCs w:val="20"/>
              </w:rPr>
            </w:pPr>
            <w:r w:rsidRPr="0035187E">
              <w:rPr>
                <w:rFonts w:ascii="Times New Roman" w:hAnsi="Times New Roman" w:cs="Times New Roman"/>
                <w:sz w:val="20"/>
                <w:szCs w:val="20"/>
              </w:rPr>
              <w:t>Předkladatel rozumí důvodům vyjádřeným v doporučení, ale s ohledem na to, že stejná formulace je použita v obecné úpravě daňového řádu, přidrží se raději jednotné terminologie.</w:t>
            </w:r>
          </w:p>
        </w:tc>
      </w:tr>
      <w:tr w:rsidR="0035187E" w:rsidRPr="0035187E" w14:paraId="5A9D76A8" w14:textId="77777777" w:rsidTr="0035187E">
        <w:trPr>
          <w:trHeight w:val="139"/>
        </w:trPr>
        <w:tc>
          <w:tcPr>
            <w:tcW w:w="227" w:type="pct"/>
            <w:tcBorders>
              <w:top w:val="single" w:sz="4" w:space="0" w:color="auto"/>
              <w:left w:val="single" w:sz="4" w:space="0" w:color="auto"/>
              <w:right w:val="single" w:sz="4" w:space="0" w:color="auto"/>
            </w:tcBorders>
            <w:shd w:val="clear" w:color="auto" w:fill="auto"/>
          </w:tcPr>
          <w:p w14:paraId="1431DC44" w14:textId="51B29B56"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9.</w:t>
            </w:r>
          </w:p>
        </w:tc>
        <w:tc>
          <w:tcPr>
            <w:tcW w:w="583" w:type="pct"/>
            <w:tcBorders>
              <w:top w:val="single" w:sz="4" w:space="0" w:color="auto"/>
              <w:left w:val="single" w:sz="4" w:space="0" w:color="auto"/>
              <w:right w:val="single" w:sz="4" w:space="0" w:color="auto"/>
            </w:tcBorders>
            <w:shd w:val="clear" w:color="auto" w:fill="auto"/>
          </w:tcPr>
          <w:p w14:paraId="57DBEA8D" w14:textId="4BFE173F"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vnitra</w:t>
            </w:r>
          </w:p>
        </w:tc>
        <w:tc>
          <w:tcPr>
            <w:tcW w:w="168" w:type="pct"/>
            <w:tcBorders>
              <w:top w:val="single" w:sz="4" w:space="0" w:color="auto"/>
              <w:left w:val="single" w:sz="4" w:space="0" w:color="auto"/>
              <w:right w:val="single" w:sz="4" w:space="0" w:color="auto"/>
            </w:tcBorders>
            <w:shd w:val="clear" w:color="auto" w:fill="auto"/>
          </w:tcPr>
          <w:p w14:paraId="2AC218DD" w14:textId="3DA2487F"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16.</w:t>
            </w:r>
          </w:p>
        </w:tc>
        <w:tc>
          <w:tcPr>
            <w:tcW w:w="169" w:type="pct"/>
            <w:tcBorders>
              <w:top w:val="single" w:sz="4" w:space="0" w:color="auto"/>
              <w:left w:val="single" w:sz="4" w:space="0" w:color="auto"/>
              <w:right w:val="single" w:sz="4" w:space="0" w:color="auto"/>
            </w:tcBorders>
            <w:shd w:val="clear" w:color="auto" w:fill="auto"/>
          </w:tcPr>
          <w:p w14:paraId="73409080" w14:textId="15C4171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0F4A407"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b/>
                <w:bCs/>
                <w:sz w:val="20"/>
                <w:szCs w:val="20"/>
              </w:rPr>
            </w:pPr>
            <w:r w:rsidRPr="0035187E">
              <w:rPr>
                <w:rFonts w:ascii="Times New Roman" w:hAnsi="Times New Roman" w:cs="Times New Roman"/>
                <w:b/>
                <w:bCs/>
                <w:sz w:val="20"/>
                <w:szCs w:val="20"/>
              </w:rPr>
              <w:t>K § 15 odst. 4:</w:t>
            </w:r>
          </w:p>
          <w:p w14:paraId="0EF483E0" w14:textId="7F913FA8"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sz w:val="20"/>
                <w:szCs w:val="20"/>
              </w:rPr>
            </w:pPr>
            <w:r w:rsidRPr="0035187E">
              <w:rPr>
                <w:rFonts w:ascii="Times New Roman" w:hAnsi="Times New Roman" w:cs="Times New Roman"/>
                <w:sz w:val="20"/>
                <w:szCs w:val="20"/>
              </w:rPr>
              <w:tab/>
              <w:t>V odstavci 4 je zakotvena povinnost poplatníka zacházet s certifikátem pro evidenci tržeb tak, aby nemohlo dojít k jeho zneužití. Dále je poplatník povinen bez zbytečného odkladu oznámit správci daně zneužití nebo hrozící nebezpečí zneužití certifikátu pro evidenci tržeb. Zákon č. 112/2016 Sb. nedodržení obdobných povinností postihoval jakožto přestupek. Doporučujeme zvážit, zda by i v případě aktuálně stanovených povinností neměla být stanovena i odpovídající sankce, neboť bez ní je účinnost právní normy oslabena.</w:t>
            </w:r>
          </w:p>
        </w:tc>
        <w:tc>
          <w:tcPr>
            <w:tcW w:w="1453" w:type="pct"/>
            <w:tcBorders>
              <w:top w:val="single" w:sz="4" w:space="0" w:color="auto"/>
              <w:left w:val="single" w:sz="4" w:space="0" w:color="auto"/>
              <w:right w:val="single" w:sz="4" w:space="0" w:color="auto"/>
            </w:tcBorders>
            <w:shd w:val="clear" w:color="auto" w:fill="auto"/>
          </w:tcPr>
          <w:p w14:paraId="6C1BE428" w14:textId="77777777" w:rsidR="00BE73FF" w:rsidRPr="0035187E" w:rsidRDefault="00E67B6D"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5573E823" w14:textId="53C69FE0" w:rsidR="00E67B6D" w:rsidRPr="0035187E" w:rsidRDefault="00E67B6D" w:rsidP="0035187E">
            <w:pPr>
              <w:jc w:val="both"/>
              <w:rPr>
                <w:rFonts w:ascii="Times New Roman" w:hAnsi="Times New Roman" w:cs="Times New Roman"/>
                <w:sz w:val="20"/>
                <w:szCs w:val="20"/>
              </w:rPr>
            </w:pPr>
            <w:r w:rsidRPr="0035187E">
              <w:rPr>
                <w:rFonts w:ascii="Times New Roman" w:hAnsi="Times New Roman" w:cs="Times New Roman"/>
                <w:sz w:val="20"/>
                <w:szCs w:val="20"/>
              </w:rPr>
              <w:t>Zákony obsahující obdobnou formulaci standardně přímou sankci neobsahují. Nepřímou sankcí je zde nemožnost toho, kdo povinnost poruší shovívavosti či liberace při posouzení jiné navazující skutečnosti.</w:t>
            </w:r>
          </w:p>
        </w:tc>
      </w:tr>
      <w:tr w:rsidR="0035187E" w:rsidRPr="0035187E" w14:paraId="0A8AC15C"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E51E2F6" w14:textId="6DCEA00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9.</w:t>
            </w:r>
          </w:p>
        </w:tc>
        <w:tc>
          <w:tcPr>
            <w:tcW w:w="583" w:type="pct"/>
            <w:tcBorders>
              <w:top w:val="single" w:sz="4" w:space="0" w:color="auto"/>
              <w:left w:val="single" w:sz="4" w:space="0" w:color="auto"/>
              <w:right w:val="single" w:sz="4" w:space="0" w:color="auto"/>
            </w:tcBorders>
            <w:shd w:val="clear" w:color="auto" w:fill="auto"/>
          </w:tcPr>
          <w:p w14:paraId="667CB9C0" w14:textId="2ADE2C13"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vnitra</w:t>
            </w:r>
          </w:p>
        </w:tc>
        <w:tc>
          <w:tcPr>
            <w:tcW w:w="168" w:type="pct"/>
            <w:tcBorders>
              <w:top w:val="single" w:sz="4" w:space="0" w:color="auto"/>
              <w:left w:val="single" w:sz="4" w:space="0" w:color="auto"/>
              <w:right w:val="single" w:sz="4" w:space="0" w:color="auto"/>
            </w:tcBorders>
            <w:shd w:val="clear" w:color="auto" w:fill="auto"/>
          </w:tcPr>
          <w:p w14:paraId="59EEF867" w14:textId="1D0590F8"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17.</w:t>
            </w:r>
          </w:p>
        </w:tc>
        <w:tc>
          <w:tcPr>
            <w:tcW w:w="169" w:type="pct"/>
            <w:tcBorders>
              <w:top w:val="single" w:sz="4" w:space="0" w:color="auto"/>
              <w:left w:val="single" w:sz="4" w:space="0" w:color="auto"/>
              <w:right w:val="single" w:sz="4" w:space="0" w:color="auto"/>
            </w:tcBorders>
            <w:shd w:val="clear" w:color="auto" w:fill="auto"/>
          </w:tcPr>
          <w:p w14:paraId="3FBC78B6" w14:textId="7997435F"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FD7573D"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b/>
                <w:bCs/>
                <w:sz w:val="20"/>
                <w:szCs w:val="20"/>
              </w:rPr>
            </w:pPr>
            <w:r w:rsidRPr="0035187E">
              <w:rPr>
                <w:rFonts w:ascii="Times New Roman" w:hAnsi="Times New Roman" w:cs="Times New Roman"/>
                <w:b/>
                <w:bCs/>
                <w:sz w:val="20"/>
                <w:szCs w:val="20"/>
              </w:rPr>
              <w:t>K § 16 odst. 2 písm. b):</w:t>
            </w:r>
          </w:p>
          <w:p w14:paraId="3C6FAA2C" w14:textId="7F7129F2"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sz w:val="20"/>
                <w:szCs w:val="20"/>
              </w:rPr>
            </w:pPr>
            <w:r w:rsidRPr="0035187E">
              <w:rPr>
                <w:rFonts w:ascii="Times New Roman" w:hAnsi="Times New Roman" w:cs="Times New Roman"/>
                <w:sz w:val="20"/>
                <w:szCs w:val="20"/>
              </w:rPr>
              <w:tab/>
              <w:t>Doporučujeme vyjasnit, co je myšleno slovním spojením „</w:t>
            </w:r>
            <w:r w:rsidRPr="0035187E">
              <w:rPr>
                <w:rFonts w:ascii="Times New Roman" w:hAnsi="Times New Roman" w:cs="Times New Roman"/>
                <w:i/>
                <w:iCs/>
                <w:sz w:val="20"/>
                <w:szCs w:val="20"/>
              </w:rPr>
              <w:t>druh evidenční jednotky</w:t>
            </w:r>
            <w:r w:rsidRPr="0035187E">
              <w:rPr>
                <w:rFonts w:ascii="Times New Roman" w:hAnsi="Times New Roman" w:cs="Times New Roman"/>
                <w:sz w:val="20"/>
                <w:szCs w:val="20"/>
              </w:rPr>
              <w:t>“. Důvodová zpráva uvádí, že se předpokládá jednoduchá volba z přednastavených možností, avšak neuvádí, o jaké možnosti půjde. Zda se například bude jednat pouze o rozdělení podle navrhovaného § 4 písm. a) až c), či o kategorie zcela odlišné. Tyto skutečnosti je nezbytné postavit najisto.</w:t>
            </w:r>
          </w:p>
        </w:tc>
        <w:tc>
          <w:tcPr>
            <w:tcW w:w="1453" w:type="pct"/>
            <w:tcBorders>
              <w:top w:val="single" w:sz="4" w:space="0" w:color="auto"/>
              <w:left w:val="single" w:sz="4" w:space="0" w:color="auto"/>
              <w:right w:val="single" w:sz="4" w:space="0" w:color="auto"/>
            </w:tcBorders>
            <w:shd w:val="clear" w:color="auto" w:fill="auto"/>
          </w:tcPr>
          <w:p w14:paraId="63CF5BCA" w14:textId="4BCFEF0F" w:rsidR="00BE73FF" w:rsidRPr="0035187E" w:rsidRDefault="002F7407" w:rsidP="0035187E">
            <w:pPr>
              <w:jc w:val="both"/>
              <w:rPr>
                <w:rFonts w:ascii="Times New Roman" w:hAnsi="Times New Roman" w:cs="Times New Roman"/>
                <w:b/>
                <w:sz w:val="20"/>
                <w:szCs w:val="20"/>
              </w:rPr>
            </w:pPr>
            <w:r w:rsidRPr="0035187E">
              <w:rPr>
                <w:rFonts w:ascii="Times New Roman" w:hAnsi="Times New Roman" w:cs="Times New Roman"/>
                <w:b/>
                <w:sz w:val="20"/>
                <w:szCs w:val="20"/>
              </w:rPr>
              <w:t>Vyhověno</w:t>
            </w:r>
            <w:r w:rsidR="00E67B6D" w:rsidRPr="0035187E">
              <w:rPr>
                <w:rFonts w:ascii="Times New Roman" w:hAnsi="Times New Roman" w:cs="Times New Roman"/>
                <w:b/>
                <w:sz w:val="20"/>
                <w:szCs w:val="20"/>
              </w:rPr>
              <w:t>.</w:t>
            </w:r>
          </w:p>
          <w:p w14:paraId="22E01B79" w14:textId="0AD28957" w:rsidR="002F7407" w:rsidRPr="0035187E" w:rsidRDefault="002F7407" w:rsidP="0035187E">
            <w:pPr>
              <w:jc w:val="both"/>
              <w:rPr>
                <w:rFonts w:ascii="Times New Roman" w:hAnsi="Times New Roman" w:cs="Times New Roman"/>
                <w:sz w:val="20"/>
                <w:szCs w:val="20"/>
              </w:rPr>
            </w:pPr>
            <w:r w:rsidRPr="0035187E">
              <w:rPr>
                <w:rFonts w:ascii="Times New Roman" w:hAnsi="Times New Roman" w:cs="Times New Roman"/>
                <w:sz w:val="20"/>
                <w:szCs w:val="20"/>
              </w:rPr>
              <w:t>Důvodová zpráva byla doplněna.</w:t>
            </w:r>
          </w:p>
        </w:tc>
      </w:tr>
      <w:tr w:rsidR="0035187E" w:rsidRPr="0035187E" w14:paraId="2C30A7D5"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8289614" w14:textId="284D8E60"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9.</w:t>
            </w:r>
          </w:p>
        </w:tc>
        <w:tc>
          <w:tcPr>
            <w:tcW w:w="583" w:type="pct"/>
            <w:tcBorders>
              <w:top w:val="single" w:sz="4" w:space="0" w:color="auto"/>
              <w:left w:val="single" w:sz="4" w:space="0" w:color="auto"/>
              <w:right w:val="single" w:sz="4" w:space="0" w:color="auto"/>
            </w:tcBorders>
            <w:shd w:val="clear" w:color="auto" w:fill="auto"/>
          </w:tcPr>
          <w:p w14:paraId="181244D3" w14:textId="425BB890"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vnitra</w:t>
            </w:r>
          </w:p>
        </w:tc>
        <w:tc>
          <w:tcPr>
            <w:tcW w:w="168" w:type="pct"/>
            <w:tcBorders>
              <w:top w:val="single" w:sz="4" w:space="0" w:color="auto"/>
              <w:left w:val="single" w:sz="4" w:space="0" w:color="auto"/>
              <w:right w:val="single" w:sz="4" w:space="0" w:color="auto"/>
            </w:tcBorders>
            <w:shd w:val="clear" w:color="auto" w:fill="auto"/>
          </w:tcPr>
          <w:p w14:paraId="0FE7180A" w14:textId="78D33A53"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18.</w:t>
            </w:r>
          </w:p>
        </w:tc>
        <w:tc>
          <w:tcPr>
            <w:tcW w:w="169" w:type="pct"/>
            <w:tcBorders>
              <w:top w:val="single" w:sz="4" w:space="0" w:color="auto"/>
              <w:left w:val="single" w:sz="4" w:space="0" w:color="auto"/>
              <w:right w:val="single" w:sz="4" w:space="0" w:color="auto"/>
            </w:tcBorders>
            <w:shd w:val="clear" w:color="auto" w:fill="auto"/>
          </w:tcPr>
          <w:p w14:paraId="2F91F2C1" w14:textId="5A717B29"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305BE9C8"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b/>
                <w:bCs/>
                <w:sz w:val="20"/>
                <w:szCs w:val="20"/>
              </w:rPr>
            </w:pPr>
            <w:r w:rsidRPr="0035187E">
              <w:rPr>
                <w:rFonts w:ascii="Times New Roman" w:hAnsi="Times New Roman" w:cs="Times New Roman"/>
                <w:b/>
                <w:bCs/>
                <w:sz w:val="20"/>
                <w:szCs w:val="20"/>
              </w:rPr>
              <w:t>K § 29:</w:t>
            </w:r>
          </w:p>
          <w:p w14:paraId="0D1A95A8" w14:textId="15A934D3"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sz w:val="20"/>
                <w:szCs w:val="20"/>
              </w:rPr>
            </w:pPr>
            <w:r w:rsidRPr="0035187E">
              <w:rPr>
                <w:rFonts w:ascii="Times New Roman" w:hAnsi="Times New Roman" w:cs="Times New Roman"/>
                <w:sz w:val="20"/>
                <w:szCs w:val="20"/>
              </w:rPr>
              <w:tab/>
              <w:t>Jelikož se jedná o ustanovení speciálně upravující vztah evidovaných tržeb k cizímu právu, navrhujeme vypustit slovo „</w:t>
            </w:r>
            <w:r w:rsidRPr="0035187E">
              <w:rPr>
                <w:rFonts w:ascii="Times New Roman" w:hAnsi="Times New Roman" w:cs="Times New Roman"/>
                <w:i/>
                <w:iCs/>
                <w:sz w:val="20"/>
                <w:szCs w:val="20"/>
              </w:rPr>
              <w:t>také</w:t>
            </w:r>
            <w:r w:rsidRPr="0035187E">
              <w:rPr>
                <w:rFonts w:ascii="Times New Roman" w:hAnsi="Times New Roman" w:cs="Times New Roman"/>
                <w:sz w:val="20"/>
                <w:szCs w:val="20"/>
              </w:rPr>
              <w:t>“ pro nadbytečnost.</w:t>
            </w:r>
          </w:p>
        </w:tc>
        <w:tc>
          <w:tcPr>
            <w:tcW w:w="1453" w:type="pct"/>
            <w:tcBorders>
              <w:top w:val="single" w:sz="4" w:space="0" w:color="auto"/>
              <w:left w:val="single" w:sz="4" w:space="0" w:color="auto"/>
              <w:right w:val="single" w:sz="4" w:space="0" w:color="auto"/>
            </w:tcBorders>
            <w:shd w:val="clear" w:color="auto" w:fill="auto"/>
          </w:tcPr>
          <w:p w14:paraId="7D5D3604" w14:textId="77777777" w:rsidR="00BE73FF" w:rsidRPr="0035187E" w:rsidRDefault="002F7407" w:rsidP="0035187E">
            <w:pPr>
              <w:jc w:val="both"/>
              <w:rPr>
                <w:rFonts w:ascii="Times New Roman" w:hAnsi="Times New Roman" w:cs="Times New Roman"/>
                <w:b/>
                <w:sz w:val="20"/>
                <w:szCs w:val="20"/>
              </w:rPr>
            </w:pPr>
            <w:r w:rsidRPr="0035187E">
              <w:rPr>
                <w:rFonts w:ascii="Times New Roman" w:hAnsi="Times New Roman" w:cs="Times New Roman"/>
                <w:b/>
                <w:sz w:val="20"/>
                <w:szCs w:val="20"/>
              </w:rPr>
              <w:t>Vyhověno.</w:t>
            </w:r>
          </w:p>
          <w:p w14:paraId="4FEC02B5" w14:textId="5D289802" w:rsidR="002F7407" w:rsidRPr="0035187E" w:rsidRDefault="002F7407"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tc>
      </w:tr>
      <w:tr w:rsidR="0035187E" w:rsidRPr="0035187E" w14:paraId="1CBDC3F3"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1A35431" w14:textId="53C45549"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9.</w:t>
            </w:r>
          </w:p>
        </w:tc>
        <w:tc>
          <w:tcPr>
            <w:tcW w:w="583" w:type="pct"/>
            <w:tcBorders>
              <w:top w:val="single" w:sz="4" w:space="0" w:color="auto"/>
              <w:left w:val="single" w:sz="4" w:space="0" w:color="auto"/>
              <w:right w:val="single" w:sz="4" w:space="0" w:color="auto"/>
            </w:tcBorders>
            <w:shd w:val="clear" w:color="auto" w:fill="auto"/>
          </w:tcPr>
          <w:p w14:paraId="51E1D662" w14:textId="2E08BDB8"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vnitra</w:t>
            </w:r>
          </w:p>
        </w:tc>
        <w:tc>
          <w:tcPr>
            <w:tcW w:w="168" w:type="pct"/>
            <w:tcBorders>
              <w:top w:val="single" w:sz="4" w:space="0" w:color="auto"/>
              <w:left w:val="single" w:sz="4" w:space="0" w:color="auto"/>
              <w:right w:val="single" w:sz="4" w:space="0" w:color="auto"/>
            </w:tcBorders>
            <w:shd w:val="clear" w:color="auto" w:fill="auto"/>
          </w:tcPr>
          <w:p w14:paraId="5FEA4DBC" w14:textId="2EE535CE"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19.</w:t>
            </w:r>
          </w:p>
        </w:tc>
        <w:tc>
          <w:tcPr>
            <w:tcW w:w="169" w:type="pct"/>
            <w:tcBorders>
              <w:top w:val="single" w:sz="4" w:space="0" w:color="auto"/>
              <w:left w:val="single" w:sz="4" w:space="0" w:color="auto"/>
              <w:right w:val="single" w:sz="4" w:space="0" w:color="auto"/>
            </w:tcBorders>
            <w:shd w:val="clear" w:color="auto" w:fill="auto"/>
          </w:tcPr>
          <w:p w14:paraId="3AB500DC" w14:textId="2A4DE4C6"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755398B"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b/>
                <w:bCs/>
                <w:sz w:val="20"/>
                <w:szCs w:val="20"/>
              </w:rPr>
            </w:pPr>
            <w:r w:rsidRPr="0035187E">
              <w:rPr>
                <w:rFonts w:ascii="Times New Roman" w:hAnsi="Times New Roman" w:cs="Times New Roman"/>
                <w:b/>
                <w:bCs/>
                <w:sz w:val="20"/>
                <w:szCs w:val="20"/>
              </w:rPr>
              <w:t xml:space="preserve">K § 30 bodu </w:t>
            </w:r>
            <w:proofErr w:type="gramStart"/>
            <w:r w:rsidRPr="0035187E">
              <w:rPr>
                <w:rFonts w:ascii="Times New Roman" w:hAnsi="Times New Roman" w:cs="Times New Roman"/>
                <w:b/>
                <w:bCs/>
                <w:sz w:val="20"/>
                <w:szCs w:val="20"/>
              </w:rPr>
              <w:t>14 – k</w:t>
            </w:r>
            <w:proofErr w:type="gramEnd"/>
            <w:r w:rsidRPr="0035187E">
              <w:rPr>
                <w:rFonts w:ascii="Times New Roman" w:hAnsi="Times New Roman" w:cs="Times New Roman"/>
                <w:b/>
                <w:bCs/>
                <w:sz w:val="20"/>
                <w:szCs w:val="20"/>
              </w:rPr>
              <w:t xml:space="preserve"> § 35bd odst. 1</w:t>
            </w:r>
            <w:r w:rsidRPr="0035187E">
              <w:rPr>
                <w:rFonts w:ascii="Times New Roman" w:hAnsi="Times New Roman" w:cs="Times New Roman"/>
                <w:sz w:val="20"/>
                <w:szCs w:val="20"/>
              </w:rPr>
              <w:t xml:space="preserve"> </w:t>
            </w:r>
            <w:r w:rsidRPr="0035187E">
              <w:rPr>
                <w:rFonts w:ascii="Times New Roman" w:hAnsi="Times New Roman" w:cs="Times New Roman"/>
                <w:b/>
                <w:bCs/>
                <w:sz w:val="20"/>
                <w:szCs w:val="20"/>
              </w:rPr>
              <w:t>zákona č. 586/1992 Sb.:</w:t>
            </w:r>
          </w:p>
          <w:p w14:paraId="4CEED069" w14:textId="0D534729"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sz w:val="20"/>
                <w:szCs w:val="20"/>
              </w:rPr>
            </w:pPr>
            <w:r w:rsidRPr="0035187E">
              <w:rPr>
                <w:rFonts w:ascii="Times New Roman" w:hAnsi="Times New Roman" w:cs="Times New Roman"/>
                <w:b/>
                <w:bCs/>
                <w:sz w:val="20"/>
                <w:szCs w:val="20"/>
              </w:rPr>
              <w:tab/>
            </w:r>
            <w:r w:rsidRPr="0035187E">
              <w:rPr>
                <w:rFonts w:ascii="Times New Roman" w:hAnsi="Times New Roman" w:cs="Times New Roman"/>
                <w:sz w:val="20"/>
                <w:szCs w:val="20"/>
              </w:rPr>
              <w:t>Doporučujeme do odstavce 1 doplnit, že za každé vyživované dítě lze uplatnit slevu maximálně ve výši minimální mzdy, a to „</w:t>
            </w:r>
            <w:r w:rsidRPr="0035187E">
              <w:rPr>
                <w:rFonts w:ascii="Times New Roman" w:hAnsi="Times New Roman" w:cs="Times New Roman"/>
                <w:i/>
                <w:iCs/>
                <w:sz w:val="20"/>
                <w:szCs w:val="20"/>
              </w:rPr>
              <w:t>stanovené k počátku příslušného zdaňovacího období</w:t>
            </w:r>
            <w:r w:rsidRPr="0035187E">
              <w:rPr>
                <w:rFonts w:ascii="Times New Roman" w:hAnsi="Times New Roman" w:cs="Times New Roman"/>
                <w:sz w:val="20"/>
                <w:szCs w:val="20"/>
              </w:rPr>
              <w:t>“, tak tomu bylo ostatně i v předchozí úpravě tzv. „</w:t>
            </w:r>
            <w:r w:rsidRPr="0035187E">
              <w:rPr>
                <w:rFonts w:ascii="Times New Roman" w:hAnsi="Times New Roman" w:cs="Times New Roman"/>
                <w:i/>
                <w:iCs/>
                <w:sz w:val="20"/>
                <w:szCs w:val="20"/>
              </w:rPr>
              <w:t>školkovného</w:t>
            </w:r>
            <w:r w:rsidRPr="0035187E">
              <w:rPr>
                <w:rFonts w:ascii="Times New Roman" w:hAnsi="Times New Roman" w:cs="Times New Roman"/>
                <w:sz w:val="20"/>
                <w:szCs w:val="20"/>
              </w:rPr>
              <w:t xml:space="preserve">“. </w:t>
            </w:r>
          </w:p>
        </w:tc>
        <w:tc>
          <w:tcPr>
            <w:tcW w:w="1453" w:type="pct"/>
            <w:tcBorders>
              <w:top w:val="single" w:sz="4" w:space="0" w:color="auto"/>
              <w:left w:val="single" w:sz="4" w:space="0" w:color="auto"/>
              <w:right w:val="single" w:sz="4" w:space="0" w:color="auto"/>
            </w:tcBorders>
            <w:shd w:val="clear" w:color="auto" w:fill="auto"/>
          </w:tcPr>
          <w:p w14:paraId="29F89BA3" w14:textId="7B668180" w:rsidR="00641217" w:rsidRPr="0035187E" w:rsidRDefault="00641217"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Nevyhověno.</w:t>
            </w:r>
          </w:p>
          <w:p w14:paraId="417773E3" w14:textId="77777777" w:rsidR="00641217" w:rsidRPr="0035187E" w:rsidRDefault="00641217" w:rsidP="0035187E">
            <w:pPr>
              <w:jc w:val="both"/>
              <w:rPr>
                <w:rFonts w:ascii="Times New Roman" w:hAnsi="Times New Roman" w:cs="Times New Roman"/>
                <w:sz w:val="20"/>
                <w:szCs w:val="20"/>
              </w:rPr>
            </w:pPr>
            <w:r w:rsidRPr="0035187E">
              <w:rPr>
                <w:rFonts w:ascii="Times New Roman" w:hAnsi="Times New Roman" w:cs="Times New Roman"/>
                <w:sz w:val="20"/>
                <w:szCs w:val="20"/>
              </w:rPr>
              <w:t>Navrhované doplnění je nadbytečné a neodpovídá předchozí právní úpravě, která výslovně nestanovovala, že se má vycházet z minimální mzdy platné k počátku zdaňovacího období.</w:t>
            </w:r>
          </w:p>
          <w:p w14:paraId="1EA5A3BC" w14:textId="77777777" w:rsidR="00641217" w:rsidRPr="0035187E" w:rsidRDefault="00641217" w:rsidP="0035187E">
            <w:pPr>
              <w:jc w:val="both"/>
              <w:rPr>
                <w:rFonts w:ascii="Times New Roman" w:hAnsi="Times New Roman" w:cs="Times New Roman"/>
                <w:sz w:val="20"/>
                <w:szCs w:val="20"/>
              </w:rPr>
            </w:pPr>
            <w:r w:rsidRPr="0035187E">
              <w:rPr>
                <w:rFonts w:ascii="Times New Roman" w:hAnsi="Times New Roman" w:cs="Times New Roman"/>
                <w:sz w:val="20"/>
                <w:szCs w:val="20"/>
              </w:rPr>
              <w:t>Podle § 21g odst. 1 zákona o daních z příjmů se pro účely daní z příjmů minimální mzdou rozumí měsíční minimální mzda stanovená právními předpisy upravujícími její výši, účinná k prvnímu dni příslušného zdaňovacího období, a to bez zohlednění odpracované doby či dalších okolností.</w:t>
            </w:r>
          </w:p>
          <w:p w14:paraId="00BE39D8" w14:textId="268309E8" w:rsidR="00BE73FF" w:rsidRPr="0035187E" w:rsidRDefault="00641217"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Podle § 16b zákona o daních z příjmů je zdaňovacím obdobím daně z příjmů fyzických osob kalendářní </w:t>
            </w:r>
            <w:r w:rsidRPr="0035187E">
              <w:rPr>
                <w:rFonts w:ascii="Times New Roman" w:hAnsi="Times New Roman" w:cs="Times New Roman"/>
                <w:sz w:val="20"/>
                <w:szCs w:val="20"/>
              </w:rPr>
              <w:lastRenderedPageBreak/>
              <w:t>rok. Z uvedeného tedy vyplývá, že rozhodná je minimální mzda platná k počátku kalendářního roku.</w:t>
            </w:r>
          </w:p>
        </w:tc>
      </w:tr>
      <w:tr w:rsidR="0035187E" w:rsidRPr="0035187E" w14:paraId="215B1C0D"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71308C3" w14:textId="2062FA69"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9.</w:t>
            </w:r>
          </w:p>
        </w:tc>
        <w:tc>
          <w:tcPr>
            <w:tcW w:w="583" w:type="pct"/>
            <w:tcBorders>
              <w:top w:val="single" w:sz="4" w:space="0" w:color="auto"/>
              <w:left w:val="single" w:sz="4" w:space="0" w:color="auto"/>
              <w:right w:val="single" w:sz="4" w:space="0" w:color="auto"/>
            </w:tcBorders>
            <w:shd w:val="clear" w:color="auto" w:fill="auto"/>
          </w:tcPr>
          <w:p w14:paraId="7043EAC1" w14:textId="102D5B53"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vnitra</w:t>
            </w:r>
          </w:p>
        </w:tc>
        <w:tc>
          <w:tcPr>
            <w:tcW w:w="168" w:type="pct"/>
            <w:tcBorders>
              <w:top w:val="single" w:sz="4" w:space="0" w:color="auto"/>
              <w:left w:val="single" w:sz="4" w:space="0" w:color="auto"/>
              <w:right w:val="single" w:sz="4" w:space="0" w:color="auto"/>
            </w:tcBorders>
            <w:shd w:val="clear" w:color="auto" w:fill="auto"/>
          </w:tcPr>
          <w:p w14:paraId="7891E266" w14:textId="622DDB68"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20.</w:t>
            </w:r>
          </w:p>
        </w:tc>
        <w:tc>
          <w:tcPr>
            <w:tcW w:w="169" w:type="pct"/>
            <w:tcBorders>
              <w:top w:val="single" w:sz="4" w:space="0" w:color="auto"/>
              <w:left w:val="single" w:sz="4" w:space="0" w:color="auto"/>
              <w:right w:val="single" w:sz="4" w:space="0" w:color="auto"/>
            </w:tcBorders>
            <w:shd w:val="clear" w:color="auto" w:fill="auto"/>
          </w:tcPr>
          <w:p w14:paraId="0FA75FAA" w14:textId="144707FD"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1999E7C"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b/>
                <w:bCs/>
                <w:sz w:val="20"/>
                <w:szCs w:val="20"/>
              </w:rPr>
            </w:pPr>
            <w:r w:rsidRPr="0035187E">
              <w:rPr>
                <w:rFonts w:ascii="Times New Roman" w:hAnsi="Times New Roman" w:cs="Times New Roman"/>
                <w:b/>
                <w:bCs/>
                <w:sz w:val="20"/>
                <w:szCs w:val="20"/>
              </w:rPr>
              <w:t xml:space="preserve">K § 34 bodu </w:t>
            </w:r>
            <w:proofErr w:type="gramStart"/>
            <w:r w:rsidRPr="0035187E">
              <w:rPr>
                <w:rFonts w:ascii="Times New Roman" w:hAnsi="Times New Roman" w:cs="Times New Roman"/>
                <w:b/>
                <w:bCs/>
                <w:sz w:val="20"/>
                <w:szCs w:val="20"/>
              </w:rPr>
              <w:t>1 – k</w:t>
            </w:r>
            <w:proofErr w:type="gramEnd"/>
            <w:r w:rsidRPr="0035187E">
              <w:rPr>
                <w:rFonts w:ascii="Times New Roman" w:hAnsi="Times New Roman" w:cs="Times New Roman"/>
                <w:b/>
                <w:bCs/>
                <w:sz w:val="20"/>
                <w:szCs w:val="20"/>
              </w:rPr>
              <w:t xml:space="preserve"> § 12b odst. 5 zákona č. 456/2011 Sb.:</w:t>
            </w:r>
          </w:p>
          <w:p w14:paraId="230DB2EF" w14:textId="31BCB650"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sz w:val="20"/>
                <w:szCs w:val="20"/>
              </w:rPr>
            </w:pPr>
            <w:r w:rsidRPr="0035187E">
              <w:rPr>
                <w:rFonts w:ascii="Times New Roman" w:hAnsi="Times New Roman" w:cs="Times New Roman"/>
                <w:sz w:val="20"/>
                <w:szCs w:val="20"/>
              </w:rPr>
              <w:tab/>
              <w:t>Formulace „</w:t>
            </w:r>
            <w:r w:rsidRPr="0035187E">
              <w:rPr>
                <w:rFonts w:ascii="Times New Roman" w:hAnsi="Times New Roman" w:cs="Times New Roman"/>
                <w:i/>
                <w:iCs/>
                <w:sz w:val="20"/>
                <w:szCs w:val="20"/>
              </w:rPr>
              <w:t>zaniká v odpovídajícím rozsahu rozhodnutí o této delegaci</w:t>
            </w:r>
            <w:r w:rsidRPr="0035187E">
              <w:rPr>
                <w:rFonts w:ascii="Times New Roman" w:hAnsi="Times New Roman" w:cs="Times New Roman"/>
                <w:sz w:val="20"/>
                <w:szCs w:val="20"/>
              </w:rPr>
              <w:t>“ je pro právní řád netypická (obsahují ji pouze přechodná ustanovení zákona č. 456/2011 Sb., o finanční zprávě). Dáváme na zvážení, zda by nebylo vhodnější stanovit, že se jedná o „</w:t>
            </w:r>
            <w:r w:rsidRPr="0035187E">
              <w:rPr>
                <w:rFonts w:ascii="Times New Roman" w:hAnsi="Times New Roman" w:cs="Times New Roman"/>
                <w:i/>
                <w:iCs/>
                <w:sz w:val="20"/>
                <w:szCs w:val="20"/>
              </w:rPr>
              <w:t>účinky rozhodnutí</w:t>
            </w:r>
            <w:r w:rsidRPr="0035187E">
              <w:rPr>
                <w:rFonts w:ascii="Times New Roman" w:hAnsi="Times New Roman" w:cs="Times New Roman"/>
                <w:sz w:val="20"/>
                <w:szCs w:val="20"/>
              </w:rPr>
              <w:t>“.</w:t>
            </w:r>
          </w:p>
        </w:tc>
        <w:tc>
          <w:tcPr>
            <w:tcW w:w="1453" w:type="pct"/>
            <w:tcBorders>
              <w:top w:val="single" w:sz="4" w:space="0" w:color="auto"/>
              <w:left w:val="single" w:sz="4" w:space="0" w:color="auto"/>
              <w:right w:val="single" w:sz="4" w:space="0" w:color="auto"/>
            </w:tcBorders>
            <w:shd w:val="clear" w:color="auto" w:fill="auto"/>
          </w:tcPr>
          <w:p w14:paraId="1E2B69F7" w14:textId="326E78AA" w:rsidR="00BE73FF" w:rsidRPr="0035187E" w:rsidRDefault="00CE005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Vyhověno jinak.</w:t>
            </w:r>
          </w:p>
          <w:p w14:paraId="5F963AD0" w14:textId="608D8C0F" w:rsidR="00CE0054" w:rsidRPr="0035187E" w:rsidRDefault="00CE005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Textace ustanovení byla upravena tak, že nově hovoří o </w:t>
            </w:r>
            <w:r w:rsidRPr="0035187E">
              <w:rPr>
                <w:rFonts w:ascii="Times New Roman" w:hAnsi="Times New Roman" w:cs="Times New Roman"/>
                <w:i/>
                <w:iCs/>
                <w:sz w:val="20"/>
                <w:szCs w:val="20"/>
              </w:rPr>
              <w:t>„zániku delegace“</w:t>
            </w:r>
            <w:r w:rsidRPr="0035187E">
              <w:rPr>
                <w:rFonts w:ascii="Times New Roman" w:hAnsi="Times New Roman" w:cs="Times New Roman"/>
                <w:sz w:val="20"/>
                <w:szCs w:val="20"/>
              </w:rPr>
              <w:t xml:space="preserve">, což analogicky odpovídá textaci § 18 odst. 2 daňového řádu pro zrušení nebo změnu delegace. </w:t>
            </w:r>
          </w:p>
        </w:tc>
      </w:tr>
      <w:tr w:rsidR="0035187E" w:rsidRPr="0035187E" w14:paraId="1986637F"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F4FD412" w14:textId="37153613"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9.</w:t>
            </w:r>
          </w:p>
        </w:tc>
        <w:tc>
          <w:tcPr>
            <w:tcW w:w="583" w:type="pct"/>
            <w:tcBorders>
              <w:top w:val="single" w:sz="4" w:space="0" w:color="auto"/>
              <w:left w:val="single" w:sz="4" w:space="0" w:color="auto"/>
              <w:right w:val="single" w:sz="4" w:space="0" w:color="auto"/>
            </w:tcBorders>
            <w:shd w:val="clear" w:color="auto" w:fill="auto"/>
          </w:tcPr>
          <w:p w14:paraId="74879CF7" w14:textId="43C85636"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vnitra</w:t>
            </w:r>
          </w:p>
        </w:tc>
        <w:tc>
          <w:tcPr>
            <w:tcW w:w="168" w:type="pct"/>
            <w:tcBorders>
              <w:top w:val="single" w:sz="4" w:space="0" w:color="auto"/>
              <w:left w:val="single" w:sz="4" w:space="0" w:color="auto"/>
              <w:right w:val="single" w:sz="4" w:space="0" w:color="auto"/>
            </w:tcBorders>
            <w:shd w:val="clear" w:color="auto" w:fill="auto"/>
          </w:tcPr>
          <w:p w14:paraId="119D9530" w14:textId="1FCC960E"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21.</w:t>
            </w:r>
          </w:p>
        </w:tc>
        <w:tc>
          <w:tcPr>
            <w:tcW w:w="169" w:type="pct"/>
            <w:tcBorders>
              <w:top w:val="single" w:sz="4" w:space="0" w:color="auto"/>
              <w:left w:val="single" w:sz="4" w:space="0" w:color="auto"/>
              <w:right w:val="single" w:sz="4" w:space="0" w:color="auto"/>
            </w:tcBorders>
            <w:shd w:val="clear" w:color="auto" w:fill="auto"/>
          </w:tcPr>
          <w:p w14:paraId="657103D0" w14:textId="06A550A2"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BAB3B46" w14:textId="77777777" w:rsidR="00BE73FF" w:rsidRPr="0035187E" w:rsidRDefault="00BE73FF" w:rsidP="0035187E">
            <w:pPr>
              <w:keepNext/>
              <w:tabs>
                <w:tab w:val="left" w:pos="0"/>
              </w:tabs>
              <w:overflowPunct w:val="0"/>
              <w:autoSpaceDE w:val="0"/>
              <w:autoSpaceDN w:val="0"/>
              <w:adjustRightInd w:val="0"/>
              <w:jc w:val="both"/>
              <w:textAlignment w:val="baseline"/>
              <w:rPr>
                <w:rFonts w:ascii="Times New Roman" w:hAnsi="Times New Roman" w:cs="Times New Roman"/>
                <w:b/>
                <w:bCs/>
                <w:sz w:val="20"/>
                <w:szCs w:val="20"/>
              </w:rPr>
            </w:pPr>
            <w:r w:rsidRPr="0035187E">
              <w:rPr>
                <w:rFonts w:ascii="Times New Roman" w:hAnsi="Times New Roman" w:cs="Times New Roman"/>
                <w:b/>
                <w:bCs/>
                <w:sz w:val="20"/>
                <w:szCs w:val="20"/>
              </w:rPr>
              <w:t>Nad rámec návrhu – k § 6 odst. 9 písm. b) zákona č. 586/1992 Sb.:</w:t>
            </w:r>
          </w:p>
          <w:p w14:paraId="3BAC374D" w14:textId="5C5F523F" w:rsidR="00BE73FF" w:rsidRPr="0035187E" w:rsidRDefault="00BE73FF" w:rsidP="0035187E">
            <w:pPr>
              <w:keepNext/>
              <w:tabs>
                <w:tab w:val="left" w:pos="0"/>
              </w:tabs>
              <w:overflowPunct w:val="0"/>
              <w:autoSpaceDE w:val="0"/>
              <w:autoSpaceDN w:val="0"/>
              <w:adjustRightInd w:val="0"/>
              <w:jc w:val="both"/>
              <w:textAlignment w:val="baseline"/>
              <w:rPr>
                <w:rFonts w:ascii="Times New Roman" w:hAnsi="Times New Roman" w:cs="Times New Roman"/>
                <w:sz w:val="20"/>
                <w:szCs w:val="20"/>
              </w:rPr>
            </w:pPr>
            <w:r w:rsidRPr="0035187E">
              <w:rPr>
                <w:rFonts w:ascii="Times New Roman" w:hAnsi="Times New Roman" w:cs="Times New Roman"/>
                <w:sz w:val="20"/>
                <w:szCs w:val="20"/>
              </w:rPr>
              <w:tab/>
            </w:r>
            <w:r w:rsidRPr="0035187E">
              <w:rPr>
                <w:rFonts w:ascii="Times New Roman" w:hAnsi="Times New Roman" w:cs="Times New Roman"/>
                <w:bCs/>
                <w:sz w:val="20"/>
                <w:szCs w:val="20"/>
              </w:rPr>
              <w:t>Vzhledem k tomu, že předloženým návrhem dochází k úpravě benefitů zaměstnanců pro účely jejich osvobození od daně z příjmů fyzických osob, navrhujeme rovněž zvážit provedení úpravy § 6 odst. 9 písm. b) daného zákona. Uvedené ustanovení týkající se osvobození příjmů zaměstnanců od daně z příjmu v případě příspěvku na stravování bylo dotčeno výraznou změnou po přijetí zákona č. 349/2023 Sb. Tyto změny se dotkly zejména oblasti poskytování stravování jako nepeněžního plnění.</w:t>
            </w:r>
          </w:p>
        </w:tc>
        <w:tc>
          <w:tcPr>
            <w:tcW w:w="1453" w:type="pct"/>
            <w:tcBorders>
              <w:top w:val="single" w:sz="4" w:space="0" w:color="auto"/>
              <w:left w:val="single" w:sz="4" w:space="0" w:color="auto"/>
              <w:right w:val="single" w:sz="4" w:space="0" w:color="auto"/>
            </w:tcBorders>
            <w:shd w:val="clear" w:color="auto" w:fill="auto"/>
          </w:tcPr>
          <w:p w14:paraId="7D8C1E6A" w14:textId="77777777" w:rsidR="00641217" w:rsidRPr="0035187E" w:rsidRDefault="00641217"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Nevyhověno.</w:t>
            </w:r>
          </w:p>
          <w:p w14:paraId="0377C199" w14:textId="77777777" w:rsidR="00641217" w:rsidRPr="0035187E" w:rsidRDefault="00641217" w:rsidP="0035187E">
            <w:pPr>
              <w:jc w:val="both"/>
              <w:rPr>
                <w:rFonts w:ascii="Times New Roman" w:hAnsi="Times New Roman" w:cs="Times New Roman"/>
                <w:sz w:val="20"/>
                <w:szCs w:val="20"/>
              </w:rPr>
            </w:pPr>
            <w:r w:rsidRPr="0035187E">
              <w:rPr>
                <w:rFonts w:ascii="Times New Roman" w:hAnsi="Times New Roman" w:cs="Times New Roman"/>
                <w:sz w:val="20"/>
                <w:szCs w:val="20"/>
              </w:rPr>
              <w:t>Podnět přesahuje rámec navrhované úpravy zákona o evidenci tržeb.</w:t>
            </w:r>
          </w:p>
          <w:p w14:paraId="244AAC14" w14:textId="77777777" w:rsidR="00641217" w:rsidRPr="0035187E" w:rsidRDefault="00641217" w:rsidP="0035187E">
            <w:pPr>
              <w:jc w:val="both"/>
              <w:rPr>
                <w:rFonts w:ascii="Times New Roman" w:hAnsi="Times New Roman" w:cs="Times New Roman"/>
                <w:sz w:val="20"/>
                <w:szCs w:val="20"/>
              </w:rPr>
            </w:pPr>
            <w:r w:rsidRPr="0035187E">
              <w:rPr>
                <w:rFonts w:ascii="Times New Roman" w:hAnsi="Times New Roman" w:cs="Times New Roman"/>
                <w:sz w:val="20"/>
                <w:szCs w:val="20"/>
              </w:rPr>
              <w:t>Připomínka neobsahuje konkrétní návrh legislativní úpravy ani jednoznačné vymezení identifikovaného problému.</w:t>
            </w:r>
          </w:p>
          <w:p w14:paraId="58D25EA9" w14:textId="5FB83628" w:rsidR="00BE73FF" w:rsidRPr="0035187E" w:rsidRDefault="00641217" w:rsidP="0035187E">
            <w:pPr>
              <w:jc w:val="both"/>
              <w:rPr>
                <w:rFonts w:ascii="Times New Roman" w:hAnsi="Times New Roman" w:cs="Times New Roman"/>
                <w:sz w:val="20"/>
                <w:szCs w:val="20"/>
              </w:rPr>
            </w:pPr>
            <w:r w:rsidRPr="0035187E">
              <w:rPr>
                <w:rFonts w:ascii="Times New Roman" w:hAnsi="Times New Roman" w:cs="Times New Roman"/>
                <w:sz w:val="20"/>
                <w:szCs w:val="20"/>
              </w:rPr>
              <w:t>K tvrzeným „výrazným změnám“ v dané oblasti uvádíme, že přijetím zákona č. 349/2023 Sb. nedošlo k zásadní změně koncepce osvobození příspěvku na stravování, ale především ke sjednocení podmínek pro daňové osvobození nepeněžního plnění s peněžitým příspěvkem na stravování. Z tohoto důvodu nepovažujeme za potřebné předmětné ustanovení dále upravovat.</w:t>
            </w:r>
          </w:p>
        </w:tc>
      </w:tr>
      <w:tr w:rsidR="0035187E" w:rsidRPr="0035187E" w14:paraId="1AD9EE20"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07C7ECF" w14:textId="77A03140"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9.</w:t>
            </w:r>
          </w:p>
        </w:tc>
        <w:tc>
          <w:tcPr>
            <w:tcW w:w="583" w:type="pct"/>
            <w:tcBorders>
              <w:top w:val="single" w:sz="4" w:space="0" w:color="auto"/>
              <w:left w:val="single" w:sz="4" w:space="0" w:color="auto"/>
              <w:right w:val="single" w:sz="4" w:space="0" w:color="auto"/>
            </w:tcBorders>
            <w:shd w:val="clear" w:color="auto" w:fill="auto"/>
          </w:tcPr>
          <w:p w14:paraId="5319AD0E" w14:textId="578E6A12"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vnitra</w:t>
            </w:r>
          </w:p>
        </w:tc>
        <w:tc>
          <w:tcPr>
            <w:tcW w:w="168" w:type="pct"/>
            <w:tcBorders>
              <w:top w:val="single" w:sz="4" w:space="0" w:color="auto"/>
              <w:left w:val="single" w:sz="4" w:space="0" w:color="auto"/>
              <w:right w:val="single" w:sz="4" w:space="0" w:color="auto"/>
            </w:tcBorders>
            <w:shd w:val="clear" w:color="auto" w:fill="auto"/>
          </w:tcPr>
          <w:p w14:paraId="1B10D478" w14:textId="597D90D6"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22.</w:t>
            </w:r>
          </w:p>
        </w:tc>
        <w:tc>
          <w:tcPr>
            <w:tcW w:w="169" w:type="pct"/>
            <w:tcBorders>
              <w:top w:val="single" w:sz="4" w:space="0" w:color="auto"/>
              <w:left w:val="single" w:sz="4" w:space="0" w:color="auto"/>
              <w:right w:val="single" w:sz="4" w:space="0" w:color="auto"/>
            </w:tcBorders>
            <w:shd w:val="clear" w:color="auto" w:fill="auto"/>
          </w:tcPr>
          <w:p w14:paraId="6FB3C606" w14:textId="412A4339"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288D6E8"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b/>
                <w:bCs/>
                <w:sz w:val="20"/>
                <w:szCs w:val="20"/>
              </w:rPr>
            </w:pPr>
            <w:r w:rsidRPr="0035187E">
              <w:rPr>
                <w:rFonts w:ascii="Times New Roman" w:hAnsi="Times New Roman" w:cs="Times New Roman"/>
                <w:b/>
                <w:bCs/>
                <w:sz w:val="20"/>
                <w:szCs w:val="20"/>
              </w:rPr>
              <w:t>K důvodové zprávě:</w:t>
            </w:r>
          </w:p>
          <w:p w14:paraId="5EC0CA7D" w14:textId="72544A6A"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sz w:val="20"/>
                <w:szCs w:val="20"/>
              </w:rPr>
            </w:pPr>
            <w:r w:rsidRPr="0035187E">
              <w:rPr>
                <w:rFonts w:ascii="Times New Roman" w:hAnsi="Times New Roman" w:cs="Times New Roman"/>
                <w:sz w:val="20"/>
                <w:szCs w:val="20"/>
              </w:rPr>
              <w:tab/>
              <w:t>Doporučujeme rozšířit důvodovou zprávu o kvantifikaci problému, příslušná pasáž by měla zahrnovat aktuální data, včetně porovnání s vývojem po zrušení elektronické evidence tržeb. Postrádáme rovněž odhadované dopady diferenciované podle velikosti podnikatele, konkrétní modelace a sektorovou analýzu.</w:t>
            </w:r>
          </w:p>
        </w:tc>
        <w:tc>
          <w:tcPr>
            <w:tcW w:w="1453" w:type="pct"/>
            <w:tcBorders>
              <w:top w:val="single" w:sz="4" w:space="0" w:color="auto"/>
              <w:left w:val="single" w:sz="4" w:space="0" w:color="auto"/>
              <w:right w:val="single" w:sz="4" w:space="0" w:color="auto"/>
            </w:tcBorders>
            <w:shd w:val="clear" w:color="auto" w:fill="auto"/>
          </w:tcPr>
          <w:p w14:paraId="09B90F0A" w14:textId="2C18F988" w:rsidR="00EC15A5" w:rsidRPr="0035187E" w:rsidRDefault="00EC15A5"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r w:rsidR="00901EAC" w:rsidRPr="0035187E">
              <w:rPr>
                <w:rFonts w:ascii="Times New Roman" w:hAnsi="Times New Roman" w:cs="Times New Roman"/>
                <w:b/>
                <w:sz w:val="20"/>
                <w:szCs w:val="20"/>
              </w:rPr>
              <w:t>.</w:t>
            </w:r>
          </w:p>
          <w:p w14:paraId="2525166C" w14:textId="1B82B163" w:rsidR="00BE73FF" w:rsidRPr="0035187E" w:rsidRDefault="00EC15A5"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Požadované je v materiálu obsaženo v konsolidované formě, což z hlediska rozsahu považuje předkladatel za více než dostatečné.  </w:t>
            </w:r>
          </w:p>
        </w:tc>
      </w:tr>
      <w:tr w:rsidR="0035187E" w:rsidRPr="0035187E" w14:paraId="471DAF92"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59100A4" w14:textId="0D881E44"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9.</w:t>
            </w:r>
          </w:p>
        </w:tc>
        <w:tc>
          <w:tcPr>
            <w:tcW w:w="583" w:type="pct"/>
            <w:tcBorders>
              <w:top w:val="single" w:sz="4" w:space="0" w:color="auto"/>
              <w:left w:val="single" w:sz="4" w:space="0" w:color="auto"/>
              <w:right w:val="single" w:sz="4" w:space="0" w:color="auto"/>
            </w:tcBorders>
            <w:shd w:val="clear" w:color="auto" w:fill="auto"/>
          </w:tcPr>
          <w:p w14:paraId="16D26434" w14:textId="39FDD57E"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vnitra</w:t>
            </w:r>
          </w:p>
        </w:tc>
        <w:tc>
          <w:tcPr>
            <w:tcW w:w="168" w:type="pct"/>
            <w:tcBorders>
              <w:top w:val="single" w:sz="4" w:space="0" w:color="auto"/>
              <w:left w:val="single" w:sz="4" w:space="0" w:color="auto"/>
              <w:right w:val="single" w:sz="4" w:space="0" w:color="auto"/>
            </w:tcBorders>
            <w:shd w:val="clear" w:color="auto" w:fill="auto"/>
          </w:tcPr>
          <w:p w14:paraId="205AE374" w14:textId="02C3C232"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23.</w:t>
            </w:r>
          </w:p>
        </w:tc>
        <w:tc>
          <w:tcPr>
            <w:tcW w:w="169" w:type="pct"/>
            <w:tcBorders>
              <w:top w:val="single" w:sz="4" w:space="0" w:color="auto"/>
              <w:left w:val="single" w:sz="4" w:space="0" w:color="auto"/>
              <w:right w:val="single" w:sz="4" w:space="0" w:color="auto"/>
            </w:tcBorders>
            <w:shd w:val="clear" w:color="auto" w:fill="auto"/>
          </w:tcPr>
          <w:p w14:paraId="59D49455" w14:textId="2AFDB622"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3225852D"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b/>
                <w:sz w:val="20"/>
                <w:szCs w:val="20"/>
                <w:u w:val="single"/>
              </w:rPr>
            </w:pPr>
            <w:r w:rsidRPr="0035187E">
              <w:rPr>
                <w:rFonts w:ascii="Times New Roman" w:hAnsi="Times New Roman" w:cs="Times New Roman"/>
                <w:b/>
                <w:sz w:val="20"/>
                <w:szCs w:val="20"/>
                <w:u w:val="single"/>
              </w:rPr>
              <w:t>Připomínky legislativně technické a formálního charakteru:</w:t>
            </w:r>
          </w:p>
          <w:p w14:paraId="6472D1F5"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sz w:val="20"/>
                <w:szCs w:val="20"/>
              </w:rPr>
            </w:pPr>
          </w:p>
          <w:p w14:paraId="23ED9034"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b/>
                <w:bCs/>
                <w:sz w:val="20"/>
                <w:szCs w:val="20"/>
              </w:rPr>
            </w:pPr>
            <w:r w:rsidRPr="0035187E">
              <w:rPr>
                <w:rFonts w:ascii="Times New Roman" w:hAnsi="Times New Roman" w:cs="Times New Roman"/>
                <w:b/>
                <w:bCs/>
                <w:sz w:val="20"/>
                <w:szCs w:val="20"/>
              </w:rPr>
              <w:t>Obecně:</w:t>
            </w:r>
          </w:p>
          <w:p w14:paraId="4B4B6DC0" w14:textId="41CDD130"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sz w:val="20"/>
                <w:szCs w:val="20"/>
              </w:rPr>
            </w:pPr>
            <w:r w:rsidRPr="0035187E">
              <w:rPr>
                <w:rFonts w:ascii="Times New Roman" w:hAnsi="Times New Roman" w:cs="Times New Roman"/>
                <w:sz w:val="20"/>
                <w:szCs w:val="20"/>
              </w:rPr>
              <w:tab/>
              <w:t>Doporučujeme normativní odkazy na vybrané zákony doplnit rovněž odkazem na poznámku pod čarou, v níž bude uvedena úplná citace tohoto jiného právního předpisu nebo jeho konkrétního ustanovení [srov. § 4 – živnostenský zákon, § 6 odst. 1 písm. c) – zákon o některých opatřeních proti legalizaci výnosů z trestné činnosti a financování terorismu atd.].</w:t>
            </w:r>
          </w:p>
        </w:tc>
        <w:tc>
          <w:tcPr>
            <w:tcW w:w="1453" w:type="pct"/>
            <w:tcBorders>
              <w:top w:val="single" w:sz="4" w:space="0" w:color="auto"/>
              <w:left w:val="single" w:sz="4" w:space="0" w:color="auto"/>
              <w:right w:val="single" w:sz="4" w:space="0" w:color="auto"/>
            </w:tcBorders>
            <w:shd w:val="clear" w:color="auto" w:fill="auto"/>
          </w:tcPr>
          <w:p w14:paraId="66FB2D14" w14:textId="77777777" w:rsidR="002120B7" w:rsidRPr="0035187E" w:rsidRDefault="002120B7" w:rsidP="0035187E">
            <w:pPr>
              <w:jc w:val="both"/>
              <w:rPr>
                <w:rFonts w:ascii="Times New Roman" w:hAnsi="Times New Roman" w:cs="Times New Roman"/>
                <w:b/>
                <w:sz w:val="20"/>
                <w:szCs w:val="20"/>
              </w:rPr>
            </w:pPr>
            <w:r w:rsidRPr="0035187E">
              <w:rPr>
                <w:rFonts w:ascii="Times New Roman" w:hAnsi="Times New Roman" w:cs="Times New Roman"/>
                <w:b/>
                <w:sz w:val="20"/>
                <w:szCs w:val="20"/>
              </w:rPr>
              <w:t>Nevyhověno.</w:t>
            </w:r>
          </w:p>
          <w:p w14:paraId="27BE35AB" w14:textId="405A5EFE" w:rsidR="00BE73FF" w:rsidRPr="0035187E" w:rsidRDefault="002120B7" w:rsidP="0035187E">
            <w:pPr>
              <w:jc w:val="both"/>
              <w:rPr>
                <w:rFonts w:ascii="Times New Roman" w:hAnsi="Times New Roman" w:cs="Times New Roman"/>
                <w:sz w:val="20"/>
                <w:szCs w:val="20"/>
              </w:rPr>
            </w:pPr>
            <w:r w:rsidRPr="0035187E">
              <w:rPr>
                <w:rFonts w:ascii="Times New Roman" w:hAnsi="Times New Roman" w:cs="Times New Roman"/>
                <w:sz w:val="20"/>
                <w:szCs w:val="20"/>
              </w:rPr>
              <w:t>Doplňování do právních předpisů dalších poznámek pod čarou, které nemají normativní charakter, je až na výjimky nežádoucí.</w:t>
            </w:r>
          </w:p>
        </w:tc>
      </w:tr>
      <w:tr w:rsidR="0035187E" w:rsidRPr="0035187E" w14:paraId="2BC3C146"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8E554B2" w14:textId="59F424DA"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9.</w:t>
            </w:r>
          </w:p>
        </w:tc>
        <w:tc>
          <w:tcPr>
            <w:tcW w:w="583" w:type="pct"/>
            <w:tcBorders>
              <w:top w:val="single" w:sz="4" w:space="0" w:color="auto"/>
              <w:left w:val="single" w:sz="4" w:space="0" w:color="auto"/>
              <w:right w:val="single" w:sz="4" w:space="0" w:color="auto"/>
            </w:tcBorders>
            <w:shd w:val="clear" w:color="auto" w:fill="auto"/>
          </w:tcPr>
          <w:p w14:paraId="70EF16A4" w14:textId="0636B67C"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vnitra</w:t>
            </w:r>
          </w:p>
        </w:tc>
        <w:tc>
          <w:tcPr>
            <w:tcW w:w="168" w:type="pct"/>
            <w:tcBorders>
              <w:top w:val="single" w:sz="4" w:space="0" w:color="auto"/>
              <w:left w:val="single" w:sz="4" w:space="0" w:color="auto"/>
              <w:right w:val="single" w:sz="4" w:space="0" w:color="auto"/>
            </w:tcBorders>
            <w:shd w:val="clear" w:color="auto" w:fill="auto"/>
          </w:tcPr>
          <w:p w14:paraId="1F447396" w14:textId="54940A7D"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24.</w:t>
            </w:r>
          </w:p>
        </w:tc>
        <w:tc>
          <w:tcPr>
            <w:tcW w:w="169" w:type="pct"/>
            <w:tcBorders>
              <w:top w:val="single" w:sz="4" w:space="0" w:color="auto"/>
              <w:left w:val="single" w:sz="4" w:space="0" w:color="auto"/>
              <w:right w:val="single" w:sz="4" w:space="0" w:color="auto"/>
            </w:tcBorders>
            <w:shd w:val="clear" w:color="auto" w:fill="auto"/>
          </w:tcPr>
          <w:p w14:paraId="20130B73" w14:textId="4E632FC1"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D835505"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b/>
                <w:sz w:val="20"/>
                <w:szCs w:val="20"/>
              </w:rPr>
            </w:pPr>
            <w:r w:rsidRPr="0035187E">
              <w:rPr>
                <w:rFonts w:ascii="Times New Roman" w:hAnsi="Times New Roman" w:cs="Times New Roman"/>
                <w:b/>
                <w:sz w:val="20"/>
                <w:szCs w:val="20"/>
              </w:rPr>
              <w:t xml:space="preserve">K § 11 odst. 4: </w:t>
            </w:r>
          </w:p>
          <w:p w14:paraId="15AAF8F9" w14:textId="0BD023FE" w:rsidR="00BE73FF" w:rsidRPr="0035187E" w:rsidRDefault="00BE73FF" w:rsidP="0035187E">
            <w:pPr>
              <w:tabs>
                <w:tab w:val="left" w:pos="0"/>
              </w:tabs>
              <w:overflowPunct w:val="0"/>
              <w:autoSpaceDE w:val="0"/>
              <w:autoSpaceDN w:val="0"/>
              <w:adjustRightInd w:val="0"/>
              <w:ind w:firstLine="708"/>
              <w:jc w:val="both"/>
              <w:textAlignment w:val="baseline"/>
              <w:rPr>
                <w:rFonts w:ascii="Times New Roman" w:hAnsi="Times New Roman" w:cs="Times New Roman"/>
                <w:sz w:val="20"/>
                <w:szCs w:val="20"/>
              </w:rPr>
            </w:pPr>
            <w:r w:rsidRPr="0035187E">
              <w:rPr>
                <w:rFonts w:ascii="Times New Roman" w:hAnsi="Times New Roman" w:cs="Times New Roman"/>
                <w:sz w:val="20"/>
                <w:szCs w:val="20"/>
              </w:rPr>
              <w:t>S ohledem na navrhované znění ustanovení § 11 doporučujeme v odstavci 4 slova „</w:t>
            </w:r>
            <w:r w:rsidRPr="0035187E">
              <w:rPr>
                <w:rFonts w:ascii="Times New Roman" w:hAnsi="Times New Roman" w:cs="Times New Roman"/>
                <w:i/>
                <w:iCs/>
                <w:sz w:val="20"/>
                <w:szCs w:val="20"/>
              </w:rPr>
              <w:t>poplatník, který je k evidování tržby pověřen</w:t>
            </w:r>
            <w:r w:rsidRPr="0035187E">
              <w:rPr>
                <w:rFonts w:ascii="Times New Roman" w:hAnsi="Times New Roman" w:cs="Times New Roman"/>
                <w:sz w:val="20"/>
                <w:szCs w:val="20"/>
              </w:rPr>
              <w:t>“ nahradit slovy „</w:t>
            </w:r>
            <w:r w:rsidRPr="0035187E">
              <w:rPr>
                <w:rFonts w:ascii="Times New Roman" w:hAnsi="Times New Roman" w:cs="Times New Roman"/>
                <w:i/>
                <w:iCs/>
                <w:sz w:val="20"/>
                <w:szCs w:val="20"/>
              </w:rPr>
              <w:t>pověřený poplatník</w:t>
            </w:r>
            <w:r w:rsidRPr="0035187E">
              <w:rPr>
                <w:rFonts w:ascii="Times New Roman" w:hAnsi="Times New Roman" w:cs="Times New Roman"/>
                <w:sz w:val="20"/>
                <w:szCs w:val="20"/>
              </w:rPr>
              <w:t>“.</w:t>
            </w:r>
          </w:p>
        </w:tc>
        <w:tc>
          <w:tcPr>
            <w:tcW w:w="1453" w:type="pct"/>
            <w:tcBorders>
              <w:top w:val="single" w:sz="4" w:space="0" w:color="auto"/>
              <w:left w:val="single" w:sz="4" w:space="0" w:color="auto"/>
              <w:right w:val="single" w:sz="4" w:space="0" w:color="auto"/>
            </w:tcBorders>
            <w:shd w:val="clear" w:color="auto" w:fill="auto"/>
          </w:tcPr>
          <w:p w14:paraId="60FB5FF3" w14:textId="77777777" w:rsidR="007D3B1D" w:rsidRPr="0035187E" w:rsidRDefault="007D3B1D"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Vyhověno.</w:t>
            </w:r>
          </w:p>
          <w:p w14:paraId="5B1E12CA" w14:textId="269CDAD3" w:rsidR="00BE73FF" w:rsidRPr="0035187E" w:rsidRDefault="007D3B1D"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tc>
      </w:tr>
      <w:tr w:rsidR="0035187E" w:rsidRPr="0035187E" w14:paraId="2E605A45"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FDA77DE" w14:textId="7C036D1D"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9.</w:t>
            </w:r>
          </w:p>
        </w:tc>
        <w:tc>
          <w:tcPr>
            <w:tcW w:w="583" w:type="pct"/>
            <w:tcBorders>
              <w:top w:val="single" w:sz="4" w:space="0" w:color="auto"/>
              <w:left w:val="single" w:sz="4" w:space="0" w:color="auto"/>
              <w:right w:val="single" w:sz="4" w:space="0" w:color="auto"/>
            </w:tcBorders>
            <w:shd w:val="clear" w:color="auto" w:fill="auto"/>
          </w:tcPr>
          <w:p w14:paraId="4B354688" w14:textId="2A7DE8F9"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vnitra</w:t>
            </w:r>
          </w:p>
        </w:tc>
        <w:tc>
          <w:tcPr>
            <w:tcW w:w="168" w:type="pct"/>
            <w:tcBorders>
              <w:top w:val="single" w:sz="4" w:space="0" w:color="auto"/>
              <w:left w:val="single" w:sz="4" w:space="0" w:color="auto"/>
              <w:right w:val="single" w:sz="4" w:space="0" w:color="auto"/>
            </w:tcBorders>
            <w:shd w:val="clear" w:color="auto" w:fill="auto"/>
          </w:tcPr>
          <w:p w14:paraId="55DFA2CD" w14:textId="2137FB93"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25.</w:t>
            </w:r>
          </w:p>
        </w:tc>
        <w:tc>
          <w:tcPr>
            <w:tcW w:w="169" w:type="pct"/>
            <w:tcBorders>
              <w:top w:val="single" w:sz="4" w:space="0" w:color="auto"/>
              <w:left w:val="single" w:sz="4" w:space="0" w:color="auto"/>
              <w:right w:val="single" w:sz="4" w:space="0" w:color="auto"/>
            </w:tcBorders>
            <w:shd w:val="clear" w:color="auto" w:fill="auto"/>
          </w:tcPr>
          <w:p w14:paraId="7F7572AD" w14:textId="7BBB090C"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38590985"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b/>
                <w:sz w:val="20"/>
                <w:szCs w:val="20"/>
              </w:rPr>
            </w:pPr>
            <w:r w:rsidRPr="0035187E">
              <w:rPr>
                <w:rFonts w:ascii="Times New Roman" w:hAnsi="Times New Roman" w:cs="Times New Roman"/>
                <w:b/>
                <w:sz w:val="20"/>
                <w:szCs w:val="20"/>
              </w:rPr>
              <w:t xml:space="preserve">K § 12 odst. 5: </w:t>
            </w:r>
          </w:p>
          <w:p w14:paraId="57BD5FBE" w14:textId="7DE8D8EB"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sz w:val="20"/>
                <w:szCs w:val="20"/>
              </w:rPr>
            </w:pPr>
            <w:r w:rsidRPr="0035187E">
              <w:rPr>
                <w:rFonts w:ascii="Times New Roman" w:hAnsi="Times New Roman" w:cs="Times New Roman"/>
                <w:sz w:val="20"/>
                <w:szCs w:val="20"/>
              </w:rPr>
              <w:tab/>
              <w:t>Slova „</w:t>
            </w:r>
            <w:r w:rsidRPr="0035187E">
              <w:rPr>
                <w:rFonts w:ascii="Times New Roman" w:hAnsi="Times New Roman" w:cs="Times New Roman"/>
                <w:i/>
                <w:iCs/>
                <w:sz w:val="20"/>
                <w:szCs w:val="20"/>
              </w:rPr>
              <w:t>v odstavci 3 písm. a)</w:t>
            </w:r>
            <w:r w:rsidRPr="0035187E">
              <w:rPr>
                <w:rFonts w:ascii="Times New Roman" w:hAnsi="Times New Roman" w:cs="Times New Roman"/>
                <w:sz w:val="20"/>
                <w:szCs w:val="20"/>
              </w:rPr>
              <w:t>“ navrhujeme nahradit slovy „</w:t>
            </w:r>
            <w:r w:rsidRPr="0035187E">
              <w:rPr>
                <w:rFonts w:ascii="Times New Roman" w:hAnsi="Times New Roman" w:cs="Times New Roman"/>
                <w:i/>
                <w:iCs/>
                <w:sz w:val="20"/>
                <w:szCs w:val="20"/>
              </w:rPr>
              <w:t>v odstavci 4 písm. a)</w:t>
            </w:r>
            <w:r w:rsidRPr="0035187E">
              <w:rPr>
                <w:rFonts w:ascii="Times New Roman" w:hAnsi="Times New Roman" w:cs="Times New Roman"/>
                <w:sz w:val="20"/>
                <w:szCs w:val="20"/>
              </w:rPr>
              <w:t>“, neboť je odkaz na uvedený odstavec, který neobsahuje členění na pododstavce, uveden zjevně chybně.</w:t>
            </w:r>
          </w:p>
        </w:tc>
        <w:tc>
          <w:tcPr>
            <w:tcW w:w="1453" w:type="pct"/>
            <w:tcBorders>
              <w:top w:val="single" w:sz="4" w:space="0" w:color="auto"/>
              <w:left w:val="single" w:sz="4" w:space="0" w:color="auto"/>
              <w:right w:val="single" w:sz="4" w:space="0" w:color="auto"/>
            </w:tcBorders>
            <w:shd w:val="clear" w:color="auto" w:fill="auto"/>
          </w:tcPr>
          <w:p w14:paraId="34B4F153" w14:textId="77777777" w:rsidR="00BE73FF" w:rsidRPr="0035187E" w:rsidRDefault="00BE73FF"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Vyhověno.</w:t>
            </w:r>
          </w:p>
          <w:p w14:paraId="170ED078" w14:textId="1C9ABE0B"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tc>
      </w:tr>
      <w:tr w:rsidR="0035187E" w:rsidRPr="0035187E" w14:paraId="1212EEC1"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4173D844" w14:textId="3B5F609D"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9.</w:t>
            </w:r>
          </w:p>
        </w:tc>
        <w:tc>
          <w:tcPr>
            <w:tcW w:w="583" w:type="pct"/>
            <w:tcBorders>
              <w:top w:val="single" w:sz="4" w:space="0" w:color="auto"/>
              <w:left w:val="single" w:sz="4" w:space="0" w:color="auto"/>
              <w:right w:val="single" w:sz="4" w:space="0" w:color="auto"/>
            </w:tcBorders>
            <w:shd w:val="clear" w:color="auto" w:fill="auto"/>
          </w:tcPr>
          <w:p w14:paraId="143C8252" w14:textId="550A3DCD"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vnitra</w:t>
            </w:r>
          </w:p>
        </w:tc>
        <w:tc>
          <w:tcPr>
            <w:tcW w:w="168" w:type="pct"/>
            <w:tcBorders>
              <w:top w:val="single" w:sz="4" w:space="0" w:color="auto"/>
              <w:left w:val="single" w:sz="4" w:space="0" w:color="auto"/>
              <w:right w:val="single" w:sz="4" w:space="0" w:color="auto"/>
            </w:tcBorders>
            <w:shd w:val="clear" w:color="auto" w:fill="auto"/>
          </w:tcPr>
          <w:p w14:paraId="7060408E" w14:textId="7406A916"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26.</w:t>
            </w:r>
          </w:p>
        </w:tc>
        <w:tc>
          <w:tcPr>
            <w:tcW w:w="169" w:type="pct"/>
            <w:tcBorders>
              <w:top w:val="single" w:sz="4" w:space="0" w:color="auto"/>
              <w:left w:val="single" w:sz="4" w:space="0" w:color="auto"/>
              <w:right w:val="single" w:sz="4" w:space="0" w:color="auto"/>
            </w:tcBorders>
            <w:shd w:val="clear" w:color="auto" w:fill="auto"/>
          </w:tcPr>
          <w:p w14:paraId="37996D57" w14:textId="3E9193AC"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8E92745"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b/>
                <w:bCs/>
                <w:sz w:val="20"/>
                <w:szCs w:val="20"/>
              </w:rPr>
            </w:pPr>
            <w:r w:rsidRPr="0035187E">
              <w:rPr>
                <w:rFonts w:ascii="Times New Roman" w:hAnsi="Times New Roman" w:cs="Times New Roman"/>
                <w:b/>
                <w:bCs/>
                <w:sz w:val="20"/>
                <w:szCs w:val="20"/>
              </w:rPr>
              <w:t>K § 14:</w:t>
            </w:r>
          </w:p>
          <w:p w14:paraId="03945B3C"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sz w:val="20"/>
                <w:szCs w:val="20"/>
              </w:rPr>
            </w:pPr>
            <w:r w:rsidRPr="0035187E">
              <w:rPr>
                <w:rFonts w:ascii="Times New Roman" w:hAnsi="Times New Roman" w:cs="Times New Roman"/>
                <w:sz w:val="20"/>
                <w:szCs w:val="20"/>
              </w:rPr>
              <w:tab/>
              <w:t>Doporučujeme revidovat znění ustanovení § 14. Navrhujeme úvodní část ustanovení uvést například ve znění: „</w:t>
            </w:r>
            <w:r w:rsidRPr="0035187E">
              <w:rPr>
                <w:rFonts w:ascii="Times New Roman" w:hAnsi="Times New Roman" w:cs="Times New Roman"/>
                <w:i/>
                <w:iCs/>
                <w:sz w:val="20"/>
                <w:szCs w:val="20"/>
              </w:rPr>
              <w:t>Evidovanou tržbou dále nejsou tržby</w:t>
            </w:r>
            <w:r w:rsidRPr="0035187E">
              <w:rPr>
                <w:rFonts w:ascii="Times New Roman" w:hAnsi="Times New Roman" w:cs="Times New Roman"/>
                <w:sz w:val="20"/>
                <w:szCs w:val="20"/>
              </w:rPr>
              <w:t xml:space="preserve">“. </w:t>
            </w:r>
          </w:p>
          <w:p w14:paraId="14046FDC" w14:textId="32C61CC9"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sz w:val="20"/>
                <w:szCs w:val="20"/>
              </w:rPr>
            </w:pPr>
            <w:r w:rsidRPr="0035187E">
              <w:rPr>
                <w:rFonts w:ascii="Times New Roman" w:hAnsi="Times New Roman" w:cs="Times New Roman"/>
                <w:sz w:val="20"/>
                <w:szCs w:val="20"/>
              </w:rPr>
              <w:tab/>
              <w:t>Dále by byly v jednotlivých pododstavcích uvedeny další případy vyjmutí tržeb s tím, že definování prodejního automatu (nyní odstavec 3) by bylo vhodné zařadit za středník umístěný za slovní spojení „</w:t>
            </w:r>
            <w:r w:rsidRPr="0035187E">
              <w:rPr>
                <w:rFonts w:ascii="Times New Roman" w:hAnsi="Times New Roman" w:cs="Times New Roman"/>
                <w:i/>
                <w:iCs/>
                <w:sz w:val="20"/>
                <w:szCs w:val="20"/>
              </w:rPr>
              <w:t>tržby z prodeje zboží či služeb prostřednictvím prodejního automatu</w:t>
            </w:r>
            <w:r w:rsidRPr="0035187E">
              <w:rPr>
                <w:rFonts w:ascii="Times New Roman" w:hAnsi="Times New Roman" w:cs="Times New Roman"/>
                <w:sz w:val="20"/>
                <w:szCs w:val="20"/>
              </w:rPr>
              <w:t>“. Domníváme se, že úpravou dojde k zajištění výčtové přehlednosti daného ustanovení.</w:t>
            </w:r>
          </w:p>
        </w:tc>
        <w:tc>
          <w:tcPr>
            <w:tcW w:w="1453" w:type="pct"/>
            <w:tcBorders>
              <w:top w:val="single" w:sz="4" w:space="0" w:color="auto"/>
              <w:left w:val="single" w:sz="4" w:space="0" w:color="auto"/>
              <w:right w:val="single" w:sz="4" w:space="0" w:color="auto"/>
            </w:tcBorders>
            <w:shd w:val="clear" w:color="auto" w:fill="auto"/>
          </w:tcPr>
          <w:p w14:paraId="556B0A3F" w14:textId="77777777" w:rsidR="00BE73FF" w:rsidRPr="0035187E" w:rsidRDefault="007D3B1D" w:rsidP="0035187E">
            <w:pPr>
              <w:jc w:val="both"/>
              <w:rPr>
                <w:rFonts w:ascii="Times New Roman" w:hAnsi="Times New Roman" w:cs="Times New Roman"/>
                <w:b/>
                <w:sz w:val="20"/>
                <w:szCs w:val="20"/>
              </w:rPr>
            </w:pPr>
            <w:r w:rsidRPr="0035187E">
              <w:rPr>
                <w:rFonts w:ascii="Times New Roman" w:hAnsi="Times New Roman" w:cs="Times New Roman"/>
                <w:b/>
                <w:sz w:val="20"/>
                <w:szCs w:val="20"/>
              </w:rPr>
              <w:t>Nevyhověno.</w:t>
            </w:r>
          </w:p>
          <w:p w14:paraId="094408D1" w14:textId="32EED998" w:rsidR="007D3B1D" w:rsidRPr="0035187E" w:rsidRDefault="007D3B1D" w:rsidP="0035187E">
            <w:pPr>
              <w:jc w:val="both"/>
              <w:rPr>
                <w:rFonts w:ascii="Times New Roman" w:hAnsi="Times New Roman" w:cs="Times New Roman"/>
                <w:sz w:val="20"/>
                <w:szCs w:val="20"/>
              </w:rPr>
            </w:pPr>
            <w:r w:rsidRPr="0035187E">
              <w:rPr>
                <w:rFonts w:ascii="Times New Roman" w:hAnsi="Times New Roman" w:cs="Times New Roman"/>
                <w:sz w:val="20"/>
                <w:szCs w:val="20"/>
              </w:rPr>
              <w:t>Zachovává se původně zvolená legislativní technika.</w:t>
            </w:r>
          </w:p>
        </w:tc>
      </w:tr>
      <w:tr w:rsidR="0035187E" w:rsidRPr="0035187E" w14:paraId="2CFE4FB6"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B5E17C2" w14:textId="04F1C85A"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9.</w:t>
            </w:r>
          </w:p>
        </w:tc>
        <w:tc>
          <w:tcPr>
            <w:tcW w:w="583" w:type="pct"/>
            <w:tcBorders>
              <w:top w:val="single" w:sz="4" w:space="0" w:color="auto"/>
              <w:left w:val="single" w:sz="4" w:space="0" w:color="auto"/>
              <w:right w:val="single" w:sz="4" w:space="0" w:color="auto"/>
            </w:tcBorders>
            <w:shd w:val="clear" w:color="auto" w:fill="auto"/>
          </w:tcPr>
          <w:p w14:paraId="63C26FC6" w14:textId="4A9FE73B"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vnitra</w:t>
            </w:r>
          </w:p>
        </w:tc>
        <w:tc>
          <w:tcPr>
            <w:tcW w:w="168" w:type="pct"/>
            <w:tcBorders>
              <w:top w:val="single" w:sz="4" w:space="0" w:color="auto"/>
              <w:left w:val="single" w:sz="4" w:space="0" w:color="auto"/>
              <w:right w:val="single" w:sz="4" w:space="0" w:color="auto"/>
            </w:tcBorders>
            <w:shd w:val="clear" w:color="auto" w:fill="auto"/>
          </w:tcPr>
          <w:p w14:paraId="3546FA56" w14:textId="207DBB94"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27.</w:t>
            </w:r>
          </w:p>
        </w:tc>
        <w:tc>
          <w:tcPr>
            <w:tcW w:w="169" w:type="pct"/>
            <w:tcBorders>
              <w:top w:val="single" w:sz="4" w:space="0" w:color="auto"/>
              <w:left w:val="single" w:sz="4" w:space="0" w:color="auto"/>
              <w:right w:val="single" w:sz="4" w:space="0" w:color="auto"/>
            </w:tcBorders>
            <w:shd w:val="clear" w:color="auto" w:fill="auto"/>
          </w:tcPr>
          <w:p w14:paraId="7EFE954C" w14:textId="1291EF6A"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A5EC4AE"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b/>
                <w:bCs/>
                <w:sz w:val="20"/>
                <w:szCs w:val="20"/>
              </w:rPr>
            </w:pPr>
            <w:r w:rsidRPr="0035187E">
              <w:rPr>
                <w:rFonts w:ascii="Times New Roman" w:hAnsi="Times New Roman" w:cs="Times New Roman"/>
                <w:b/>
                <w:bCs/>
                <w:sz w:val="20"/>
                <w:szCs w:val="20"/>
              </w:rPr>
              <w:t>K § 19 odst. 1:</w:t>
            </w:r>
          </w:p>
          <w:p w14:paraId="07B27F92" w14:textId="426690EB"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sz w:val="20"/>
                <w:szCs w:val="20"/>
              </w:rPr>
            </w:pPr>
            <w:r w:rsidRPr="0035187E">
              <w:rPr>
                <w:rFonts w:ascii="Times New Roman" w:hAnsi="Times New Roman" w:cs="Times New Roman"/>
                <w:sz w:val="20"/>
                <w:szCs w:val="20"/>
              </w:rPr>
              <w:tab/>
              <w:t>S ohledem na znění ustanovení § 18 navrhujeme na konec nadpisu § 19 doplnit slovo „</w:t>
            </w:r>
            <w:r w:rsidRPr="0035187E">
              <w:rPr>
                <w:rFonts w:ascii="Times New Roman" w:hAnsi="Times New Roman" w:cs="Times New Roman"/>
                <w:b/>
                <w:bCs/>
                <w:i/>
                <w:iCs/>
                <w:sz w:val="20"/>
                <w:szCs w:val="20"/>
              </w:rPr>
              <w:t>poplatníka</w:t>
            </w:r>
            <w:r w:rsidRPr="0035187E">
              <w:rPr>
                <w:rFonts w:ascii="Times New Roman" w:hAnsi="Times New Roman" w:cs="Times New Roman"/>
                <w:sz w:val="20"/>
                <w:szCs w:val="20"/>
              </w:rPr>
              <w:t>“ a v odstavci 1 daného ustanovení za slovo „</w:t>
            </w:r>
            <w:r w:rsidRPr="0035187E">
              <w:rPr>
                <w:rFonts w:ascii="Times New Roman" w:hAnsi="Times New Roman" w:cs="Times New Roman"/>
                <w:i/>
                <w:iCs/>
                <w:sz w:val="20"/>
                <w:szCs w:val="20"/>
              </w:rPr>
              <w:t>číslem</w:t>
            </w:r>
            <w:r w:rsidRPr="0035187E">
              <w:rPr>
                <w:rFonts w:ascii="Times New Roman" w:hAnsi="Times New Roman" w:cs="Times New Roman"/>
                <w:sz w:val="20"/>
                <w:szCs w:val="20"/>
              </w:rPr>
              <w:t>“ vložit slovo „</w:t>
            </w:r>
            <w:r w:rsidRPr="0035187E">
              <w:rPr>
                <w:rFonts w:ascii="Times New Roman" w:hAnsi="Times New Roman" w:cs="Times New Roman"/>
                <w:i/>
                <w:iCs/>
                <w:sz w:val="20"/>
                <w:szCs w:val="20"/>
              </w:rPr>
              <w:t>poplatníka</w:t>
            </w:r>
            <w:r w:rsidRPr="0035187E">
              <w:rPr>
                <w:rFonts w:ascii="Times New Roman" w:hAnsi="Times New Roman" w:cs="Times New Roman"/>
                <w:sz w:val="20"/>
                <w:szCs w:val="20"/>
              </w:rPr>
              <w:t>“.</w:t>
            </w:r>
          </w:p>
        </w:tc>
        <w:tc>
          <w:tcPr>
            <w:tcW w:w="1453" w:type="pct"/>
            <w:tcBorders>
              <w:top w:val="single" w:sz="4" w:space="0" w:color="auto"/>
              <w:left w:val="single" w:sz="4" w:space="0" w:color="auto"/>
              <w:right w:val="single" w:sz="4" w:space="0" w:color="auto"/>
            </w:tcBorders>
            <w:shd w:val="clear" w:color="auto" w:fill="auto"/>
          </w:tcPr>
          <w:p w14:paraId="3C6C6E45" w14:textId="77777777" w:rsidR="00BE73FF" w:rsidRPr="0035187E" w:rsidRDefault="00BE73FF"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Vyhověno.</w:t>
            </w:r>
          </w:p>
          <w:p w14:paraId="65D4BA5C" w14:textId="26CF264F"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tc>
      </w:tr>
      <w:tr w:rsidR="0035187E" w:rsidRPr="0035187E" w14:paraId="5DA3FAF5"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344CF5C" w14:textId="7376A7A9"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9.</w:t>
            </w:r>
          </w:p>
        </w:tc>
        <w:tc>
          <w:tcPr>
            <w:tcW w:w="583" w:type="pct"/>
            <w:tcBorders>
              <w:top w:val="single" w:sz="4" w:space="0" w:color="auto"/>
              <w:left w:val="single" w:sz="4" w:space="0" w:color="auto"/>
              <w:right w:val="single" w:sz="4" w:space="0" w:color="auto"/>
            </w:tcBorders>
            <w:shd w:val="clear" w:color="auto" w:fill="auto"/>
          </w:tcPr>
          <w:p w14:paraId="71D3D8E1" w14:textId="2A0AE772"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vnitra</w:t>
            </w:r>
          </w:p>
        </w:tc>
        <w:tc>
          <w:tcPr>
            <w:tcW w:w="168" w:type="pct"/>
            <w:tcBorders>
              <w:top w:val="single" w:sz="4" w:space="0" w:color="auto"/>
              <w:left w:val="single" w:sz="4" w:space="0" w:color="auto"/>
              <w:right w:val="single" w:sz="4" w:space="0" w:color="auto"/>
            </w:tcBorders>
            <w:shd w:val="clear" w:color="auto" w:fill="auto"/>
          </w:tcPr>
          <w:p w14:paraId="6734357C" w14:textId="04D3112A"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28.</w:t>
            </w:r>
          </w:p>
        </w:tc>
        <w:tc>
          <w:tcPr>
            <w:tcW w:w="169" w:type="pct"/>
            <w:tcBorders>
              <w:top w:val="single" w:sz="4" w:space="0" w:color="auto"/>
              <w:left w:val="single" w:sz="4" w:space="0" w:color="auto"/>
              <w:right w:val="single" w:sz="4" w:space="0" w:color="auto"/>
            </w:tcBorders>
            <w:shd w:val="clear" w:color="auto" w:fill="auto"/>
          </w:tcPr>
          <w:p w14:paraId="58F4B8BA" w14:textId="30463CD2"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6F301B2"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b/>
                <w:bCs/>
                <w:sz w:val="20"/>
                <w:szCs w:val="20"/>
              </w:rPr>
            </w:pPr>
            <w:r w:rsidRPr="0035187E">
              <w:rPr>
                <w:rFonts w:ascii="Times New Roman" w:hAnsi="Times New Roman" w:cs="Times New Roman"/>
                <w:b/>
                <w:bCs/>
                <w:sz w:val="20"/>
                <w:szCs w:val="20"/>
              </w:rPr>
              <w:t xml:space="preserve">K § 30 bodu </w:t>
            </w:r>
            <w:proofErr w:type="gramStart"/>
            <w:r w:rsidRPr="0035187E">
              <w:rPr>
                <w:rFonts w:ascii="Times New Roman" w:hAnsi="Times New Roman" w:cs="Times New Roman"/>
                <w:b/>
                <w:bCs/>
                <w:sz w:val="20"/>
                <w:szCs w:val="20"/>
              </w:rPr>
              <w:t>21 – k</w:t>
            </w:r>
            <w:proofErr w:type="gramEnd"/>
            <w:r w:rsidRPr="0035187E">
              <w:rPr>
                <w:rFonts w:ascii="Times New Roman" w:hAnsi="Times New Roman" w:cs="Times New Roman"/>
                <w:b/>
                <w:bCs/>
                <w:sz w:val="20"/>
                <w:szCs w:val="20"/>
              </w:rPr>
              <w:t xml:space="preserve"> § 38k odst. 5 písm. h) zákona č. 586/1992 Sb.:</w:t>
            </w:r>
          </w:p>
          <w:p w14:paraId="0394BABF" w14:textId="77777777" w:rsidR="00BE73FF" w:rsidRPr="0035187E" w:rsidRDefault="00BE73FF" w:rsidP="0035187E">
            <w:pPr>
              <w:tabs>
                <w:tab w:val="left" w:pos="0"/>
              </w:tabs>
              <w:overflowPunct w:val="0"/>
              <w:autoSpaceDE w:val="0"/>
              <w:autoSpaceDN w:val="0"/>
              <w:adjustRightInd w:val="0"/>
              <w:ind w:firstLine="708"/>
              <w:jc w:val="both"/>
              <w:textAlignment w:val="baseline"/>
              <w:rPr>
                <w:rFonts w:ascii="Times New Roman" w:hAnsi="Times New Roman" w:cs="Times New Roman"/>
                <w:sz w:val="20"/>
                <w:szCs w:val="20"/>
              </w:rPr>
            </w:pPr>
            <w:r w:rsidRPr="0035187E">
              <w:rPr>
                <w:rFonts w:ascii="Times New Roman" w:hAnsi="Times New Roman" w:cs="Times New Roman"/>
                <w:sz w:val="20"/>
                <w:szCs w:val="20"/>
              </w:rPr>
              <w:t>Úvodní část bodu 21 by měla znít: „</w:t>
            </w:r>
            <w:r w:rsidRPr="0035187E">
              <w:rPr>
                <w:rFonts w:ascii="Times New Roman" w:hAnsi="Times New Roman" w:cs="Times New Roman"/>
                <w:i/>
                <w:iCs/>
                <w:sz w:val="20"/>
                <w:szCs w:val="20"/>
              </w:rPr>
              <w:t>V § 38k se na konci odstavce 5 tečka nahrazuje čárkou a doplňuje se písmeno h), které zní:</w:t>
            </w:r>
            <w:r w:rsidRPr="0035187E">
              <w:rPr>
                <w:rFonts w:ascii="Times New Roman" w:hAnsi="Times New Roman" w:cs="Times New Roman"/>
                <w:sz w:val="20"/>
                <w:szCs w:val="20"/>
              </w:rPr>
              <w:t>“, viz čl. 58 odst. 4 písm. b) Legislativních pravidel vlády.</w:t>
            </w:r>
          </w:p>
          <w:p w14:paraId="3F5F99E0" w14:textId="2744293A"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b/>
                <w:bCs/>
                <w:sz w:val="20"/>
                <w:szCs w:val="20"/>
              </w:rPr>
            </w:pPr>
            <w:r w:rsidRPr="0035187E">
              <w:rPr>
                <w:rFonts w:ascii="Times New Roman" w:hAnsi="Times New Roman" w:cs="Times New Roman"/>
                <w:sz w:val="20"/>
                <w:szCs w:val="20"/>
              </w:rPr>
              <w:tab/>
              <w:t>Tuto připomínku obdobně vztahujeme i k</w:t>
            </w:r>
            <w:r w:rsidRPr="0035187E">
              <w:rPr>
                <w:rFonts w:ascii="Times New Roman" w:hAnsi="Times New Roman" w:cs="Times New Roman"/>
                <w:b/>
                <w:bCs/>
                <w:sz w:val="20"/>
                <w:szCs w:val="20"/>
              </w:rPr>
              <w:t xml:space="preserve"> </w:t>
            </w:r>
            <w:r w:rsidRPr="0035187E">
              <w:rPr>
                <w:rFonts w:ascii="Times New Roman" w:hAnsi="Times New Roman" w:cs="Times New Roman"/>
                <w:sz w:val="20"/>
                <w:szCs w:val="20"/>
              </w:rPr>
              <w:t>§ 30 bodu 22, tj. k § 38l odst. 2 písm. f) a h) zákona č. 586/1992 Sb.</w:t>
            </w:r>
          </w:p>
        </w:tc>
        <w:tc>
          <w:tcPr>
            <w:tcW w:w="1453" w:type="pct"/>
            <w:tcBorders>
              <w:top w:val="single" w:sz="4" w:space="0" w:color="auto"/>
              <w:left w:val="single" w:sz="4" w:space="0" w:color="auto"/>
              <w:right w:val="single" w:sz="4" w:space="0" w:color="auto"/>
            </w:tcBorders>
            <w:shd w:val="clear" w:color="auto" w:fill="auto"/>
          </w:tcPr>
          <w:p w14:paraId="3208A362" w14:textId="77777777" w:rsidR="00D571E8" w:rsidRPr="0035187E" w:rsidRDefault="00D571E8"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Vyhověno.</w:t>
            </w:r>
          </w:p>
          <w:p w14:paraId="519F0C34" w14:textId="1070A6E5" w:rsidR="00BE73FF" w:rsidRPr="0035187E" w:rsidRDefault="00D571E8"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tc>
      </w:tr>
      <w:tr w:rsidR="0035187E" w:rsidRPr="0035187E" w14:paraId="64B33EDE"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6DF818F" w14:textId="7F5DCD5D"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9.</w:t>
            </w:r>
          </w:p>
        </w:tc>
        <w:tc>
          <w:tcPr>
            <w:tcW w:w="583" w:type="pct"/>
            <w:tcBorders>
              <w:top w:val="single" w:sz="4" w:space="0" w:color="auto"/>
              <w:left w:val="single" w:sz="4" w:space="0" w:color="auto"/>
              <w:right w:val="single" w:sz="4" w:space="0" w:color="auto"/>
            </w:tcBorders>
            <w:shd w:val="clear" w:color="auto" w:fill="auto"/>
          </w:tcPr>
          <w:p w14:paraId="777A551D" w14:textId="4C9C578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vnitra</w:t>
            </w:r>
          </w:p>
        </w:tc>
        <w:tc>
          <w:tcPr>
            <w:tcW w:w="168" w:type="pct"/>
            <w:tcBorders>
              <w:top w:val="single" w:sz="4" w:space="0" w:color="auto"/>
              <w:left w:val="single" w:sz="4" w:space="0" w:color="auto"/>
              <w:right w:val="single" w:sz="4" w:space="0" w:color="auto"/>
            </w:tcBorders>
            <w:shd w:val="clear" w:color="auto" w:fill="auto"/>
          </w:tcPr>
          <w:p w14:paraId="2B2037A4" w14:textId="65A26480"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29.</w:t>
            </w:r>
          </w:p>
        </w:tc>
        <w:tc>
          <w:tcPr>
            <w:tcW w:w="169" w:type="pct"/>
            <w:tcBorders>
              <w:top w:val="single" w:sz="4" w:space="0" w:color="auto"/>
              <w:left w:val="single" w:sz="4" w:space="0" w:color="auto"/>
              <w:right w:val="single" w:sz="4" w:space="0" w:color="auto"/>
            </w:tcBorders>
            <w:shd w:val="clear" w:color="auto" w:fill="auto"/>
          </w:tcPr>
          <w:p w14:paraId="0E035D08" w14:textId="21F67751"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0CB36AC"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b/>
                <w:bCs/>
                <w:sz w:val="20"/>
                <w:szCs w:val="20"/>
              </w:rPr>
            </w:pPr>
            <w:r w:rsidRPr="0035187E">
              <w:rPr>
                <w:rFonts w:ascii="Times New Roman" w:hAnsi="Times New Roman" w:cs="Times New Roman"/>
                <w:b/>
                <w:bCs/>
                <w:sz w:val="20"/>
                <w:szCs w:val="20"/>
              </w:rPr>
              <w:t xml:space="preserve">K § 30 bodu </w:t>
            </w:r>
            <w:proofErr w:type="gramStart"/>
            <w:r w:rsidRPr="0035187E">
              <w:rPr>
                <w:rFonts w:ascii="Times New Roman" w:hAnsi="Times New Roman" w:cs="Times New Roman"/>
                <w:b/>
                <w:bCs/>
                <w:sz w:val="20"/>
                <w:szCs w:val="20"/>
              </w:rPr>
              <w:t>30 – k</w:t>
            </w:r>
            <w:proofErr w:type="gramEnd"/>
            <w:r w:rsidRPr="0035187E">
              <w:rPr>
                <w:rFonts w:ascii="Times New Roman" w:hAnsi="Times New Roman" w:cs="Times New Roman"/>
                <w:b/>
                <w:bCs/>
                <w:sz w:val="20"/>
                <w:szCs w:val="20"/>
              </w:rPr>
              <w:t xml:space="preserve"> § 38lg odst. 1 a 2 zákona č. 586/1992 Sb.:</w:t>
            </w:r>
          </w:p>
          <w:p w14:paraId="3214B634" w14:textId="1530245E"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sz w:val="20"/>
                <w:szCs w:val="20"/>
              </w:rPr>
            </w:pPr>
            <w:r w:rsidRPr="0035187E">
              <w:rPr>
                <w:rFonts w:ascii="Times New Roman" w:hAnsi="Times New Roman" w:cs="Times New Roman"/>
                <w:sz w:val="20"/>
                <w:szCs w:val="20"/>
              </w:rPr>
              <w:tab/>
              <w:t>S ohledem na čl. 58 odst. 6 písm. d) Legislativních pravidel vlády navrhujeme slovo „</w:t>
            </w:r>
            <w:r w:rsidRPr="0035187E">
              <w:rPr>
                <w:rFonts w:ascii="Times New Roman" w:hAnsi="Times New Roman" w:cs="Times New Roman"/>
                <w:i/>
                <w:iCs/>
                <w:sz w:val="20"/>
                <w:szCs w:val="20"/>
              </w:rPr>
              <w:t>doplňují</w:t>
            </w:r>
            <w:r w:rsidRPr="0035187E">
              <w:rPr>
                <w:rFonts w:ascii="Times New Roman" w:hAnsi="Times New Roman" w:cs="Times New Roman"/>
                <w:sz w:val="20"/>
                <w:szCs w:val="20"/>
              </w:rPr>
              <w:t>“ nahradit slovem „</w:t>
            </w:r>
            <w:r w:rsidRPr="0035187E">
              <w:rPr>
                <w:rFonts w:ascii="Times New Roman" w:hAnsi="Times New Roman" w:cs="Times New Roman"/>
                <w:i/>
                <w:iCs/>
                <w:sz w:val="20"/>
                <w:szCs w:val="20"/>
              </w:rPr>
              <w:t>vkládají</w:t>
            </w:r>
            <w:r w:rsidRPr="0035187E">
              <w:rPr>
                <w:rFonts w:ascii="Times New Roman" w:hAnsi="Times New Roman" w:cs="Times New Roman"/>
                <w:sz w:val="20"/>
                <w:szCs w:val="20"/>
              </w:rPr>
              <w:t>“.</w:t>
            </w:r>
          </w:p>
        </w:tc>
        <w:tc>
          <w:tcPr>
            <w:tcW w:w="1453" w:type="pct"/>
            <w:tcBorders>
              <w:top w:val="single" w:sz="4" w:space="0" w:color="auto"/>
              <w:left w:val="single" w:sz="4" w:space="0" w:color="auto"/>
              <w:right w:val="single" w:sz="4" w:space="0" w:color="auto"/>
            </w:tcBorders>
            <w:shd w:val="clear" w:color="auto" w:fill="auto"/>
          </w:tcPr>
          <w:p w14:paraId="61F305E1" w14:textId="7742AEAF" w:rsidR="00D571E8" w:rsidRPr="0035187E" w:rsidRDefault="00D571E8"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Vyhověno.</w:t>
            </w:r>
          </w:p>
          <w:p w14:paraId="5F9EA881" w14:textId="433570AA" w:rsidR="00BE73FF" w:rsidRPr="0035187E" w:rsidRDefault="00D571E8"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tc>
      </w:tr>
      <w:tr w:rsidR="0035187E" w:rsidRPr="0035187E" w14:paraId="117E26FF"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4B7FBAF7" w14:textId="24D6C1DE"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9.</w:t>
            </w:r>
          </w:p>
        </w:tc>
        <w:tc>
          <w:tcPr>
            <w:tcW w:w="583" w:type="pct"/>
            <w:tcBorders>
              <w:top w:val="single" w:sz="4" w:space="0" w:color="auto"/>
              <w:left w:val="single" w:sz="4" w:space="0" w:color="auto"/>
              <w:right w:val="single" w:sz="4" w:space="0" w:color="auto"/>
            </w:tcBorders>
            <w:shd w:val="clear" w:color="auto" w:fill="auto"/>
          </w:tcPr>
          <w:p w14:paraId="7E347A48" w14:textId="5DD823BC"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vnitra</w:t>
            </w:r>
          </w:p>
        </w:tc>
        <w:tc>
          <w:tcPr>
            <w:tcW w:w="168" w:type="pct"/>
            <w:tcBorders>
              <w:top w:val="single" w:sz="4" w:space="0" w:color="auto"/>
              <w:left w:val="single" w:sz="4" w:space="0" w:color="auto"/>
              <w:right w:val="single" w:sz="4" w:space="0" w:color="auto"/>
            </w:tcBorders>
            <w:shd w:val="clear" w:color="auto" w:fill="auto"/>
          </w:tcPr>
          <w:p w14:paraId="3E441338" w14:textId="4B26CA4B"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30.</w:t>
            </w:r>
          </w:p>
        </w:tc>
        <w:tc>
          <w:tcPr>
            <w:tcW w:w="169" w:type="pct"/>
            <w:tcBorders>
              <w:top w:val="single" w:sz="4" w:space="0" w:color="auto"/>
              <w:left w:val="single" w:sz="4" w:space="0" w:color="auto"/>
              <w:right w:val="single" w:sz="4" w:space="0" w:color="auto"/>
            </w:tcBorders>
            <w:shd w:val="clear" w:color="auto" w:fill="auto"/>
          </w:tcPr>
          <w:p w14:paraId="54A216F2" w14:textId="2A2B8F91"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85DA1A7"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b/>
                <w:bCs/>
                <w:sz w:val="20"/>
                <w:szCs w:val="20"/>
              </w:rPr>
            </w:pPr>
            <w:r w:rsidRPr="0035187E">
              <w:rPr>
                <w:rFonts w:ascii="Times New Roman" w:hAnsi="Times New Roman" w:cs="Times New Roman"/>
                <w:b/>
                <w:bCs/>
                <w:sz w:val="20"/>
                <w:szCs w:val="20"/>
              </w:rPr>
              <w:t xml:space="preserve">K § 30 bodu </w:t>
            </w:r>
            <w:proofErr w:type="gramStart"/>
            <w:r w:rsidRPr="0035187E">
              <w:rPr>
                <w:rFonts w:ascii="Times New Roman" w:hAnsi="Times New Roman" w:cs="Times New Roman"/>
                <w:b/>
                <w:bCs/>
                <w:sz w:val="20"/>
                <w:szCs w:val="20"/>
              </w:rPr>
              <w:t>31 – k</w:t>
            </w:r>
            <w:proofErr w:type="gramEnd"/>
            <w:r w:rsidRPr="0035187E">
              <w:rPr>
                <w:rFonts w:ascii="Times New Roman" w:hAnsi="Times New Roman" w:cs="Times New Roman"/>
                <w:b/>
                <w:bCs/>
                <w:sz w:val="20"/>
                <w:szCs w:val="20"/>
              </w:rPr>
              <w:t xml:space="preserve"> § 38lk odst. 7 písm. a) zákona č. 586/1992 Sb.</w:t>
            </w:r>
          </w:p>
          <w:p w14:paraId="69572651" w14:textId="085FBF96"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sz w:val="20"/>
                <w:szCs w:val="20"/>
              </w:rPr>
            </w:pPr>
            <w:r w:rsidRPr="0035187E">
              <w:rPr>
                <w:rFonts w:ascii="Times New Roman" w:hAnsi="Times New Roman" w:cs="Times New Roman"/>
                <w:sz w:val="20"/>
                <w:szCs w:val="20"/>
              </w:rPr>
              <w:tab/>
              <w:t>Podle čl. 58 odst. 8 písm. e) Legislativních pravidel vlády by úvodní část daného bodu měla znít: „</w:t>
            </w:r>
            <w:r w:rsidRPr="0035187E">
              <w:rPr>
                <w:rFonts w:ascii="Times New Roman" w:hAnsi="Times New Roman" w:cs="Times New Roman"/>
                <w:i/>
                <w:iCs/>
                <w:sz w:val="20"/>
                <w:szCs w:val="20"/>
              </w:rPr>
              <w:t>V § 38lk odst. 7 se na konci textu písmene a) doplňují slova …</w:t>
            </w:r>
            <w:r w:rsidRPr="0035187E">
              <w:rPr>
                <w:rFonts w:ascii="Times New Roman" w:hAnsi="Times New Roman" w:cs="Times New Roman"/>
                <w:sz w:val="20"/>
                <w:szCs w:val="20"/>
              </w:rPr>
              <w:t>“.</w:t>
            </w:r>
          </w:p>
        </w:tc>
        <w:tc>
          <w:tcPr>
            <w:tcW w:w="1453" w:type="pct"/>
            <w:tcBorders>
              <w:top w:val="single" w:sz="4" w:space="0" w:color="auto"/>
              <w:left w:val="single" w:sz="4" w:space="0" w:color="auto"/>
              <w:right w:val="single" w:sz="4" w:space="0" w:color="auto"/>
            </w:tcBorders>
            <w:shd w:val="clear" w:color="auto" w:fill="auto"/>
          </w:tcPr>
          <w:p w14:paraId="78275444" w14:textId="70995AE5" w:rsidR="00D571E8" w:rsidRPr="0035187E" w:rsidRDefault="00D571E8"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Vyhověno.</w:t>
            </w:r>
          </w:p>
          <w:p w14:paraId="4F65DA8D" w14:textId="17D89FB4" w:rsidR="00BE73FF" w:rsidRPr="0035187E" w:rsidRDefault="00D571E8"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tc>
      </w:tr>
      <w:tr w:rsidR="0035187E" w:rsidRPr="0035187E" w14:paraId="113C18F4"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FAABAF6" w14:textId="47DFC514"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9.</w:t>
            </w:r>
          </w:p>
        </w:tc>
        <w:tc>
          <w:tcPr>
            <w:tcW w:w="583" w:type="pct"/>
            <w:tcBorders>
              <w:top w:val="single" w:sz="4" w:space="0" w:color="auto"/>
              <w:left w:val="single" w:sz="4" w:space="0" w:color="auto"/>
              <w:right w:val="single" w:sz="4" w:space="0" w:color="auto"/>
            </w:tcBorders>
            <w:shd w:val="clear" w:color="auto" w:fill="auto"/>
          </w:tcPr>
          <w:p w14:paraId="43D33D4B" w14:textId="6E986BAD"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vnitra</w:t>
            </w:r>
          </w:p>
        </w:tc>
        <w:tc>
          <w:tcPr>
            <w:tcW w:w="168" w:type="pct"/>
            <w:tcBorders>
              <w:top w:val="single" w:sz="4" w:space="0" w:color="auto"/>
              <w:left w:val="single" w:sz="4" w:space="0" w:color="auto"/>
              <w:right w:val="single" w:sz="4" w:space="0" w:color="auto"/>
            </w:tcBorders>
            <w:shd w:val="clear" w:color="auto" w:fill="auto"/>
          </w:tcPr>
          <w:p w14:paraId="19E33C7E" w14:textId="522FC5DC"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31.</w:t>
            </w:r>
          </w:p>
        </w:tc>
        <w:tc>
          <w:tcPr>
            <w:tcW w:w="169" w:type="pct"/>
            <w:tcBorders>
              <w:top w:val="single" w:sz="4" w:space="0" w:color="auto"/>
              <w:left w:val="single" w:sz="4" w:space="0" w:color="auto"/>
              <w:right w:val="single" w:sz="4" w:space="0" w:color="auto"/>
            </w:tcBorders>
            <w:shd w:val="clear" w:color="auto" w:fill="auto"/>
          </w:tcPr>
          <w:p w14:paraId="3D9463DF" w14:textId="0DC6665C"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5CEE2A8" w14:textId="77777777" w:rsidR="00BE73FF" w:rsidRPr="0035187E" w:rsidRDefault="00BE73FF" w:rsidP="0035187E">
            <w:pPr>
              <w:keepNext/>
              <w:tabs>
                <w:tab w:val="left" w:pos="0"/>
              </w:tabs>
              <w:overflowPunct w:val="0"/>
              <w:autoSpaceDE w:val="0"/>
              <w:autoSpaceDN w:val="0"/>
              <w:adjustRightInd w:val="0"/>
              <w:jc w:val="both"/>
              <w:textAlignment w:val="baseline"/>
              <w:rPr>
                <w:rFonts w:ascii="Times New Roman" w:hAnsi="Times New Roman" w:cs="Times New Roman"/>
                <w:b/>
                <w:bCs/>
                <w:sz w:val="20"/>
                <w:szCs w:val="20"/>
              </w:rPr>
            </w:pPr>
            <w:r w:rsidRPr="0035187E">
              <w:rPr>
                <w:rFonts w:ascii="Times New Roman" w:hAnsi="Times New Roman" w:cs="Times New Roman"/>
                <w:b/>
                <w:bCs/>
                <w:sz w:val="20"/>
                <w:szCs w:val="20"/>
              </w:rPr>
              <w:t xml:space="preserve">K § 32 bodu </w:t>
            </w:r>
            <w:proofErr w:type="gramStart"/>
            <w:r w:rsidRPr="0035187E">
              <w:rPr>
                <w:rFonts w:ascii="Times New Roman" w:hAnsi="Times New Roman" w:cs="Times New Roman"/>
                <w:b/>
                <w:bCs/>
                <w:sz w:val="20"/>
                <w:szCs w:val="20"/>
              </w:rPr>
              <w:t>7 – k</w:t>
            </w:r>
            <w:proofErr w:type="gramEnd"/>
            <w:r w:rsidRPr="0035187E">
              <w:rPr>
                <w:rFonts w:ascii="Times New Roman" w:hAnsi="Times New Roman" w:cs="Times New Roman"/>
                <w:b/>
                <w:bCs/>
                <w:sz w:val="20"/>
                <w:szCs w:val="20"/>
              </w:rPr>
              <w:t> příloze č. 2 zákona č. 235/2004 Sb.:</w:t>
            </w:r>
          </w:p>
          <w:p w14:paraId="00C84166" w14:textId="3246FC58" w:rsidR="00BE73FF" w:rsidRPr="0035187E" w:rsidRDefault="00BE73FF" w:rsidP="0035187E">
            <w:pPr>
              <w:keepNext/>
              <w:tabs>
                <w:tab w:val="left" w:pos="0"/>
              </w:tabs>
              <w:overflowPunct w:val="0"/>
              <w:autoSpaceDE w:val="0"/>
              <w:autoSpaceDN w:val="0"/>
              <w:adjustRightInd w:val="0"/>
              <w:jc w:val="both"/>
              <w:textAlignment w:val="baseline"/>
              <w:rPr>
                <w:rFonts w:ascii="Times New Roman" w:hAnsi="Times New Roman" w:cs="Times New Roman"/>
                <w:sz w:val="20"/>
                <w:szCs w:val="20"/>
              </w:rPr>
            </w:pPr>
            <w:r w:rsidRPr="0035187E">
              <w:rPr>
                <w:rFonts w:ascii="Times New Roman" w:hAnsi="Times New Roman" w:cs="Times New Roman"/>
                <w:sz w:val="20"/>
                <w:szCs w:val="20"/>
              </w:rPr>
              <w:tab/>
              <w:t>Za text „</w:t>
            </w:r>
            <w:r w:rsidRPr="0035187E">
              <w:rPr>
                <w:rFonts w:ascii="Times New Roman" w:hAnsi="Times New Roman" w:cs="Times New Roman"/>
                <w:i/>
                <w:iCs/>
                <w:sz w:val="20"/>
                <w:szCs w:val="20"/>
              </w:rPr>
              <w:t>č. 2</w:t>
            </w:r>
            <w:r w:rsidRPr="0035187E">
              <w:rPr>
                <w:rFonts w:ascii="Times New Roman" w:hAnsi="Times New Roman" w:cs="Times New Roman"/>
                <w:sz w:val="20"/>
                <w:szCs w:val="20"/>
              </w:rPr>
              <w:t>“ navrhujeme vložit chybějící slovo „</w:t>
            </w:r>
            <w:r w:rsidRPr="0035187E">
              <w:rPr>
                <w:rFonts w:ascii="Times New Roman" w:hAnsi="Times New Roman" w:cs="Times New Roman"/>
                <w:i/>
                <w:iCs/>
                <w:sz w:val="20"/>
                <w:szCs w:val="20"/>
              </w:rPr>
              <w:t>v</w:t>
            </w:r>
            <w:r w:rsidRPr="0035187E">
              <w:rPr>
                <w:rFonts w:ascii="Times New Roman" w:hAnsi="Times New Roman" w:cs="Times New Roman"/>
                <w:sz w:val="20"/>
                <w:szCs w:val="20"/>
              </w:rPr>
              <w:t>“.</w:t>
            </w:r>
          </w:p>
        </w:tc>
        <w:tc>
          <w:tcPr>
            <w:tcW w:w="1453" w:type="pct"/>
            <w:tcBorders>
              <w:top w:val="single" w:sz="4" w:space="0" w:color="auto"/>
              <w:left w:val="single" w:sz="4" w:space="0" w:color="auto"/>
              <w:right w:val="single" w:sz="4" w:space="0" w:color="auto"/>
            </w:tcBorders>
            <w:shd w:val="clear" w:color="auto" w:fill="auto"/>
          </w:tcPr>
          <w:p w14:paraId="236209D4" w14:textId="77777777" w:rsidR="00D571E8" w:rsidRPr="0035187E" w:rsidRDefault="00D571E8"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Vyhověno.</w:t>
            </w:r>
          </w:p>
          <w:p w14:paraId="1D81A24D" w14:textId="031FC058" w:rsidR="00BE73FF" w:rsidRPr="0035187E" w:rsidRDefault="00D571E8" w:rsidP="0035187E">
            <w:pPr>
              <w:jc w:val="both"/>
              <w:rPr>
                <w:rFonts w:ascii="Times New Roman" w:hAnsi="Times New Roman" w:cs="Times New Roman"/>
                <w:b/>
                <w:bCs/>
                <w:sz w:val="20"/>
                <w:szCs w:val="20"/>
              </w:rPr>
            </w:pPr>
            <w:r w:rsidRPr="0035187E">
              <w:rPr>
                <w:rFonts w:ascii="Times New Roman" w:hAnsi="Times New Roman" w:cs="Times New Roman"/>
                <w:sz w:val="20"/>
                <w:szCs w:val="20"/>
              </w:rPr>
              <w:t>Materiál byl upraven.</w:t>
            </w:r>
          </w:p>
        </w:tc>
      </w:tr>
      <w:tr w:rsidR="0035187E" w:rsidRPr="0035187E" w14:paraId="2115BCC6"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4995F15D" w14:textId="6867BCC3"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9.</w:t>
            </w:r>
          </w:p>
        </w:tc>
        <w:tc>
          <w:tcPr>
            <w:tcW w:w="583" w:type="pct"/>
            <w:tcBorders>
              <w:top w:val="single" w:sz="4" w:space="0" w:color="auto"/>
              <w:left w:val="single" w:sz="4" w:space="0" w:color="auto"/>
              <w:right w:val="single" w:sz="4" w:space="0" w:color="auto"/>
            </w:tcBorders>
            <w:shd w:val="clear" w:color="auto" w:fill="auto"/>
          </w:tcPr>
          <w:p w14:paraId="18595F22" w14:textId="6EC17AD9"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vnitra</w:t>
            </w:r>
          </w:p>
        </w:tc>
        <w:tc>
          <w:tcPr>
            <w:tcW w:w="168" w:type="pct"/>
            <w:tcBorders>
              <w:top w:val="single" w:sz="4" w:space="0" w:color="auto"/>
              <w:left w:val="single" w:sz="4" w:space="0" w:color="auto"/>
              <w:right w:val="single" w:sz="4" w:space="0" w:color="auto"/>
            </w:tcBorders>
            <w:shd w:val="clear" w:color="auto" w:fill="auto"/>
          </w:tcPr>
          <w:p w14:paraId="37A34B28" w14:textId="413D8B24"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32.</w:t>
            </w:r>
          </w:p>
        </w:tc>
        <w:tc>
          <w:tcPr>
            <w:tcW w:w="169" w:type="pct"/>
            <w:tcBorders>
              <w:top w:val="single" w:sz="4" w:space="0" w:color="auto"/>
              <w:left w:val="single" w:sz="4" w:space="0" w:color="auto"/>
              <w:right w:val="single" w:sz="4" w:space="0" w:color="auto"/>
            </w:tcBorders>
            <w:shd w:val="clear" w:color="auto" w:fill="auto"/>
          </w:tcPr>
          <w:p w14:paraId="0E871307" w14:textId="710FC69B"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32CCB01C"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b/>
                <w:bCs/>
                <w:sz w:val="20"/>
                <w:szCs w:val="20"/>
              </w:rPr>
            </w:pPr>
            <w:r w:rsidRPr="0035187E">
              <w:rPr>
                <w:rFonts w:ascii="Times New Roman" w:hAnsi="Times New Roman" w:cs="Times New Roman"/>
                <w:b/>
                <w:bCs/>
                <w:sz w:val="20"/>
                <w:szCs w:val="20"/>
              </w:rPr>
              <w:t xml:space="preserve">K § 32 bodu </w:t>
            </w:r>
            <w:proofErr w:type="gramStart"/>
            <w:r w:rsidRPr="0035187E">
              <w:rPr>
                <w:rFonts w:ascii="Times New Roman" w:hAnsi="Times New Roman" w:cs="Times New Roman"/>
                <w:b/>
                <w:bCs/>
                <w:sz w:val="20"/>
                <w:szCs w:val="20"/>
              </w:rPr>
              <w:t>9 – k</w:t>
            </w:r>
            <w:proofErr w:type="gramEnd"/>
            <w:r w:rsidRPr="0035187E">
              <w:rPr>
                <w:rFonts w:ascii="Times New Roman" w:hAnsi="Times New Roman" w:cs="Times New Roman"/>
                <w:b/>
                <w:bCs/>
                <w:sz w:val="20"/>
                <w:szCs w:val="20"/>
              </w:rPr>
              <w:t> příloze č. 2 zákona č. 235/2004 Sb.:</w:t>
            </w:r>
          </w:p>
          <w:p w14:paraId="6EF1B0AF" w14:textId="7B8E5EB2"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sz w:val="20"/>
                <w:szCs w:val="20"/>
              </w:rPr>
            </w:pPr>
            <w:r w:rsidRPr="0035187E">
              <w:rPr>
                <w:rFonts w:ascii="Times New Roman" w:hAnsi="Times New Roman" w:cs="Times New Roman"/>
                <w:sz w:val="20"/>
                <w:szCs w:val="20"/>
              </w:rPr>
              <w:tab/>
              <w:t>Uvedený novelizační bod považujeme za zbytečně komplikovaný. Navrhujeme jej formulovat například takto: „</w:t>
            </w:r>
            <w:r w:rsidRPr="0035187E">
              <w:rPr>
                <w:rFonts w:ascii="Times New Roman" w:hAnsi="Times New Roman" w:cs="Times New Roman"/>
                <w:i/>
                <w:iCs/>
                <w:sz w:val="20"/>
                <w:szCs w:val="20"/>
              </w:rPr>
              <w:t>V příloze č. 2 se ve větě poslední slovo „Nealkoholickým“ nahrazuje slovem „Alkoholickým“ a slova „nápoj jiný než“ se zrušují.</w:t>
            </w:r>
            <w:r w:rsidRPr="0035187E">
              <w:rPr>
                <w:rFonts w:ascii="Times New Roman" w:hAnsi="Times New Roman" w:cs="Times New Roman"/>
                <w:sz w:val="20"/>
                <w:szCs w:val="20"/>
              </w:rPr>
              <w:t>“.</w:t>
            </w:r>
          </w:p>
        </w:tc>
        <w:tc>
          <w:tcPr>
            <w:tcW w:w="1453" w:type="pct"/>
            <w:tcBorders>
              <w:top w:val="single" w:sz="4" w:space="0" w:color="auto"/>
              <w:left w:val="single" w:sz="4" w:space="0" w:color="auto"/>
              <w:right w:val="single" w:sz="4" w:space="0" w:color="auto"/>
            </w:tcBorders>
            <w:shd w:val="clear" w:color="auto" w:fill="auto"/>
          </w:tcPr>
          <w:p w14:paraId="58354D7C" w14:textId="77777777" w:rsidR="00BE73FF" w:rsidRPr="0035187E" w:rsidRDefault="00C610D7"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Nevyhověno.</w:t>
            </w:r>
          </w:p>
          <w:p w14:paraId="49140BCE" w14:textId="7B37319E" w:rsidR="00C610D7" w:rsidRPr="0035187E" w:rsidRDefault="00C610D7" w:rsidP="0035187E">
            <w:pPr>
              <w:jc w:val="both"/>
              <w:rPr>
                <w:rFonts w:ascii="Times New Roman" w:hAnsi="Times New Roman" w:cs="Times New Roman"/>
                <w:sz w:val="20"/>
                <w:szCs w:val="20"/>
              </w:rPr>
            </w:pPr>
            <w:r w:rsidRPr="0035187E">
              <w:rPr>
                <w:rFonts w:ascii="Times New Roman" w:hAnsi="Times New Roman" w:cs="Times New Roman"/>
                <w:sz w:val="20"/>
                <w:szCs w:val="20"/>
              </w:rPr>
              <w:t>Lokalizace prováděné změny při úpravách činěných v dále nedělených přílohách právních předpisů je z hlediska z hlediska legislativní techniky vždy komplikovaná. Jakkoli Vámi navržené řešení není nesprávné, je použitelné pouze v té omezené množině případů, kdy se jedná o jednoznačně první nebo poslední větu. Ministerstvo financí i v těchto případech, v zájmu jednoznačnosti, dlouhodobě volí lokalizaci uvedením celé věty, v níž jsou činěny předmětné úpravy.</w:t>
            </w:r>
          </w:p>
        </w:tc>
      </w:tr>
      <w:tr w:rsidR="0035187E" w:rsidRPr="0035187E" w14:paraId="3FEE19A4"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3A3BA67" w14:textId="0F92DA42"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9.</w:t>
            </w:r>
          </w:p>
        </w:tc>
        <w:tc>
          <w:tcPr>
            <w:tcW w:w="583" w:type="pct"/>
            <w:tcBorders>
              <w:top w:val="single" w:sz="4" w:space="0" w:color="auto"/>
              <w:left w:val="single" w:sz="4" w:space="0" w:color="auto"/>
              <w:right w:val="single" w:sz="4" w:space="0" w:color="auto"/>
            </w:tcBorders>
            <w:shd w:val="clear" w:color="auto" w:fill="auto"/>
          </w:tcPr>
          <w:p w14:paraId="4B32F542" w14:textId="0FCBE089"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vnitra</w:t>
            </w:r>
          </w:p>
        </w:tc>
        <w:tc>
          <w:tcPr>
            <w:tcW w:w="168" w:type="pct"/>
            <w:tcBorders>
              <w:top w:val="single" w:sz="4" w:space="0" w:color="auto"/>
              <w:left w:val="single" w:sz="4" w:space="0" w:color="auto"/>
              <w:right w:val="single" w:sz="4" w:space="0" w:color="auto"/>
            </w:tcBorders>
            <w:shd w:val="clear" w:color="auto" w:fill="auto"/>
          </w:tcPr>
          <w:p w14:paraId="7CF7B7C5" w14:textId="6326A073"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33.</w:t>
            </w:r>
          </w:p>
        </w:tc>
        <w:tc>
          <w:tcPr>
            <w:tcW w:w="169" w:type="pct"/>
            <w:tcBorders>
              <w:top w:val="single" w:sz="4" w:space="0" w:color="auto"/>
              <w:left w:val="single" w:sz="4" w:space="0" w:color="auto"/>
              <w:right w:val="single" w:sz="4" w:space="0" w:color="auto"/>
            </w:tcBorders>
            <w:shd w:val="clear" w:color="auto" w:fill="auto"/>
          </w:tcPr>
          <w:p w14:paraId="4651F5C1" w14:textId="5BE65349"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3FD27EF5" w14:textId="77777777"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b/>
                <w:bCs/>
                <w:sz w:val="20"/>
                <w:szCs w:val="20"/>
              </w:rPr>
            </w:pPr>
            <w:r w:rsidRPr="0035187E">
              <w:rPr>
                <w:rFonts w:ascii="Times New Roman" w:hAnsi="Times New Roman" w:cs="Times New Roman"/>
                <w:b/>
                <w:bCs/>
                <w:sz w:val="20"/>
                <w:szCs w:val="20"/>
              </w:rPr>
              <w:t xml:space="preserve">K § 35 bodu </w:t>
            </w:r>
            <w:proofErr w:type="gramStart"/>
            <w:r w:rsidRPr="0035187E">
              <w:rPr>
                <w:rFonts w:ascii="Times New Roman" w:hAnsi="Times New Roman" w:cs="Times New Roman"/>
                <w:b/>
                <w:bCs/>
                <w:sz w:val="20"/>
                <w:szCs w:val="20"/>
              </w:rPr>
              <w:t>1 – k</w:t>
            </w:r>
            <w:proofErr w:type="gramEnd"/>
            <w:r w:rsidRPr="0035187E">
              <w:rPr>
                <w:rFonts w:ascii="Times New Roman" w:hAnsi="Times New Roman" w:cs="Times New Roman"/>
                <w:b/>
                <w:bCs/>
                <w:sz w:val="20"/>
                <w:szCs w:val="20"/>
              </w:rPr>
              <w:t xml:space="preserve"> § 11e odst. 1 písm. g) zákona č. 17/2012 Sb.:</w:t>
            </w:r>
          </w:p>
          <w:p w14:paraId="514DCA40" w14:textId="3345CC01" w:rsidR="00BE73FF" w:rsidRPr="0035187E" w:rsidRDefault="00BE73FF" w:rsidP="0035187E">
            <w:pPr>
              <w:tabs>
                <w:tab w:val="left" w:pos="0"/>
              </w:tabs>
              <w:overflowPunct w:val="0"/>
              <w:autoSpaceDE w:val="0"/>
              <w:autoSpaceDN w:val="0"/>
              <w:adjustRightInd w:val="0"/>
              <w:jc w:val="both"/>
              <w:textAlignment w:val="baseline"/>
              <w:rPr>
                <w:rFonts w:ascii="Times New Roman" w:hAnsi="Times New Roman" w:cs="Times New Roman"/>
                <w:sz w:val="20"/>
                <w:szCs w:val="20"/>
              </w:rPr>
            </w:pPr>
            <w:r w:rsidRPr="0035187E">
              <w:rPr>
                <w:rFonts w:ascii="Times New Roman" w:hAnsi="Times New Roman" w:cs="Times New Roman"/>
                <w:sz w:val="20"/>
                <w:szCs w:val="20"/>
              </w:rPr>
              <w:tab/>
              <w:t>V souladu s čl. 58 odst. 4 písm. b) Legislativních pravidel vlády by měla být úvodní část bodu upravena takto: „</w:t>
            </w:r>
            <w:r w:rsidRPr="0035187E">
              <w:rPr>
                <w:rFonts w:ascii="Times New Roman" w:hAnsi="Times New Roman" w:cs="Times New Roman"/>
                <w:i/>
                <w:iCs/>
                <w:sz w:val="20"/>
                <w:szCs w:val="20"/>
              </w:rPr>
              <w:t>V § 11e se na konci odstavce 1 tečka nahrazuje čárkou a doplňuje se písmeno g), které zní:</w:t>
            </w:r>
            <w:r w:rsidRPr="0035187E">
              <w:rPr>
                <w:rFonts w:ascii="Times New Roman" w:hAnsi="Times New Roman" w:cs="Times New Roman"/>
                <w:sz w:val="20"/>
                <w:szCs w:val="20"/>
              </w:rPr>
              <w:t>“.</w:t>
            </w:r>
          </w:p>
        </w:tc>
        <w:tc>
          <w:tcPr>
            <w:tcW w:w="1453" w:type="pct"/>
            <w:tcBorders>
              <w:top w:val="single" w:sz="4" w:space="0" w:color="auto"/>
              <w:left w:val="single" w:sz="4" w:space="0" w:color="auto"/>
              <w:right w:val="single" w:sz="4" w:space="0" w:color="auto"/>
            </w:tcBorders>
            <w:shd w:val="clear" w:color="auto" w:fill="auto"/>
          </w:tcPr>
          <w:p w14:paraId="396D4ED2" w14:textId="77777777" w:rsidR="002120B7" w:rsidRPr="0035187E" w:rsidRDefault="002120B7"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Vyhověno.</w:t>
            </w:r>
          </w:p>
          <w:p w14:paraId="3054CAA0" w14:textId="5F75E778" w:rsidR="00BE73FF" w:rsidRPr="0035187E" w:rsidRDefault="002120B7"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tc>
      </w:tr>
      <w:tr w:rsidR="0035187E" w:rsidRPr="0035187E" w14:paraId="0948AF87"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30E61CE" w14:textId="5B979C41"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10.</w:t>
            </w:r>
          </w:p>
        </w:tc>
        <w:tc>
          <w:tcPr>
            <w:tcW w:w="583" w:type="pct"/>
            <w:tcBorders>
              <w:top w:val="single" w:sz="4" w:space="0" w:color="auto"/>
              <w:left w:val="single" w:sz="4" w:space="0" w:color="auto"/>
              <w:right w:val="single" w:sz="4" w:space="0" w:color="auto"/>
            </w:tcBorders>
            <w:shd w:val="clear" w:color="auto" w:fill="auto"/>
          </w:tcPr>
          <w:p w14:paraId="69CAF24D" w14:textId="7D89900E"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zahraničních věcí</w:t>
            </w:r>
          </w:p>
        </w:tc>
        <w:tc>
          <w:tcPr>
            <w:tcW w:w="168" w:type="pct"/>
            <w:tcBorders>
              <w:top w:val="single" w:sz="4" w:space="0" w:color="auto"/>
              <w:left w:val="single" w:sz="4" w:space="0" w:color="auto"/>
              <w:right w:val="single" w:sz="4" w:space="0" w:color="auto"/>
            </w:tcBorders>
            <w:shd w:val="clear" w:color="auto" w:fill="auto"/>
          </w:tcPr>
          <w:p w14:paraId="29BE6557" w14:textId="579387F3"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08428DA1" w14:textId="51D3514A"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DFA837C" w14:textId="77777777" w:rsidR="00BE73FF" w:rsidRPr="0035187E" w:rsidRDefault="00BE73FF" w:rsidP="0035187E">
            <w:pPr>
              <w:jc w:val="both"/>
              <w:rPr>
                <w:rFonts w:ascii="Times New Roman" w:hAnsi="Times New Roman" w:cs="Times New Roman"/>
                <w:b/>
                <w:bCs/>
                <w:noProof/>
                <w:sz w:val="20"/>
                <w:szCs w:val="20"/>
                <w:lang w:eastAsia="en-US"/>
              </w:rPr>
            </w:pPr>
            <w:r w:rsidRPr="0035187E">
              <w:rPr>
                <w:rFonts w:ascii="Times New Roman" w:hAnsi="Times New Roman" w:cs="Times New Roman"/>
                <w:b/>
                <w:bCs/>
                <w:noProof/>
                <w:sz w:val="20"/>
                <w:szCs w:val="20"/>
                <w:lang w:eastAsia="en-US"/>
              </w:rPr>
              <w:t xml:space="preserve">1) K části první, ust. § 7 odst. 2: </w:t>
            </w:r>
          </w:p>
          <w:p w14:paraId="013D2B39" w14:textId="77777777" w:rsidR="00BE73FF" w:rsidRPr="0035187E" w:rsidRDefault="00BE73FF" w:rsidP="0035187E">
            <w:pPr>
              <w:jc w:val="both"/>
              <w:rPr>
                <w:rFonts w:ascii="Times New Roman" w:hAnsi="Times New Roman" w:cs="Times New Roman"/>
                <w:bCs/>
                <w:noProof/>
                <w:sz w:val="20"/>
                <w:szCs w:val="20"/>
                <w:lang w:eastAsia="en-US"/>
              </w:rPr>
            </w:pPr>
          </w:p>
          <w:p w14:paraId="3E931732" w14:textId="10E6CC6D" w:rsidR="00BE73FF" w:rsidRPr="0035187E" w:rsidRDefault="00BE73FF" w:rsidP="0035187E">
            <w:pPr>
              <w:jc w:val="both"/>
              <w:rPr>
                <w:rFonts w:ascii="Times New Roman" w:hAnsi="Times New Roman" w:cs="Times New Roman"/>
                <w:bCs/>
                <w:noProof/>
                <w:sz w:val="20"/>
                <w:szCs w:val="20"/>
                <w:lang w:eastAsia="en-US"/>
              </w:rPr>
            </w:pPr>
            <w:r w:rsidRPr="0035187E">
              <w:rPr>
                <w:rFonts w:ascii="Times New Roman" w:hAnsi="Times New Roman" w:cs="Times New Roman"/>
                <w:bCs/>
                <w:noProof/>
                <w:sz w:val="20"/>
                <w:szCs w:val="20"/>
                <w:lang w:eastAsia="en-US"/>
              </w:rPr>
              <w:t xml:space="preserve">MZV dává ke zvážení posoudit v předmětném ustanovení nezbytnost užití slov „má hmotnou povahu, a“. </w:t>
            </w:r>
          </w:p>
          <w:p w14:paraId="2BEDA96A" w14:textId="77777777" w:rsidR="00BE73FF" w:rsidRPr="0035187E" w:rsidRDefault="00BE73FF" w:rsidP="0035187E">
            <w:pPr>
              <w:jc w:val="both"/>
              <w:rPr>
                <w:rFonts w:ascii="Times New Roman" w:hAnsi="Times New Roman" w:cs="Times New Roman"/>
                <w:bCs/>
                <w:noProof/>
                <w:sz w:val="20"/>
                <w:szCs w:val="20"/>
                <w:u w:val="single"/>
                <w:lang w:eastAsia="en-US"/>
              </w:rPr>
            </w:pPr>
            <w:r w:rsidRPr="0035187E">
              <w:rPr>
                <w:rFonts w:ascii="Times New Roman" w:hAnsi="Times New Roman" w:cs="Times New Roman"/>
                <w:bCs/>
                <w:noProof/>
                <w:sz w:val="20"/>
                <w:szCs w:val="20"/>
                <w:u w:val="single"/>
                <w:lang w:eastAsia="en-US"/>
              </w:rPr>
              <w:t xml:space="preserve">Odůvodnění: </w:t>
            </w:r>
          </w:p>
          <w:p w14:paraId="7C4016DA" w14:textId="03CEF8E8"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bCs/>
                <w:noProof/>
                <w:sz w:val="20"/>
                <w:szCs w:val="20"/>
                <w:lang w:eastAsia="en-US"/>
              </w:rPr>
              <w:t xml:space="preserve">Dle MZV není nově zavedený pojem „forma, která má hmotnou povahu“, resp. „platba uskutečněná formou, která má hmotnou povahu“ zcela jasný. V odůvodnění předmětného ustanovení v důvodové zprávě se jako příklad uvádí „platba směnkou či šekem, ale také platba pomocí různých žetonů, papírových kupónů či poukázek, které mohou sloužit jako prostředek k zaplacení úzce vymezenému okruhu dodavatelů, v úzce vymezených prostorách či situacích“. Tyto formy jsou však již postiženy v navrhovaném ust.  § 6 odst. 1 písm. d) a e), a jeví se tak nadbytečné v předmětném ustanovení zavádět pro ně nový termín. Alternativou může být odkaz na výše uvedená písmena ust. § 6, resp. na ust.  § 6 odst. 1 písm. d) a e) a jiné formy, které mají charakter obdobný formám podle těchto písmen. </w:t>
            </w:r>
          </w:p>
        </w:tc>
        <w:tc>
          <w:tcPr>
            <w:tcW w:w="1453" w:type="pct"/>
            <w:tcBorders>
              <w:top w:val="single" w:sz="4" w:space="0" w:color="auto"/>
              <w:left w:val="single" w:sz="4" w:space="0" w:color="auto"/>
              <w:right w:val="single" w:sz="4" w:space="0" w:color="auto"/>
            </w:tcBorders>
            <w:shd w:val="clear" w:color="auto" w:fill="auto"/>
          </w:tcPr>
          <w:p w14:paraId="24F2008B" w14:textId="3A7BBAA4" w:rsidR="00737D76" w:rsidRPr="0035187E" w:rsidRDefault="00737D76" w:rsidP="0035187E">
            <w:pPr>
              <w:jc w:val="both"/>
              <w:rPr>
                <w:rFonts w:ascii="Times New Roman" w:hAnsi="Times New Roman" w:cs="Times New Roman"/>
                <w:b/>
                <w:sz w:val="20"/>
                <w:szCs w:val="20"/>
              </w:rPr>
            </w:pPr>
            <w:r w:rsidRPr="0035187E">
              <w:rPr>
                <w:rFonts w:ascii="Times New Roman" w:hAnsi="Times New Roman" w:cs="Times New Roman"/>
                <w:b/>
                <w:sz w:val="20"/>
                <w:szCs w:val="20"/>
              </w:rPr>
              <w:t>Vyhověno.</w:t>
            </w:r>
          </w:p>
          <w:p w14:paraId="41B9A055" w14:textId="7F19D75C" w:rsidR="00BE73FF" w:rsidRPr="0035187E" w:rsidRDefault="00737D76"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Pojem „hmotná povaha“ byl upraven na „hmotná podstata“, což je pojem v právním řádu používaný. Tento pojem je z pohledu obecného významu slov dle názoru předkladatele dostatečně určitý. Ambicí návrhu není kazuistický taxativní výčet všech v úvahu připadajících </w:t>
            </w:r>
            <w:proofErr w:type="spellStart"/>
            <w:r w:rsidRPr="0035187E">
              <w:rPr>
                <w:rFonts w:ascii="Times New Roman" w:hAnsi="Times New Roman" w:cs="Times New Roman"/>
                <w:sz w:val="20"/>
                <w:szCs w:val="20"/>
              </w:rPr>
              <w:t>kvazihotovostních</w:t>
            </w:r>
            <w:proofErr w:type="spellEnd"/>
            <w:r w:rsidRPr="0035187E">
              <w:rPr>
                <w:rFonts w:ascii="Times New Roman" w:hAnsi="Times New Roman" w:cs="Times New Roman"/>
                <w:sz w:val="20"/>
                <w:szCs w:val="20"/>
              </w:rPr>
              <w:t xml:space="preserve"> platebních prostředků ve formě žetonů, lístků apod.</w:t>
            </w:r>
          </w:p>
        </w:tc>
      </w:tr>
      <w:tr w:rsidR="0035187E" w:rsidRPr="0035187E" w14:paraId="559FC94D"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6176FBC" w14:textId="502DB84A"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10.</w:t>
            </w:r>
          </w:p>
        </w:tc>
        <w:tc>
          <w:tcPr>
            <w:tcW w:w="583" w:type="pct"/>
            <w:tcBorders>
              <w:top w:val="single" w:sz="4" w:space="0" w:color="auto"/>
              <w:left w:val="single" w:sz="4" w:space="0" w:color="auto"/>
              <w:right w:val="single" w:sz="4" w:space="0" w:color="auto"/>
            </w:tcBorders>
            <w:shd w:val="clear" w:color="auto" w:fill="auto"/>
          </w:tcPr>
          <w:p w14:paraId="7C267681" w14:textId="0503DD68"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zahraničních věcí</w:t>
            </w:r>
          </w:p>
        </w:tc>
        <w:tc>
          <w:tcPr>
            <w:tcW w:w="168" w:type="pct"/>
            <w:tcBorders>
              <w:top w:val="single" w:sz="4" w:space="0" w:color="auto"/>
              <w:left w:val="single" w:sz="4" w:space="0" w:color="auto"/>
              <w:right w:val="single" w:sz="4" w:space="0" w:color="auto"/>
            </w:tcBorders>
            <w:shd w:val="clear" w:color="auto" w:fill="auto"/>
          </w:tcPr>
          <w:p w14:paraId="6A9D32C3" w14:textId="4DADFDA8"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2.</w:t>
            </w:r>
          </w:p>
        </w:tc>
        <w:tc>
          <w:tcPr>
            <w:tcW w:w="169" w:type="pct"/>
            <w:tcBorders>
              <w:top w:val="single" w:sz="4" w:space="0" w:color="auto"/>
              <w:left w:val="single" w:sz="4" w:space="0" w:color="auto"/>
              <w:right w:val="single" w:sz="4" w:space="0" w:color="auto"/>
            </w:tcBorders>
            <w:shd w:val="clear" w:color="auto" w:fill="auto"/>
          </w:tcPr>
          <w:p w14:paraId="2BB16571" w14:textId="26E8FBF0"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30761135" w14:textId="77777777" w:rsidR="00BE73FF" w:rsidRPr="0035187E" w:rsidRDefault="00BE73FF" w:rsidP="0035187E">
            <w:pPr>
              <w:jc w:val="both"/>
              <w:rPr>
                <w:rFonts w:ascii="Times New Roman" w:hAnsi="Times New Roman" w:cs="Times New Roman"/>
                <w:b/>
                <w:noProof/>
                <w:sz w:val="20"/>
                <w:szCs w:val="20"/>
                <w:lang w:eastAsia="en-US"/>
              </w:rPr>
            </w:pPr>
            <w:r w:rsidRPr="0035187E">
              <w:rPr>
                <w:rFonts w:ascii="Times New Roman" w:hAnsi="Times New Roman" w:cs="Times New Roman"/>
                <w:b/>
                <w:noProof/>
                <w:sz w:val="20"/>
                <w:szCs w:val="20"/>
                <w:lang w:eastAsia="en-US"/>
              </w:rPr>
              <w:t>2) K části první, ust. § 12 odst. 4 písm. d)</w:t>
            </w:r>
            <w:r w:rsidRPr="0035187E">
              <w:rPr>
                <w:rFonts w:ascii="Times New Roman" w:hAnsi="Times New Roman" w:cs="Times New Roman"/>
                <w:noProof/>
                <w:sz w:val="20"/>
                <w:szCs w:val="20"/>
                <w:lang w:eastAsia="en-US"/>
              </w:rPr>
              <w:t>:</w:t>
            </w:r>
          </w:p>
          <w:p w14:paraId="4DF09AD4" w14:textId="77777777" w:rsidR="00BE73FF" w:rsidRPr="0035187E" w:rsidRDefault="00BE73FF" w:rsidP="0035187E">
            <w:pPr>
              <w:jc w:val="both"/>
              <w:rPr>
                <w:rFonts w:ascii="Times New Roman" w:hAnsi="Times New Roman" w:cs="Times New Roman"/>
                <w:noProof/>
                <w:sz w:val="20"/>
                <w:szCs w:val="20"/>
                <w:lang w:eastAsia="en-US"/>
              </w:rPr>
            </w:pPr>
          </w:p>
          <w:p w14:paraId="4F8D6A87" w14:textId="22AFD0F9"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noProof/>
                <w:sz w:val="20"/>
                <w:szCs w:val="20"/>
                <w:lang w:eastAsia="en-US"/>
              </w:rPr>
              <w:t xml:space="preserve">MZV doporučuje na konci písmena d) nahradit čárku tečkou. </w:t>
            </w:r>
          </w:p>
        </w:tc>
        <w:tc>
          <w:tcPr>
            <w:tcW w:w="1453" w:type="pct"/>
            <w:tcBorders>
              <w:top w:val="single" w:sz="4" w:space="0" w:color="auto"/>
              <w:left w:val="single" w:sz="4" w:space="0" w:color="auto"/>
              <w:right w:val="single" w:sz="4" w:space="0" w:color="auto"/>
            </w:tcBorders>
            <w:shd w:val="clear" w:color="auto" w:fill="auto"/>
          </w:tcPr>
          <w:p w14:paraId="17773245" w14:textId="77777777" w:rsidR="00BE73FF" w:rsidRPr="0035187E" w:rsidRDefault="00BE73FF"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Vyhověno.</w:t>
            </w:r>
          </w:p>
          <w:p w14:paraId="7F3CAC02" w14:textId="52D037B0"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tc>
      </w:tr>
      <w:tr w:rsidR="0035187E" w:rsidRPr="0035187E" w14:paraId="0749ACC7"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4E121373" w14:textId="00518F30"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10.</w:t>
            </w:r>
          </w:p>
        </w:tc>
        <w:tc>
          <w:tcPr>
            <w:tcW w:w="583" w:type="pct"/>
            <w:tcBorders>
              <w:top w:val="single" w:sz="4" w:space="0" w:color="auto"/>
              <w:left w:val="single" w:sz="4" w:space="0" w:color="auto"/>
              <w:right w:val="single" w:sz="4" w:space="0" w:color="auto"/>
            </w:tcBorders>
            <w:shd w:val="clear" w:color="auto" w:fill="auto"/>
          </w:tcPr>
          <w:p w14:paraId="2680FB6B" w14:textId="53EEE4F3"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zahraničních věcí</w:t>
            </w:r>
          </w:p>
        </w:tc>
        <w:tc>
          <w:tcPr>
            <w:tcW w:w="168" w:type="pct"/>
            <w:tcBorders>
              <w:top w:val="single" w:sz="4" w:space="0" w:color="auto"/>
              <w:left w:val="single" w:sz="4" w:space="0" w:color="auto"/>
              <w:right w:val="single" w:sz="4" w:space="0" w:color="auto"/>
            </w:tcBorders>
            <w:shd w:val="clear" w:color="auto" w:fill="auto"/>
          </w:tcPr>
          <w:p w14:paraId="3D3A0D24" w14:textId="087A1E5D"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3.</w:t>
            </w:r>
          </w:p>
        </w:tc>
        <w:tc>
          <w:tcPr>
            <w:tcW w:w="169" w:type="pct"/>
            <w:tcBorders>
              <w:top w:val="single" w:sz="4" w:space="0" w:color="auto"/>
              <w:left w:val="single" w:sz="4" w:space="0" w:color="auto"/>
              <w:right w:val="single" w:sz="4" w:space="0" w:color="auto"/>
            </w:tcBorders>
            <w:shd w:val="clear" w:color="auto" w:fill="auto"/>
          </w:tcPr>
          <w:p w14:paraId="7716ECAD" w14:textId="4FEB939A"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DF1D14A" w14:textId="77777777" w:rsidR="00BE73FF" w:rsidRPr="0035187E" w:rsidRDefault="00BE73FF" w:rsidP="0035187E">
            <w:pPr>
              <w:jc w:val="both"/>
              <w:rPr>
                <w:rFonts w:ascii="Times New Roman" w:hAnsi="Times New Roman" w:cs="Times New Roman"/>
                <w:noProof/>
                <w:sz w:val="20"/>
                <w:szCs w:val="20"/>
                <w:lang w:eastAsia="en-US"/>
              </w:rPr>
            </w:pPr>
            <w:r w:rsidRPr="0035187E">
              <w:rPr>
                <w:rFonts w:ascii="Times New Roman" w:hAnsi="Times New Roman" w:cs="Times New Roman"/>
                <w:b/>
                <w:noProof/>
                <w:sz w:val="20"/>
                <w:szCs w:val="20"/>
                <w:lang w:eastAsia="en-US"/>
              </w:rPr>
              <w:t>3) K části druhé, ust. § 31 bodu 1, a k části třetí, ust. § 33</w:t>
            </w:r>
            <w:r w:rsidRPr="0035187E">
              <w:rPr>
                <w:rFonts w:ascii="Times New Roman" w:hAnsi="Times New Roman" w:cs="Times New Roman"/>
                <w:noProof/>
                <w:sz w:val="20"/>
                <w:szCs w:val="20"/>
                <w:lang w:eastAsia="en-US"/>
              </w:rPr>
              <w:t xml:space="preserve"> </w:t>
            </w:r>
            <w:r w:rsidRPr="0035187E">
              <w:rPr>
                <w:rFonts w:ascii="Times New Roman" w:hAnsi="Times New Roman" w:cs="Times New Roman"/>
                <w:b/>
                <w:noProof/>
                <w:sz w:val="20"/>
                <w:szCs w:val="20"/>
                <w:lang w:eastAsia="en-US"/>
              </w:rPr>
              <w:t>bodu 1:</w:t>
            </w:r>
          </w:p>
          <w:p w14:paraId="52487094" w14:textId="77777777" w:rsidR="00BE73FF" w:rsidRPr="0035187E" w:rsidRDefault="00BE73FF" w:rsidP="0035187E">
            <w:pPr>
              <w:jc w:val="both"/>
              <w:rPr>
                <w:rFonts w:ascii="Times New Roman" w:hAnsi="Times New Roman" w:cs="Times New Roman"/>
                <w:bCs/>
                <w:noProof/>
                <w:sz w:val="20"/>
                <w:szCs w:val="20"/>
                <w:lang w:eastAsia="en-US"/>
              </w:rPr>
            </w:pPr>
          </w:p>
          <w:p w14:paraId="45829771" w14:textId="2270891A"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bCs/>
                <w:noProof/>
                <w:sz w:val="20"/>
                <w:szCs w:val="20"/>
                <w:lang w:eastAsia="en-US"/>
              </w:rPr>
              <w:t>MZV doporučuje v předmětných ustanoveních vložit čárku za slovo „související“, která oddělí vloženou vsuvku rozšiřující působnost uvedených přechodných ustanovení.</w:t>
            </w:r>
          </w:p>
        </w:tc>
        <w:tc>
          <w:tcPr>
            <w:tcW w:w="1453" w:type="pct"/>
            <w:tcBorders>
              <w:top w:val="single" w:sz="4" w:space="0" w:color="auto"/>
              <w:left w:val="single" w:sz="4" w:space="0" w:color="auto"/>
              <w:right w:val="single" w:sz="4" w:space="0" w:color="auto"/>
            </w:tcBorders>
            <w:shd w:val="clear" w:color="auto" w:fill="auto"/>
          </w:tcPr>
          <w:p w14:paraId="38B4CF4F" w14:textId="77777777" w:rsidR="00C610D7" w:rsidRPr="0035187E" w:rsidRDefault="00C610D7"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Nevyhověno.</w:t>
            </w:r>
          </w:p>
          <w:p w14:paraId="3DF8A7C9" w14:textId="2F1A8489" w:rsidR="00C610D7" w:rsidRPr="0035187E" w:rsidRDefault="00C610D7" w:rsidP="0035187E">
            <w:pPr>
              <w:jc w:val="both"/>
              <w:rPr>
                <w:rFonts w:ascii="Times New Roman" w:hAnsi="Times New Roman" w:cs="Times New Roman"/>
                <w:sz w:val="20"/>
                <w:szCs w:val="20"/>
              </w:rPr>
            </w:pPr>
            <w:r w:rsidRPr="0035187E">
              <w:rPr>
                <w:rFonts w:ascii="Times New Roman" w:hAnsi="Times New Roman" w:cs="Times New Roman"/>
                <w:sz w:val="20"/>
                <w:szCs w:val="20"/>
              </w:rPr>
              <w:t>Jedná se o dlouhodobou domluvu s Odborem vládní legislativy.</w:t>
            </w:r>
          </w:p>
        </w:tc>
      </w:tr>
      <w:tr w:rsidR="0035187E" w:rsidRPr="0035187E" w14:paraId="6F841D46"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D354E61" w14:textId="0ED2272F"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10.</w:t>
            </w:r>
          </w:p>
        </w:tc>
        <w:tc>
          <w:tcPr>
            <w:tcW w:w="583" w:type="pct"/>
            <w:tcBorders>
              <w:top w:val="single" w:sz="4" w:space="0" w:color="auto"/>
              <w:left w:val="single" w:sz="4" w:space="0" w:color="auto"/>
              <w:right w:val="single" w:sz="4" w:space="0" w:color="auto"/>
            </w:tcBorders>
            <w:shd w:val="clear" w:color="auto" w:fill="auto"/>
          </w:tcPr>
          <w:p w14:paraId="710CAF2F" w14:textId="2F35DCF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zahraničních věcí</w:t>
            </w:r>
          </w:p>
        </w:tc>
        <w:tc>
          <w:tcPr>
            <w:tcW w:w="168" w:type="pct"/>
            <w:tcBorders>
              <w:top w:val="single" w:sz="4" w:space="0" w:color="auto"/>
              <w:left w:val="single" w:sz="4" w:space="0" w:color="auto"/>
              <w:right w:val="single" w:sz="4" w:space="0" w:color="auto"/>
            </w:tcBorders>
            <w:shd w:val="clear" w:color="auto" w:fill="auto"/>
          </w:tcPr>
          <w:p w14:paraId="0EA99703" w14:textId="240BDE65"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4.</w:t>
            </w:r>
          </w:p>
        </w:tc>
        <w:tc>
          <w:tcPr>
            <w:tcW w:w="169" w:type="pct"/>
            <w:tcBorders>
              <w:top w:val="single" w:sz="4" w:space="0" w:color="auto"/>
              <w:left w:val="single" w:sz="4" w:space="0" w:color="auto"/>
              <w:right w:val="single" w:sz="4" w:space="0" w:color="auto"/>
            </w:tcBorders>
            <w:shd w:val="clear" w:color="auto" w:fill="auto"/>
          </w:tcPr>
          <w:p w14:paraId="1B130829" w14:textId="765F7DE3"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9A33F5F" w14:textId="77777777" w:rsidR="00BE73FF" w:rsidRPr="0035187E" w:rsidRDefault="00BE73FF" w:rsidP="0035187E">
            <w:pPr>
              <w:jc w:val="both"/>
              <w:rPr>
                <w:rFonts w:ascii="Times New Roman" w:hAnsi="Times New Roman" w:cs="Times New Roman"/>
                <w:b/>
                <w:bCs/>
                <w:noProof/>
                <w:sz w:val="20"/>
                <w:szCs w:val="20"/>
                <w:lang w:eastAsia="en-US"/>
              </w:rPr>
            </w:pPr>
            <w:r w:rsidRPr="0035187E">
              <w:rPr>
                <w:rFonts w:ascii="Times New Roman" w:hAnsi="Times New Roman" w:cs="Times New Roman"/>
                <w:b/>
                <w:bCs/>
                <w:noProof/>
                <w:sz w:val="20"/>
                <w:szCs w:val="20"/>
                <w:lang w:eastAsia="en-US"/>
              </w:rPr>
              <w:t xml:space="preserve">4) K zvláštní části důvodové zprávy, odůvodnění ust. § 5, str. 53: </w:t>
            </w:r>
          </w:p>
          <w:p w14:paraId="4F8E85F2" w14:textId="77777777" w:rsidR="00BE73FF" w:rsidRPr="0035187E" w:rsidRDefault="00BE73FF" w:rsidP="0035187E">
            <w:pPr>
              <w:jc w:val="both"/>
              <w:rPr>
                <w:rFonts w:ascii="Times New Roman" w:hAnsi="Times New Roman" w:cs="Times New Roman"/>
                <w:bCs/>
                <w:noProof/>
                <w:sz w:val="20"/>
                <w:szCs w:val="20"/>
                <w:lang w:eastAsia="en-US"/>
              </w:rPr>
            </w:pPr>
          </w:p>
          <w:p w14:paraId="442CDDF8" w14:textId="4013B834"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bCs/>
                <w:noProof/>
                <w:sz w:val="20"/>
                <w:szCs w:val="20"/>
                <w:lang w:eastAsia="en-US"/>
              </w:rPr>
              <w:t xml:space="preserve">MZV doporučuje na str. 53 důvodové zprávy opravit překlep v odkazu na ust. „§ 14 odst. 4 písm. a)“ navrhovaného zákona. Správně má být uveden odkaz na ust. § 14 odst. 5 písm. a). </w:t>
            </w:r>
          </w:p>
        </w:tc>
        <w:tc>
          <w:tcPr>
            <w:tcW w:w="1453" w:type="pct"/>
            <w:tcBorders>
              <w:top w:val="single" w:sz="4" w:space="0" w:color="auto"/>
              <w:left w:val="single" w:sz="4" w:space="0" w:color="auto"/>
              <w:right w:val="single" w:sz="4" w:space="0" w:color="auto"/>
            </w:tcBorders>
            <w:shd w:val="clear" w:color="auto" w:fill="auto"/>
          </w:tcPr>
          <w:p w14:paraId="5E64E5D3" w14:textId="77777777" w:rsidR="00BE73FF" w:rsidRPr="0035187E" w:rsidRDefault="00BE73FF"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Vyhověno.</w:t>
            </w:r>
          </w:p>
          <w:p w14:paraId="084C3B1B" w14:textId="5FD1C5AA"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tc>
      </w:tr>
      <w:tr w:rsidR="0035187E" w:rsidRPr="0035187E" w14:paraId="0E4EE7F6"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D78D63D" w14:textId="0A2EBC9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11.</w:t>
            </w:r>
          </w:p>
        </w:tc>
        <w:tc>
          <w:tcPr>
            <w:tcW w:w="583" w:type="pct"/>
            <w:tcBorders>
              <w:top w:val="single" w:sz="4" w:space="0" w:color="auto"/>
              <w:left w:val="single" w:sz="4" w:space="0" w:color="auto"/>
              <w:right w:val="single" w:sz="4" w:space="0" w:color="auto"/>
            </w:tcBorders>
            <w:shd w:val="clear" w:color="auto" w:fill="auto"/>
          </w:tcPr>
          <w:p w14:paraId="7FBFC849" w14:textId="6E9A69CA"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zdravotnictví</w:t>
            </w:r>
          </w:p>
        </w:tc>
        <w:tc>
          <w:tcPr>
            <w:tcW w:w="168" w:type="pct"/>
            <w:tcBorders>
              <w:top w:val="single" w:sz="4" w:space="0" w:color="auto"/>
              <w:left w:val="single" w:sz="4" w:space="0" w:color="auto"/>
              <w:right w:val="single" w:sz="4" w:space="0" w:color="auto"/>
            </w:tcBorders>
            <w:shd w:val="clear" w:color="auto" w:fill="auto"/>
          </w:tcPr>
          <w:p w14:paraId="7B738876" w14:textId="5E42D744"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1A46FF18" w14:textId="77A7A004"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right w:val="single" w:sz="4" w:space="0" w:color="F3F3F3"/>
            </w:tcBorders>
            <w:shd w:val="clear" w:color="auto" w:fill="auto"/>
          </w:tcPr>
          <w:p w14:paraId="3B51724C" w14:textId="77777777" w:rsidR="00BE73FF" w:rsidRPr="0035187E" w:rsidRDefault="00BE73FF" w:rsidP="0035187E">
            <w:pPr>
              <w:pStyle w:val="xmsonormal"/>
              <w:jc w:val="both"/>
              <w:rPr>
                <w:rFonts w:ascii="Times New Roman" w:hAnsi="Times New Roman" w:cs="Times New Roman"/>
                <w:b/>
                <w:sz w:val="20"/>
                <w:szCs w:val="20"/>
              </w:rPr>
            </w:pPr>
            <w:r w:rsidRPr="0035187E">
              <w:rPr>
                <w:rFonts w:ascii="Times New Roman" w:hAnsi="Times New Roman" w:cs="Times New Roman"/>
                <w:b/>
                <w:sz w:val="20"/>
                <w:szCs w:val="20"/>
              </w:rPr>
              <w:t>K části čtvrté novelizačnímu bodu 4 § 6 odst. 9 písm. d bod 2. zákona o daních z příjmů (dále jen „ZDP“)</w:t>
            </w:r>
          </w:p>
          <w:p w14:paraId="11AD5CC8" w14:textId="77777777" w:rsidR="00BE73FF" w:rsidRPr="0035187E" w:rsidRDefault="00BE73FF" w:rsidP="0035187E">
            <w:pPr>
              <w:pStyle w:val="xmsonormal"/>
              <w:jc w:val="both"/>
              <w:rPr>
                <w:rFonts w:ascii="Times New Roman" w:hAnsi="Times New Roman" w:cs="Times New Roman"/>
                <w:sz w:val="20"/>
                <w:szCs w:val="20"/>
              </w:rPr>
            </w:pPr>
          </w:p>
          <w:p w14:paraId="3E9AAF2B" w14:textId="01BED992" w:rsidR="00BE73FF" w:rsidRPr="0035187E" w:rsidRDefault="00BE73FF" w:rsidP="0035187E">
            <w:pPr>
              <w:pStyle w:val="xmsonormal"/>
              <w:jc w:val="both"/>
              <w:rPr>
                <w:rFonts w:ascii="Times New Roman" w:hAnsi="Times New Roman" w:cs="Times New Roman"/>
                <w:sz w:val="20"/>
                <w:szCs w:val="20"/>
              </w:rPr>
            </w:pPr>
            <w:r w:rsidRPr="0035187E">
              <w:rPr>
                <w:rFonts w:ascii="Times New Roman" w:hAnsi="Times New Roman" w:cs="Times New Roman"/>
                <w:sz w:val="20"/>
                <w:szCs w:val="20"/>
              </w:rPr>
              <w:t>Navrhujeme současné znění ZDP neměnit. V návrhu zákona o evidenci tržeb a o změně některých dalších zákonů je potřeba provést úpravu v navrhované změně § 6 odst. 9 písm. d) bod 2. ZDP, a to buď vypuštěním slov „nebo poskytnutí příspěvku na kulturní nebo sportovní akce“ nebo vypuštěním slov „je jejich poskytování zaměstnavateli obvyklé a“ a jazykovou korekcí zbytku textu.</w:t>
            </w:r>
          </w:p>
          <w:p w14:paraId="509C9F1B" w14:textId="77777777" w:rsidR="00BE73FF" w:rsidRPr="0035187E" w:rsidRDefault="00BE73FF" w:rsidP="0035187E">
            <w:pPr>
              <w:pStyle w:val="xmsonormal"/>
              <w:jc w:val="both"/>
              <w:rPr>
                <w:rFonts w:ascii="Times New Roman" w:hAnsi="Times New Roman" w:cs="Times New Roman"/>
                <w:b/>
                <w:sz w:val="20"/>
                <w:szCs w:val="20"/>
              </w:rPr>
            </w:pPr>
          </w:p>
          <w:p w14:paraId="4F3ECB21" w14:textId="42CD149D" w:rsidR="00BE73FF" w:rsidRPr="0035187E" w:rsidRDefault="00BE73FF" w:rsidP="0035187E">
            <w:pPr>
              <w:pStyle w:val="xmsonormal"/>
              <w:jc w:val="both"/>
              <w:rPr>
                <w:rFonts w:ascii="Times New Roman" w:hAnsi="Times New Roman" w:cs="Times New Roman"/>
                <w:b/>
                <w:sz w:val="20"/>
                <w:szCs w:val="20"/>
              </w:rPr>
            </w:pPr>
            <w:r w:rsidRPr="0035187E">
              <w:rPr>
                <w:rFonts w:ascii="Times New Roman" w:hAnsi="Times New Roman" w:cs="Times New Roman"/>
                <w:b/>
                <w:sz w:val="20"/>
                <w:szCs w:val="20"/>
              </w:rPr>
              <w:t>Odůvodnění:</w:t>
            </w:r>
          </w:p>
          <w:p w14:paraId="370387E8" w14:textId="77777777" w:rsidR="00BE73FF" w:rsidRPr="0035187E" w:rsidRDefault="00BE73FF" w:rsidP="0035187E">
            <w:pPr>
              <w:pStyle w:val="xmsonormal"/>
              <w:jc w:val="both"/>
              <w:rPr>
                <w:rFonts w:ascii="Times New Roman" w:hAnsi="Times New Roman" w:cs="Times New Roman"/>
                <w:bCs/>
                <w:sz w:val="20"/>
                <w:szCs w:val="20"/>
              </w:rPr>
            </w:pPr>
            <w:r w:rsidRPr="0035187E">
              <w:rPr>
                <w:rFonts w:ascii="Times New Roman" w:hAnsi="Times New Roman" w:cs="Times New Roman"/>
                <w:bCs/>
                <w:sz w:val="20"/>
                <w:szCs w:val="20"/>
              </w:rPr>
              <w:t>Navrhuje se vypustit z navrhované právní úpravy podmínku, podle níž je osvobození vybraných volnočasových benefitů od daně z příjmů fyzických osob podmíněno tím, že jejich poskytování musí být vzhledem k jejich povaze u daného zaměstnavatele obvyklé.</w:t>
            </w:r>
          </w:p>
          <w:p w14:paraId="1D819DBC" w14:textId="77777777" w:rsidR="00BE73FF" w:rsidRPr="0035187E" w:rsidRDefault="00BE73FF" w:rsidP="0035187E">
            <w:pPr>
              <w:pStyle w:val="xmsonormal"/>
              <w:jc w:val="both"/>
              <w:rPr>
                <w:rFonts w:ascii="Times New Roman" w:hAnsi="Times New Roman" w:cs="Times New Roman"/>
                <w:bCs/>
                <w:sz w:val="20"/>
                <w:szCs w:val="20"/>
              </w:rPr>
            </w:pPr>
            <w:r w:rsidRPr="0035187E">
              <w:rPr>
                <w:rFonts w:ascii="Times New Roman" w:hAnsi="Times New Roman" w:cs="Times New Roman"/>
                <w:bCs/>
                <w:sz w:val="20"/>
                <w:szCs w:val="20"/>
              </w:rPr>
              <w:t xml:space="preserve">Kritérium obvyklosti je neurčité a postrádá jasně vymezitelný obsah. Pojem „obvyklost“ není zákonem definován a může být vykládán rozdílně podle velikosti zaměstnavatele, </w:t>
            </w:r>
            <w:r w:rsidRPr="0035187E">
              <w:rPr>
                <w:rFonts w:ascii="Times New Roman" w:hAnsi="Times New Roman" w:cs="Times New Roman"/>
                <w:bCs/>
                <w:sz w:val="20"/>
                <w:szCs w:val="20"/>
              </w:rPr>
              <w:lastRenderedPageBreak/>
              <w:t>jeho předmětu činnosti či regionu, v němž působí. Taková neurčitost vytváří významnou právní nejistotu jak pro zaměstnavatele, tak pro správce daně.</w:t>
            </w:r>
          </w:p>
          <w:p w14:paraId="108CEF98" w14:textId="77777777" w:rsidR="00BE73FF" w:rsidRPr="0035187E" w:rsidRDefault="00BE73FF" w:rsidP="0035187E">
            <w:pPr>
              <w:pStyle w:val="xmsonormal"/>
              <w:jc w:val="both"/>
              <w:rPr>
                <w:rFonts w:ascii="Times New Roman" w:hAnsi="Times New Roman" w:cs="Times New Roman"/>
                <w:bCs/>
                <w:sz w:val="20"/>
                <w:szCs w:val="20"/>
              </w:rPr>
            </w:pPr>
            <w:r w:rsidRPr="0035187E">
              <w:rPr>
                <w:rFonts w:ascii="Times New Roman" w:hAnsi="Times New Roman" w:cs="Times New Roman"/>
                <w:bCs/>
                <w:sz w:val="20"/>
                <w:szCs w:val="20"/>
              </w:rPr>
              <w:t>V praxi může docházet k situacím, kdy u některých zaměstnavatelů nebude, s ohledem na jejich obor nebo velikost, považováno za obvyklé poskytovat volnočasové benefity vůbec. V takovém případě by institut osvobození těchto benefitů ztrácel svůj smysl, neboť by neumožňoval takovému zaměstnavateli benefity vůbec zavést nebo rozšířit, resp. by jejich zavedení nebo rozšíření bylo podmíněno splněním kritéria, které není objektivně uchopitelné a může být vykládáno restriktivně.</w:t>
            </w:r>
          </w:p>
          <w:p w14:paraId="09D059D6" w14:textId="77777777" w:rsidR="00BE73FF" w:rsidRPr="0035187E" w:rsidRDefault="00BE73FF" w:rsidP="0035187E">
            <w:pPr>
              <w:pStyle w:val="xmsonormal"/>
              <w:jc w:val="both"/>
              <w:rPr>
                <w:rFonts w:ascii="Times New Roman" w:hAnsi="Times New Roman" w:cs="Times New Roman"/>
                <w:bCs/>
                <w:sz w:val="20"/>
                <w:szCs w:val="20"/>
              </w:rPr>
            </w:pPr>
            <w:r w:rsidRPr="0035187E">
              <w:rPr>
                <w:rFonts w:ascii="Times New Roman" w:hAnsi="Times New Roman" w:cs="Times New Roman"/>
                <w:bCs/>
                <w:sz w:val="20"/>
                <w:szCs w:val="20"/>
              </w:rPr>
              <w:t>Podle dosavadní výkladové praxe bývá „obvyklost“ posuzována ve vztahu k místu a času. To však znamená, že určitý benefit může být považován za obvyklý v jednom regionu, zatímco v jiném nikoli. Zaměstnavatelé přitom mohou mít legitimní zájem poskytovat zaměstnancům benefity, které v daném regionu dosud běžné nejsou, například s cílem zvýšit konkurenceschopnost na trhu práce nebo reagovat na specifické potřeby zaměstnanců.</w:t>
            </w:r>
          </w:p>
          <w:p w14:paraId="30B508AC" w14:textId="19132263" w:rsidR="00BE73FF" w:rsidRPr="0035187E" w:rsidRDefault="00BE73FF" w:rsidP="0035187E">
            <w:pPr>
              <w:widowControl w:val="0"/>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Cs/>
                <w:sz w:val="20"/>
                <w:szCs w:val="20"/>
              </w:rPr>
              <w:t>Vypuštění tohoto neurčitého kritéria by přispělo k vyšší právní jistotě, předvídatelnosti právní úpravy a snížení administrativní i interpretační zátěže, aniž by tím byl dotčen základní účel právní úpravy zaměstnaneckých benefitů. Již podle současného návrhu mají mít benefity podle §6 odst. 9 písm. d) ZDP nově celkem čtyři různé daňové režimy oproti dvěma současným. To v rozporu s deklarovanými cíli vlády, zejména s opatřeními na snižování byrokracie, zvyšuje administrativní zátěž pro zaměstnavatele. Obvyklost a přiměřenost je navíc navrhována pouze pro část zaměstnaneckých benefitů, pro příspěvky na kulturní nebo sportovní akce, a to nad rámec programového prohlášení vlády.</w:t>
            </w:r>
            <w:r w:rsidRPr="0035187E">
              <w:rPr>
                <w:rFonts w:ascii="Times New Roman" w:hAnsi="Times New Roman" w:cs="Times New Roman"/>
                <w:bCs/>
                <w:sz w:val="20"/>
                <w:szCs w:val="20"/>
              </w:rPr>
              <w:br/>
              <w:t>Podmínka obvyklosti de facto trestá průkopníky – zaměstnavatele, kteří jako první v oboru nebo regionu zavedou nový typ benefitu. Prvnímu zaměstnavateli, který svým zaměstnancům nabídne například příspěvek na lezeckou stěnu nebo VR relaxační zónu, bude osvobození odepřeno právě proto, že takový benefit dosud „obvyklý" není. Až se rozšíří a stane obvyklým, teprve pak podmínku splní. Zákon tak paradoxně zvýhodňuje ty, kdo kopírují ostatní, a znevýhodňuje ty, kdo inovují – přesně opačně, než by měl moderní daňový systém fungovat.</w:t>
            </w:r>
          </w:p>
        </w:tc>
        <w:tc>
          <w:tcPr>
            <w:tcW w:w="1453" w:type="pct"/>
            <w:tcBorders>
              <w:top w:val="single" w:sz="4" w:space="0" w:color="auto"/>
              <w:left w:val="single" w:sz="4" w:space="0" w:color="auto"/>
              <w:right w:val="single" w:sz="4" w:space="0" w:color="auto"/>
            </w:tcBorders>
            <w:shd w:val="clear" w:color="auto" w:fill="auto"/>
          </w:tcPr>
          <w:p w14:paraId="74F49262" w14:textId="77777777" w:rsidR="0021049C" w:rsidRPr="0035187E" w:rsidRDefault="0021049C"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Nevyhověno.</w:t>
            </w:r>
          </w:p>
          <w:p w14:paraId="60DFB2C6" w14:textId="69698FA9" w:rsidR="0021049C" w:rsidRPr="0035187E" w:rsidRDefault="0021049C" w:rsidP="0035187E">
            <w:pPr>
              <w:jc w:val="both"/>
              <w:rPr>
                <w:rFonts w:ascii="Times New Roman" w:hAnsi="Times New Roman" w:cs="Times New Roman"/>
                <w:sz w:val="20"/>
                <w:szCs w:val="20"/>
              </w:rPr>
            </w:pPr>
            <w:r w:rsidRPr="0035187E">
              <w:rPr>
                <w:rFonts w:ascii="Times New Roman" w:hAnsi="Times New Roman" w:cs="Times New Roman"/>
                <w:sz w:val="20"/>
                <w:szCs w:val="20"/>
              </w:rPr>
              <w:t>Navrhované vypuštění kritéria obvyklosti nepovažujeme za vhodné. Toto kritérium není do právní úpravy zaváděno nově, ale vychází z dosavadního § 6 odst. 9 písm. g) zákona o daních z příjmů, který upravuje osvobození nepeněžních příjmů plynoucích z účasti zaměstnance (případně jeho rodinných příslušníků) na společenských akcích pořádaných zaměstnavatelem, včetně akcí s kulturním či sportovním prvkem. V návaznosti na zrušení příslušného limitu v § 6 odst. 9 písm. d) bodu 2 budou tyto situace systematicky podřazeny pod upravené ustanovení.</w:t>
            </w:r>
          </w:p>
          <w:p w14:paraId="4E2241D5" w14:textId="7220A512" w:rsidR="0021049C" w:rsidRPr="0035187E" w:rsidRDefault="0021049C"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Výklad tohoto kritéria již byl v praxi rozpracován v metodické informaci GFŘ k zaměstnaneckým benefitům z roku 2024. Obvyklost se posuzuje s </w:t>
            </w:r>
            <w:r w:rsidRPr="0035187E">
              <w:rPr>
                <w:rFonts w:ascii="Times New Roman" w:hAnsi="Times New Roman" w:cs="Times New Roman"/>
                <w:sz w:val="20"/>
                <w:szCs w:val="20"/>
              </w:rPr>
              <w:lastRenderedPageBreak/>
              <w:t>ohledem na standardy v podnikatelské praxi, a to zejména ve vazbě na okruh účastníků, charakter akce a její případnou pravidelnost. Nejde tedy o zcela neurčitý či nově neuchopený pojem, ale o kritérium, které má oporu v existující aplikační praxi.</w:t>
            </w:r>
          </w:p>
          <w:p w14:paraId="1B3F2203" w14:textId="77777777" w:rsidR="00BE73FF" w:rsidRPr="0035187E" w:rsidRDefault="0021049C" w:rsidP="0035187E">
            <w:pPr>
              <w:jc w:val="both"/>
              <w:rPr>
                <w:rFonts w:ascii="Times New Roman" w:hAnsi="Times New Roman" w:cs="Times New Roman"/>
                <w:sz w:val="20"/>
                <w:szCs w:val="20"/>
              </w:rPr>
            </w:pPr>
            <w:r w:rsidRPr="0035187E">
              <w:rPr>
                <w:rFonts w:ascii="Times New Roman" w:hAnsi="Times New Roman" w:cs="Times New Roman"/>
                <w:sz w:val="20"/>
                <w:szCs w:val="20"/>
              </w:rPr>
              <w:t>Navrhovaná úprava naopak sleduje zpřesnění a sjednocení přístupu, když kritérium obvyklosti výslovně dopadá nejen na akce pořádané přímo zaměstnavatelem, ale i na kulturní a sportovní akce zajišťované zaměstnavatelem prostřednictvím externích subjektů. Toto vyjasnění poskytuje odpovídající oporu pro posuzování případů, u nichž může docházet k obcházení smyslu daňového osvobození, a přispívá k zachování jeho cíleného a legitimního využití.</w:t>
            </w:r>
          </w:p>
          <w:p w14:paraId="406735CA" w14:textId="77777777" w:rsidR="00887432" w:rsidRPr="0035187E" w:rsidRDefault="00887432" w:rsidP="0035187E">
            <w:pPr>
              <w:jc w:val="both"/>
              <w:rPr>
                <w:rFonts w:ascii="Times New Roman" w:hAnsi="Times New Roman" w:cs="Times New Roman"/>
                <w:sz w:val="20"/>
                <w:szCs w:val="20"/>
              </w:rPr>
            </w:pPr>
          </w:p>
          <w:p w14:paraId="6635D90F" w14:textId="77777777" w:rsidR="00887432" w:rsidRDefault="00887432"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Připomínkové místo s vypořádáním nesouhlasí.</w:t>
            </w:r>
          </w:p>
          <w:p w14:paraId="63EA9819" w14:textId="77777777" w:rsidR="00EA2D6F" w:rsidRDefault="00EA2D6F" w:rsidP="0035187E">
            <w:pPr>
              <w:jc w:val="both"/>
              <w:rPr>
                <w:rFonts w:ascii="Times New Roman" w:hAnsi="Times New Roman" w:cs="Times New Roman"/>
                <w:i/>
                <w:iCs/>
                <w:sz w:val="20"/>
                <w:szCs w:val="20"/>
              </w:rPr>
            </w:pPr>
          </w:p>
          <w:p w14:paraId="2C1A76DE" w14:textId="4ABB9B22" w:rsidR="00EA2D6F" w:rsidRPr="0035187E" w:rsidRDefault="00EA2D6F" w:rsidP="0035187E">
            <w:pPr>
              <w:jc w:val="both"/>
              <w:rPr>
                <w:rFonts w:ascii="Times New Roman" w:hAnsi="Times New Roman" w:cs="Times New Roman"/>
                <w:i/>
                <w:iCs/>
                <w:sz w:val="20"/>
                <w:szCs w:val="20"/>
              </w:rPr>
            </w:pPr>
            <w:r w:rsidRPr="00EA2D6F">
              <w:rPr>
                <w:rFonts w:ascii="Times New Roman" w:hAnsi="Times New Roman" w:cs="Times New Roman"/>
                <w:i/>
                <w:iCs/>
                <w:sz w:val="20"/>
                <w:szCs w:val="20"/>
              </w:rPr>
              <w:t>Vyjádření připomínkového místa po jednání dne 10. dubna 2026: vypořádání připomínky bere na vědomí a nebude trvat na rozporu.</w:t>
            </w:r>
          </w:p>
        </w:tc>
      </w:tr>
      <w:tr w:rsidR="0035187E" w:rsidRPr="0035187E" w14:paraId="2219B7CD"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465D3B2" w14:textId="3B50FF7D"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11.</w:t>
            </w:r>
          </w:p>
        </w:tc>
        <w:tc>
          <w:tcPr>
            <w:tcW w:w="583" w:type="pct"/>
            <w:tcBorders>
              <w:top w:val="single" w:sz="4" w:space="0" w:color="auto"/>
              <w:left w:val="single" w:sz="4" w:space="0" w:color="auto"/>
              <w:right w:val="single" w:sz="4" w:space="0" w:color="auto"/>
            </w:tcBorders>
            <w:shd w:val="clear" w:color="auto" w:fill="auto"/>
          </w:tcPr>
          <w:p w14:paraId="41771DFE" w14:textId="2D6626CB"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zdravotnictví</w:t>
            </w:r>
          </w:p>
        </w:tc>
        <w:tc>
          <w:tcPr>
            <w:tcW w:w="168" w:type="pct"/>
            <w:tcBorders>
              <w:top w:val="single" w:sz="4" w:space="0" w:color="auto"/>
              <w:left w:val="single" w:sz="4" w:space="0" w:color="auto"/>
              <w:right w:val="single" w:sz="4" w:space="0" w:color="auto"/>
            </w:tcBorders>
            <w:shd w:val="clear" w:color="auto" w:fill="auto"/>
          </w:tcPr>
          <w:p w14:paraId="11C67A4F" w14:textId="23E380C4"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2.</w:t>
            </w:r>
          </w:p>
        </w:tc>
        <w:tc>
          <w:tcPr>
            <w:tcW w:w="169" w:type="pct"/>
            <w:tcBorders>
              <w:top w:val="single" w:sz="4" w:space="0" w:color="auto"/>
              <w:left w:val="single" w:sz="4" w:space="0" w:color="auto"/>
              <w:right w:val="single" w:sz="4" w:space="0" w:color="auto"/>
            </w:tcBorders>
            <w:shd w:val="clear" w:color="auto" w:fill="auto"/>
          </w:tcPr>
          <w:p w14:paraId="064EE4CC" w14:textId="66F2C83B"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right w:val="single" w:sz="4" w:space="0" w:color="F3F3F3"/>
            </w:tcBorders>
            <w:shd w:val="clear" w:color="auto" w:fill="auto"/>
          </w:tcPr>
          <w:p w14:paraId="2C545C41" w14:textId="77777777" w:rsidR="00BE73FF" w:rsidRPr="0035187E" w:rsidRDefault="00BE73FF" w:rsidP="0035187E">
            <w:pPr>
              <w:pStyle w:val="xmsonormal"/>
              <w:jc w:val="both"/>
              <w:rPr>
                <w:rFonts w:ascii="Times New Roman" w:hAnsi="Times New Roman" w:cs="Times New Roman"/>
                <w:b/>
                <w:bCs/>
                <w:sz w:val="20"/>
                <w:szCs w:val="20"/>
              </w:rPr>
            </w:pPr>
            <w:r w:rsidRPr="0035187E">
              <w:rPr>
                <w:rFonts w:ascii="Times New Roman" w:hAnsi="Times New Roman" w:cs="Times New Roman"/>
                <w:b/>
                <w:bCs/>
                <w:sz w:val="20"/>
                <w:szCs w:val="20"/>
              </w:rPr>
              <w:t>K části čtvrté § 6 odst. 9 písm. d bod 1. ZDP</w:t>
            </w:r>
          </w:p>
          <w:p w14:paraId="7E7D872A" w14:textId="77777777" w:rsidR="00BE73FF" w:rsidRPr="0035187E" w:rsidRDefault="00BE73FF" w:rsidP="0035187E">
            <w:pPr>
              <w:pStyle w:val="xmsonormal"/>
              <w:jc w:val="both"/>
              <w:rPr>
                <w:rFonts w:ascii="Times New Roman" w:hAnsi="Times New Roman" w:cs="Times New Roman"/>
                <w:sz w:val="20"/>
                <w:szCs w:val="20"/>
              </w:rPr>
            </w:pPr>
          </w:p>
          <w:p w14:paraId="3B63F9DD" w14:textId="2390A102" w:rsidR="00BE73FF" w:rsidRPr="0035187E" w:rsidRDefault="00BE73FF" w:rsidP="0035187E">
            <w:pPr>
              <w:pStyle w:val="xmsonormal"/>
              <w:jc w:val="both"/>
              <w:rPr>
                <w:rFonts w:ascii="Times New Roman" w:hAnsi="Times New Roman" w:cs="Times New Roman"/>
                <w:sz w:val="20"/>
                <w:szCs w:val="20"/>
              </w:rPr>
            </w:pPr>
            <w:r w:rsidRPr="0035187E">
              <w:rPr>
                <w:rFonts w:ascii="Times New Roman" w:hAnsi="Times New Roman" w:cs="Times New Roman"/>
                <w:sz w:val="20"/>
                <w:szCs w:val="20"/>
              </w:rPr>
              <w:t>Navrhujeme odstranit část věty za středníkem v ustanovení § 6 odst. 9 písm. d) bodě 1. současného znění ZDP.</w:t>
            </w:r>
          </w:p>
          <w:p w14:paraId="042C423D" w14:textId="77777777" w:rsidR="00BE73FF" w:rsidRPr="0035187E" w:rsidRDefault="00BE73FF" w:rsidP="0035187E">
            <w:pPr>
              <w:pStyle w:val="xmsonormal"/>
              <w:jc w:val="both"/>
              <w:rPr>
                <w:rFonts w:ascii="Times New Roman" w:hAnsi="Times New Roman" w:cs="Times New Roman"/>
                <w:b/>
                <w:bCs/>
                <w:sz w:val="20"/>
                <w:szCs w:val="20"/>
              </w:rPr>
            </w:pPr>
          </w:p>
          <w:p w14:paraId="05755B5F" w14:textId="30B7545D" w:rsidR="00BE73FF" w:rsidRPr="0035187E" w:rsidRDefault="00BE73FF" w:rsidP="0035187E">
            <w:pPr>
              <w:pStyle w:val="xmsonormal"/>
              <w:jc w:val="both"/>
              <w:rPr>
                <w:rFonts w:ascii="Times New Roman" w:hAnsi="Times New Roman" w:cs="Times New Roman"/>
                <w:sz w:val="20"/>
                <w:szCs w:val="20"/>
              </w:rPr>
            </w:pPr>
            <w:r w:rsidRPr="0035187E">
              <w:rPr>
                <w:rFonts w:ascii="Times New Roman" w:hAnsi="Times New Roman" w:cs="Times New Roman"/>
                <w:b/>
                <w:bCs/>
                <w:sz w:val="20"/>
                <w:szCs w:val="20"/>
              </w:rPr>
              <w:t>Odůvodnění:</w:t>
            </w:r>
            <w:r w:rsidRPr="0035187E">
              <w:rPr>
                <w:rFonts w:ascii="Times New Roman" w:hAnsi="Times New Roman" w:cs="Times New Roman"/>
                <w:sz w:val="20"/>
                <w:szCs w:val="20"/>
              </w:rPr>
              <w:br/>
              <w:t>Navrhujeme, aby byl zrušen zákonný limit pro osvobození zdravotních benefitů od daně z příjmů fyzických osob a odvodů sociálního a zdravotního pojištění.</w:t>
            </w:r>
          </w:p>
          <w:p w14:paraId="023EF4F3" w14:textId="77777777" w:rsidR="00BE73FF" w:rsidRPr="0035187E" w:rsidRDefault="00BE73FF" w:rsidP="0035187E">
            <w:pPr>
              <w:pStyle w:val="xmsonormal"/>
              <w:jc w:val="both"/>
              <w:rPr>
                <w:rFonts w:ascii="Times New Roman" w:hAnsi="Times New Roman" w:cs="Times New Roman"/>
                <w:sz w:val="20"/>
                <w:szCs w:val="20"/>
              </w:rPr>
            </w:pPr>
            <w:r w:rsidRPr="0035187E">
              <w:rPr>
                <w:rFonts w:ascii="Times New Roman" w:hAnsi="Times New Roman" w:cs="Times New Roman"/>
                <w:sz w:val="20"/>
                <w:szCs w:val="20"/>
              </w:rPr>
              <w:t xml:space="preserve">Deklarovaným cílem vlády je návrat právního stavu do podoby před přijetím konsolidačního balíčku. Před touto změnou byly zdravotní a volnočasové benefity upraveny společně a nepodléhaly (s výjimkou zájezdů a rekreace) žádným limitům osvobození od daně, ani odvodům pojistného. Má-li být tento stav skutečně obnoven, nelze </w:t>
            </w:r>
            <w:proofErr w:type="spellStart"/>
            <w:r w:rsidRPr="0035187E">
              <w:rPr>
                <w:rFonts w:ascii="Times New Roman" w:hAnsi="Times New Roman" w:cs="Times New Roman"/>
                <w:sz w:val="20"/>
                <w:szCs w:val="20"/>
              </w:rPr>
              <w:t>bezlimitní</w:t>
            </w:r>
            <w:proofErr w:type="spellEnd"/>
            <w:r w:rsidRPr="0035187E">
              <w:rPr>
                <w:rFonts w:ascii="Times New Roman" w:hAnsi="Times New Roman" w:cs="Times New Roman"/>
                <w:sz w:val="20"/>
                <w:szCs w:val="20"/>
              </w:rPr>
              <w:t xml:space="preserve"> režim vztáhnout pouze na volnočasové benefity a současně zachovat limit pro osvobození u benefitů zdravotních.</w:t>
            </w:r>
          </w:p>
          <w:p w14:paraId="4447D2E9" w14:textId="77777777" w:rsidR="00BE73FF" w:rsidRPr="0035187E" w:rsidRDefault="00BE73FF" w:rsidP="0035187E">
            <w:pPr>
              <w:pStyle w:val="xmsonormal"/>
              <w:jc w:val="both"/>
              <w:rPr>
                <w:rFonts w:ascii="Times New Roman" w:hAnsi="Times New Roman" w:cs="Times New Roman"/>
                <w:sz w:val="20"/>
                <w:szCs w:val="20"/>
              </w:rPr>
            </w:pPr>
            <w:r w:rsidRPr="0035187E">
              <w:rPr>
                <w:rFonts w:ascii="Times New Roman" w:hAnsi="Times New Roman" w:cs="Times New Roman"/>
                <w:sz w:val="20"/>
                <w:szCs w:val="20"/>
              </w:rPr>
              <w:lastRenderedPageBreak/>
              <w:t>Navrhovaná úprava rovněž nereflektuje význam zdravotních benefitů. Není systematicky věcně odůvodnitelné, aby volnočasové benefity podléhaly mírnějšímu režimu než benefity zdravotní, ačkoliv právě zdravotní benefity přímo podporují prevenci, zdravotní péči a udržení pracovní schopnosti zaměstnanců, a vykazují tak významný společenský i ekonomický přínos nehledě na to, že šetří výdaje systému veřejného zdravotního pojištění.</w:t>
            </w:r>
          </w:p>
          <w:p w14:paraId="12731D2D" w14:textId="77777777" w:rsidR="00BE73FF" w:rsidRPr="0035187E" w:rsidRDefault="00BE73FF" w:rsidP="0035187E">
            <w:pPr>
              <w:pStyle w:val="xmsonormal"/>
              <w:jc w:val="both"/>
              <w:rPr>
                <w:rFonts w:ascii="Times New Roman" w:hAnsi="Times New Roman" w:cs="Times New Roman"/>
                <w:sz w:val="20"/>
                <w:szCs w:val="20"/>
              </w:rPr>
            </w:pPr>
            <w:r w:rsidRPr="0035187E">
              <w:rPr>
                <w:rFonts w:ascii="Times New Roman" w:hAnsi="Times New Roman" w:cs="Times New Roman"/>
                <w:sz w:val="20"/>
                <w:szCs w:val="20"/>
              </w:rPr>
              <w:t>Navrhovaná změna proto směřuje k systematickému, administrativně jednoduššímu a hodnotově konzistentnímu řešení, které je v souladu s programovým prohlášením vlády a jejím deklarovaným záměrem neomezovat rozsah zaměstnaneckých benefitů prostřednictvím hodnotových limitů, a současně odpovídá praktickým potřebám zaměstnavatelů i zaměstnanců.</w:t>
            </w:r>
          </w:p>
          <w:p w14:paraId="1BAC0D26" w14:textId="6532FA5F" w:rsidR="00BE73FF" w:rsidRPr="0035187E" w:rsidRDefault="00BE73FF" w:rsidP="0035187E">
            <w:pPr>
              <w:widowControl w:val="0"/>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Zdravotní benefit je ze své podstaty hodnotnější pro společnost než benefit volnočasový – přesto ho navrhovaná úprava daňově znevýhodňuje. Konkrétní příklad: zaměstnavatel, který hradí zaměstnanci nadstandardní preventivní onkologické vyšetření za 8 000 Kč, narazí na limit osvobození a zbývající část bude zdaněna. Stejný zaměstnavatel, který místo toho přispěje zaměstnanci na permanentku do fitcentra ve stejné výši, limit nemá. Stát tak de facto říká, že příspěvek na zábavu je daňově výhodnější než příspěvek na prevenci rakoviny. Takový výsledek je těžko obhajitelný jak věcně, tak hodnotově – a svědčí o tom, že navrhovaná úprava není systémová, ale je výsledkem nesourodého kompromisu.</w:t>
            </w:r>
          </w:p>
        </w:tc>
        <w:tc>
          <w:tcPr>
            <w:tcW w:w="1453" w:type="pct"/>
            <w:tcBorders>
              <w:top w:val="single" w:sz="4" w:space="0" w:color="auto"/>
              <w:left w:val="single" w:sz="4" w:space="0" w:color="auto"/>
              <w:right w:val="single" w:sz="4" w:space="0" w:color="auto"/>
            </w:tcBorders>
            <w:shd w:val="clear" w:color="auto" w:fill="auto"/>
          </w:tcPr>
          <w:p w14:paraId="05517D52" w14:textId="18113249" w:rsidR="0021049C" w:rsidRPr="0035187E" w:rsidRDefault="0021049C" w:rsidP="0035187E">
            <w:pPr>
              <w:jc w:val="both"/>
              <w:rPr>
                <w:rFonts w:ascii="Times New Roman" w:hAnsi="Times New Roman" w:cs="Times New Roman"/>
                <w:sz w:val="20"/>
                <w:szCs w:val="20"/>
              </w:rPr>
            </w:pPr>
            <w:r w:rsidRPr="0035187E">
              <w:rPr>
                <w:rFonts w:ascii="Times New Roman" w:hAnsi="Times New Roman" w:cs="Times New Roman"/>
                <w:b/>
                <w:sz w:val="20"/>
                <w:szCs w:val="20"/>
              </w:rPr>
              <w:lastRenderedPageBreak/>
              <w:t>Nevyhověno.</w:t>
            </w:r>
            <w:r w:rsidR="00B06848">
              <w:rPr>
                <w:rFonts w:ascii="Times New Roman" w:hAnsi="Times New Roman" w:cs="Times New Roman"/>
                <w:b/>
                <w:sz w:val="20"/>
                <w:szCs w:val="20"/>
              </w:rPr>
              <w:t xml:space="preserve"> </w:t>
            </w:r>
            <w:r w:rsidR="00B06848" w:rsidRPr="00B06848">
              <w:rPr>
                <w:rFonts w:ascii="Times New Roman" w:hAnsi="Times New Roman" w:cs="Times New Roman"/>
                <w:b/>
                <w:color w:val="FF0000"/>
                <w:sz w:val="20"/>
                <w:szCs w:val="20"/>
              </w:rPr>
              <w:t>ROZPOR</w:t>
            </w:r>
          </w:p>
          <w:p w14:paraId="41B253BD" w14:textId="328A0DE0" w:rsidR="0021049C" w:rsidRPr="0035187E" w:rsidRDefault="0021049C" w:rsidP="0035187E">
            <w:pPr>
              <w:jc w:val="both"/>
              <w:rPr>
                <w:rFonts w:ascii="Times New Roman" w:hAnsi="Times New Roman" w:cs="Times New Roman"/>
                <w:sz w:val="20"/>
                <w:szCs w:val="20"/>
              </w:rPr>
            </w:pPr>
            <w:r w:rsidRPr="0035187E">
              <w:rPr>
                <w:rFonts w:ascii="Times New Roman" w:hAnsi="Times New Roman" w:cs="Times New Roman"/>
                <w:sz w:val="20"/>
                <w:szCs w:val="20"/>
              </w:rPr>
              <w:t>Podnět přesahuje rámec navrhované úpravy zákona o evidenci tržeb.</w:t>
            </w:r>
          </w:p>
          <w:p w14:paraId="3DA535A8" w14:textId="17339FE7" w:rsidR="0021049C" w:rsidRPr="0035187E" w:rsidRDefault="0021049C"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Uplatněný podnět směřuje k širší změně koncepce daňového režimu zaměstnaneckých benefitů. Navrhovaná legislativa se v daném ohledu soustředí na úpravu volnočasových benefitů, což odpovídá i deklarovaným prioritám vlády uvedených v jejím programovém prohlášení. </w:t>
            </w:r>
          </w:p>
          <w:p w14:paraId="06DC8623" w14:textId="3FE033E5" w:rsidR="0021049C" w:rsidRPr="0035187E" w:rsidRDefault="0021049C"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Zachování limitu pro zdravotní benefity považujeme za opodstatněné. Přestože tyto benefity nepochybně podporují prevenci, zdravotní péči a udržení pracovní schopnosti zaměstnanců, jejich </w:t>
            </w:r>
            <w:proofErr w:type="spellStart"/>
            <w:r w:rsidRPr="0035187E">
              <w:rPr>
                <w:rFonts w:ascii="Times New Roman" w:hAnsi="Times New Roman" w:cs="Times New Roman"/>
                <w:sz w:val="20"/>
                <w:szCs w:val="20"/>
              </w:rPr>
              <w:t>bezlimitní</w:t>
            </w:r>
            <w:proofErr w:type="spellEnd"/>
            <w:r w:rsidRPr="0035187E">
              <w:rPr>
                <w:rFonts w:ascii="Times New Roman" w:hAnsi="Times New Roman" w:cs="Times New Roman"/>
                <w:sz w:val="20"/>
                <w:szCs w:val="20"/>
              </w:rPr>
              <w:t xml:space="preserve"> osvobození by mohlo vytvářet prostor pro využívání </w:t>
            </w:r>
            <w:r w:rsidRPr="0035187E">
              <w:rPr>
                <w:rFonts w:ascii="Times New Roman" w:hAnsi="Times New Roman" w:cs="Times New Roman"/>
                <w:sz w:val="20"/>
                <w:szCs w:val="20"/>
              </w:rPr>
              <w:lastRenderedPageBreak/>
              <w:t>tohoto institutu k daňové optimalizaci nad rámec skutečného zdravotního účelu. Mohlo by tak docházet k osvobození plnění, která již neslouží primárně k ochraně či zlepšení zdravotního stavu, aniž by přinášela odpovídající společenský přínos.</w:t>
            </w:r>
          </w:p>
          <w:p w14:paraId="1658C7A6" w14:textId="77777777" w:rsidR="00BE73FF" w:rsidRDefault="0021049C" w:rsidP="0035187E">
            <w:pPr>
              <w:jc w:val="both"/>
              <w:rPr>
                <w:rFonts w:ascii="Times New Roman" w:hAnsi="Times New Roman" w:cs="Times New Roman"/>
                <w:sz w:val="20"/>
                <w:szCs w:val="20"/>
              </w:rPr>
            </w:pPr>
            <w:r w:rsidRPr="0035187E">
              <w:rPr>
                <w:rFonts w:ascii="Times New Roman" w:hAnsi="Times New Roman" w:cs="Times New Roman"/>
                <w:sz w:val="20"/>
                <w:szCs w:val="20"/>
              </w:rPr>
              <w:t>Zachování hodnotového limitu proto představuje nástroj, který umožňuje cílené a přiměřené využití zdravotních benefitů a současně omezuje riziko jejich zneužití. Odlišné zacházení s volnočasovými a zdravotními benefity tak vychází z potřeby nastavit vyvážený a kontrolovatelný režim, který zohledňuje jejich odlišný charakter i potenciální fiskální dopady.</w:t>
            </w:r>
          </w:p>
          <w:p w14:paraId="55BA2D26" w14:textId="77777777" w:rsidR="00EA2D6F" w:rsidRDefault="00EA2D6F" w:rsidP="0035187E">
            <w:pPr>
              <w:jc w:val="both"/>
              <w:rPr>
                <w:rFonts w:ascii="Times New Roman" w:hAnsi="Times New Roman" w:cs="Times New Roman"/>
                <w:sz w:val="20"/>
                <w:szCs w:val="20"/>
              </w:rPr>
            </w:pPr>
          </w:p>
          <w:p w14:paraId="06A8FB28" w14:textId="06F6BFE1" w:rsidR="00EA2D6F" w:rsidRPr="00B06848" w:rsidRDefault="00EA2D6F" w:rsidP="00EA2D6F">
            <w:pPr>
              <w:jc w:val="both"/>
              <w:rPr>
                <w:rFonts w:ascii="Times New Roman" w:hAnsi="Times New Roman" w:cs="Times New Roman"/>
                <w:i/>
                <w:iCs/>
                <w:sz w:val="20"/>
                <w:szCs w:val="20"/>
              </w:rPr>
            </w:pPr>
            <w:r w:rsidRPr="00EA2D6F">
              <w:rPr>
                <w:rFonts w:ascii="Times New Roman" w:hAnsi="Times New Roman" w:cs="Times New Roman"/>
                <w:i/>
                <w:iCs/>
                <w:sz w:val="20"/>
                <w:szCs w:val="20"/>
              </w:rPr>
              <w:t xml:space="preserve">Vyjádření připomínkového místa po jednání dne 10. dubna </w:t>
            </w:r>
            <w:r w:rsidRPr="00B06848">
              <w:rPr>
                <w:rFonts w:ascii="Times New Roman" w:hAnsi="Times New Roman" w:cs="Times New Roman"/>
                <w:i/>
                <w:iCs/>
                <w:sz w:val="20"/>
                <w:szCs w:val="20"/>
              </w:rPr>
              <w:t xml:space="preserve">2026: vypořádání neakceptuje a trvá na rozporu. </w:t>
            </w:r>
          </w:p>
          <w:p w14:paraId="328136A2" w14:textId="1BB7EAE6" w:rsidR="00EA2D6F" w:rsidRPr="0035187E" w:rsidRDefault="00EA2D6F" w:rsidP="00EA2D6F">
            <w:pPr>
              <w:jc w:val="both"/>
              <w:rPr>
                <w:rFonts w:ascii="Times New Roman" w:hAnsi="Times New Roman" w:cs="Times New Roman"/>
                <w:sz w:val="20"/>
                <w:szCs w:val="20"/>
              </w:rPr>
            </w:pPr>
            <w:r w:rsidRPr="00B06848">
              <w:rPr>
                <w:rFonts w:ascii="Times New Roman" w:hAnsi="Times New Roman" w:cs="Times New Roman"/>
                <w:i/>
                <w:iCs/>
                <w:sz w:val="20"/>
                <w:szCs w:val="20"/>
              </w:rPr>
              <w:t xml:space="preserve">Pan premiér v rámci tripartity potvrdil zrušení limitu zdravotních benefitů. Nelogické, aby byly zachovány bez limitu pouze volnočasové benefity. Volnočasové benefity (fitcentrum, sportovní akce) jsou </w:t>
            </w:r>
            <w:proofErr w:type="spellStart"/>
            <w:r w:rsidRPr="00B06848">
              <w:rPr>
                <w:rFonts w:ascii="Times New Roman" w:hAnsi="Times New Roman" w:cs="Times New Roman"/>
                <w:i/>
                <w:iCs/>
                <w:sz w:val="20"/>
                <w:szCs w:val="20"/>
              </w:rPr>
              <w:t>bezlimitní</w:t>
            </w:r>
            <w:proofErr w:type="spellEnd"/>
            <w:r w:rsidRPr="00B06848">
              <w:rPr>
                <w:rFonts w:ascii="Times New Roman" w:hAnsi="Times New Roman" w:cs="Times New Roman"/>
                <w:i/>
                <w:iCs/>
                <w:sz w:val="20"/>
                <w:szCs w:val="20"/>
              </w:rPr>
              <w:t>, zatímco zdravotní benefity (preventivní onkologie, zubní péče) jsou limitovány. Z hlediska veřejného zdraví i z perspektivy systémového práva jde o hodnotovou inverzi, která nemá racionální opodstatnění</w:t>
            </w:r>
            <w:r w:rsidRPr="00B06848">
              <w:rPr>
                <w:rFonts w:ascii="Times New Roman" w:hAnsi="Times New Roman" w:cs="Times New Roman"/>
                <w:sz w:val="20"/>
                <w:szCs w:val="20"/>
              </w:rPr>
              <w:t>.</w:t>
            </w:r>
          </w:p>
        </w:tc>
      </w:tr>
      <w:tr w:rsidR="0035187E" w:rsidRPr="0035187E" w14:paraId="4B32B6FE"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4FC34C00" w14:textId="42EAFF0E"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11.</w:t>
            </w:r>
          </w:p>
        </w:tc>
        <w:tc>
          <w:tcPr>
            <w:tcW w:w="583" w:type="pct"/>
            <w:tcBorders>
              <w:top w:val="single" w:sz="4" w:space="0" w:color="auto"/>
              <w:left w:val="single" w:sz="4" w:space="0" w:color="auto"/>
              <w:right w:val="single" w:sz="4" w:space="0" w:color="auto"/>
            </w:tcBorders>
            <w:shd w:val="clear" w:color="auto" w:fill="auto"/>
          </w:tcPr>
          <w:p w14:paraId="12477458" w14:textId="4C479699"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zdravotnictví</w:t>
            </w:r>
          </w:p>
        </w:tc>
        <w:tc>
          <w:tcPr>
            <w:tcW w:w="168" w:type="pct"/>
            <w:tcBorders>
              <w:top w:val="single" w:sz="4" w:space="0" w:color="auto"/>
              <w:left w:val="single" w:sz="4" w:space="0" w:color="auto"/>
              <w:right w:val="single" w:sz="4" w:space="0" w:color="auto"/>
            </w:tcBorders>
            <w:shd w:val="clear" w:color="auto" w:fill="auto"/>
          </w:tcPr>
          <w:p w14:paraId="5A470D5D" w14:textId="36F6931E"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3.</w:t>
            </w:r>
          </w:p>
        </w:tc>
        <w:tc>
          <w:tcPr>
            <w:tcW w:w="169" w:type="pct"/>
            <w:tcBorders>
              <w:top w:val="single" w:sz="4" w:space="0" w:color="auto"/>
              <w:left w:val="single" w:sz="4" w:space="0" w:color="auto"/>
              <w:right w:val="single" w:sz="4" w:space="0" w:color="auto"/>
            </w:tcBorders>
            <w:shd w:val="clear" w:color="auto" w:fill="auto"/>
          </w:tcPr>
          <w:p w14:paraId="72D887DE" w14:textId="6FDBD386"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right w:val="single" w:sz="4" w:space="0" w:color="F3F3F3"/>
            </w:tcBorders>
            <w:shd w:val="clear" w:color="auto" w:fill="auto"/>
          </w:tcPr>
          <w:p w14:paraId="6F363E5E" w14:textId="77777777" w:rsidR="00BE73FF" w:rsidRPr="0035187E" w:rsidRDefault="00BE73FF" w:rsidP="0035187E">
            <w:pPr>
              <w:pStyle w:val="xmsonormal"/>
              <w:jc w:val="both"/>
              <w:rPr>
                <w:rFonts w:ascii="Times New Roman" w:hAnsi="Times New Roman" w:cs="Times New Roman"/>
                <w:b/>
                <w:bCs/>
                <w:sz w:val="20"/>
                <w:szCs w:val="20"/>
              </w:rPr>
            </w:pPr>
            <w:r w:rsidRPr="0035187E">
              <w:rPr>
                <w:rFonts w:ascii="Times New Roman" w:hAnsi="Times New Roman" w:cs="Times New Roman"/>
                <w:b/>
                <w:bCs/>
                <w:sz w:val="20"/>
                <w:szCs w:val="20"/>
              </w:rPr>
              <w:t>K</w:t>
            </w:r>
            <w:r w:rsidRPr="0035187E">
              <w:rPr>
                <w:rFonts w:ascii="Times New Roman" w:hAnsi="Times New Roman" w:cs="Times New Roman"/>
                <w:sz w:val="20"/>
                <w:szCs w:val="20"/>
              </w:rPr>
              <w:t xml:space="preserve"> </w:t>
            </w:r>
            <w:r w:rsidRPr="0035187E">
              <w:rPr>
                <w:rFonts w:ascii="Times New Roman" w:hAnsi="Times New Roman" w:cs="Times New Roman"/>
                <w:b/>
                <w:bCs/>
                <w:sz w:val="20"/>
                <w:szCs w:val="20"/>
              </w:rPr>
              <w:t xml:space="preserve">části čtvrté § 6 odst. 9 písm. d), včetně </w:t>
            </w:r>
            <w:proofErr w:type="spellStart"/>
            <w:r w:rsidRPr="0035187E">
              <w:rPr>
                <w:rFonts w:ascii="Times New Roman" w:hAnsi="Times New Roman" w:cs="Times New Roman"/>
                <w:b/>
                <w:bCs/>
                <w:sz w:val="20"/>
                <w:szCs w:val="20"/>
              </w:rPr>
              <w:t>návětí</w:t>
            </w:r>
            <w:proofErr w:type="spellEnd"/>
            <w:r w:rsidRPr="0035187E">
              <w:rPr>
                <w:rFonts w:ascii="Times New Roman" w:hAnsi="Times New Roman" w:cs="Times New Roman"/>
                <w:b/>
                <w:bCs/>
                <w:sz w:val="20"/>
                <w:szCs w:val="20"/>
              </w:rPr>
              <w:t xml:space="preserve"> ZDP</w:t>
            </w:r>
          </w:p>
          <w:p w14:paraId="627DC01E" w14:textId="77777777" w:rsidR="00BE73FF" w:rsidRPr="0035187E" w:rsidRDefault="00BE73FF" w:rsidP="0035187E">
            <w:pPr>
              <w:pStyle w:val="xmsonormal"/>
              <w:jc w:val="both"/>
              <w:rPr>
                <w:rFonts w:ascii="Times New Roman" w:hAnsi="Times New Roman" w:cs="Times New Roman"/>
                <w:sz w:val="20"/>
                <w:szCs w:val="20"/>
              </w:rPr>
            </w:pPr>
          </w:p>
          <w:p w14:paraId="0F038115" w14:textId="30F5D875" w:rsidR="00BE73FF" w:rsidRPr="0035187E" w:rsidRDefault="00BE73FF" w:rsidP="0035187E">
            <w:pPr>
              <w:pStyle w:val="xmsonormal"/>
              <w:jc w:val="both"/>
              <w:rPr>
                <w:rFonts w:ascii="Times New Roman" w:hAnsi="Times New Roman" w:cs="Times New Roman"/>
                <w:sz w:val="20"/>
                <w:szCs w:val="20"/>
              </w:rPr>
            </w:pPr>
            <w:r w:rsidRPr="0035187E">
              <w:rPr>
                <w:rFonts w:ascii="Times New Roman" w:hAnsi="Times New Roman" w:cs="Times New Roman"/>
                <w:sz w:val="20"/>
                <w:szCs w:val="20"/>
              </w:rPr>
              <w:t xml:space="preserve">Navrhujeme přeformulování ustanovení § 6 odst. 9 písm. d) bod 1. ZDP jakož i </w:t>
            </w:r>
            <w:proofErr w:type="spellStart"/>
            <w:r w:rsidRPr="0035187E">
              <w:rPr>
                <w:rFonts w:ascii="Times New Roman" w:hAnsi="Times New Roman" w:cs="Times New Roman"/>
                <w:sz w:val="20"/>
                <w:szCs w:val="20"/>
              </w:rPr>
              <w:t>návětí</w:t>
            </w:r>
            <w:proofErr w:type="spellEnd"/>
            <w:r w:rsidRPr="0035187E">
              <w:rPr>
                <w:rFonts w:ascii="Times New Roman" w:hAnsi="Times New Roman" w:cs="Times New Roman"/>
                <w:sz w:val="20"/>
                <w:szCs w:val="20"/>
              </w:rPr>
              <w:t xml:space="preserve"> § 6 odst. 9 písm. d) ZDP.</w:t>
            </w:r>
          </w:p>
          <w:p w14:paraId="703B2E3C" w14:textId="77777777" w:rsidR="00BE73FF" w:rsidRPr="0035187E" w:rsidRDefault="00BE73FF" w:rsidP="0035187E">
            <w:pPr>
              <w:pStyle w:val="xmsonormal"/>
              <w:jc w:val="both"/>
              <w:rPr>
                <w:rFonts w:ascii="Times New Roman" w:hAnsi="Times New Roman" w:cs="Times New Roman"/>
                <w:b/>
                <w:bCs/>
                <w:sz w:val="20"/>
                <w:szCs w:val="20"/>
              </w:rPr>
            </w:pPr>
          </w:p>
          <w:p w14:paraId="147BA985" w14:textId="0D4020E8" w:rsidR="00BE73FF" w:rsidRPr="0035187E" w:rsidRDefault="00BE73FF" w:rsidP="0035187E">
            <w:pPr>
              <w:pStyle w:val="xmsonormal"/>
              <w:jc w:val="both"/>
              <w:rPr>
                <w:rFonts w:ascii="Times New Roman" w:hAnsi="Times New Roman" w:cs="Times New Roman"/>
                <w:b/>
                <w:bCs/>
                <w:sz w:val="20"/>
                <w:szCs w:val="20"/>
              </w:rPr>
            </w:pPr>
            <w:r w:rsidRPr="0035187E">
              <w:rPr>
                <w:rFonts w:ascii="Times New Roman" w:hAnsi="Times New Roman" w:cs="Times New Roman"/>
                <w:b/>
                <w:bCs/>
                <w:sz w:val="20"/>
                <w:szCs w:val="20"/>
              </w:rPr>
              <w:t>Odůvodnění:</w:t>
            </w:r>
          </w:p>
          <w:p w14:paraId="67231135" w14:textId="77777777" w:rsidR="00BE73FF" w:rsidRPr="0035187E" w:rsidRDefault="00BE73FF" w:rsidP="0035187E">
            <w:pPr>
              <w:pStyle w:val="xmsonormal"/>
              <w:jc w:val="both"/>
              <w:rPr>
                <w:rFonts w:ascii="Times New Roman" w:hAnsi="Times New Roman" w:cs="Times New Roman"/>
                <w:sz w:val="20"/>
                <w:szCs w:val="20"/>
              </w:rPr>
            </w:pPr>
            <w:r w:rsidRPr="0035187E">
              <w:rPr>
                <w:rFonts w:ascii="Times New Roman" w:hAnsi="Times New Roman" w:cs="Times New Roman"/>
                <w:sz w:val="20"/>
                <w:szCs w:val="20"/>
              </w:rPr>
              <w:t>Navrhuje se, aby zdravotní benefity byly poskytovány jako osvobozený zaměstnanecký benefit bez hodnotového limitu, a současně bylo do limitu umožněno převádět mzdu nebo plat do zdravotních benefitů, které by byly osvobozena od daně z příjmů fyzických osob (například do výše průměrné mzdy).</w:t>
            </w:r>
          </w:p>
          <w:p w14:paraId="4757F971" w14:textId="77777777" w:rsidR="00BE73FF" w:rsidRPr="0035187E" w:rsidRDefault="00BE73FF" w:rsidP="0035187E">
            <w:pPr>
              <w:pStyle w:val="xmsonormal"/>
              <w:jc w:val="both"/>
              <w:rPr>
                <w:rFonts w:ascii="Times New Roman" w:hAnsi="Times New Roman" w:cs="Times New Roman"/>
                <w:sz w:val="20"/>
                <w:szCs w:val="20"/>
              </w:rPr>
            </w:pPr>
            <w:r w:rsidRPr="0035187E">
              <w:rPr>
                <w:rFonts w:ascii="Times New Roman" w:hAnsi="Times New Roman" w:cs="Times New Roman"/>
                <w:sz w:val="20"/>
                <w:szCs w:val="20"/>
              </w:rPr>
              <w:t>Navrhuje se, aby zdravotní limity byly obecně zrovnoprávněny s navrhovaným osvobozením volnočasových benefitů a zároveň podpořeny možností jejich financování z mezd, jak tomu bylo před rokem 2026, nyní však pouze v omezené míře, například do výše jedné průměrné mzdy pro daňové účely ročně. Podstata návrhu spočívá v tom, že zaměstnanec by se mohl dobrovolně vzdát části své peněžní mzdy, platu nebo bonusu ve prospěch nepeněžního zdravotního benefitu, který by byl za splnění zákonných podmínek osvobozen od daně z příjmů. Limit by současně sloužil jako pojistka proti možnému zneužívání tohoto institutu k větší substituci zvyšování mzdy.</w:t>
            </w:r>
          </w:p>
          <w:p w14:paraId="15094011" w14:textId="77777777" w:rsidR="00BE73FF" w:rsidRPr="0035187E" w:rsidRDefault="00BE73FF" w:rsidP="0035187E">
            <w:pPr>
              <w:pStyle w:val="xmsonormal"/>
              <w:jc w:val="both"/>
              <w:rPr>
                <w:rFonts w:ascii="Times New Roman" w:hAnsi="Times New Roman" w:cs="Times New Roman"/>
                <w:sz w:val="20"/>
                <w:szCs w:val="20"/>
              </w:rPr>
            </w:pPr>
            <w:r w:rsidRPr="0035187E">
              <w:rPr>
                <w:rFonts w:ascii="Times New Roman" w:hAnsi="Times New Roman" w:cs="Times New Roman"/>
                <w:sz w:val="20"/>
                <w:szCs w:val="20"/>
              </w:rPr>
              <w:lastRenderedPageBreak/>
              <w:t>Navrhovaná úprava reaguje na skutečnost, že ochrana a podpora zdraví zaměstnanců představuje významný veřejný i ekonomický zájem. Zdravý zaměstnanec je dlouhodobě produktivnější, méně absentuje a méně zatěžuje systém veřejného zdravotního pojištění. Umožnění dobrovolné spoluúčasti zaměstnance na financování vlastního zdraví prostřednictvím daňově zvýhodněného režimu může pozitivně ovlivnit jeho chování a motivovat jej k investicím do prevence a péče o svůj zdravotní stav.</w:t>
            </w:r>
          </w:p>
          <w:p w14:paraId="1EEB81C0" w14:textId="77777777" w:rsidR="00BE73FF" w:rsidRPr="0035187E" w:rsidRDefault="00BE73FF" w:rsidP="0035187E">
            <w:pPr>
              <w:pStyle w:val="xmsonormal"/>
              <w:jc w:val="both"/>
              <w:rPr>
                <w:rFonts w:ascii="Times New Roman" w:hAnsi="Times New Roman" w:cs="Times New Roman"/>
                <w:sz w:val="20"/>
                <w:szCs w:val="20"/>
              </w:rPr>
            </w:pPr>
            <w:r w:rsidRPr="0035187E">
              <w:rPr>
                <w:rFonts w:ascii="Times New Roman" w:hAnsi="Times New Roman" w:cs="Times New Roman"/>
                <w:sz w:val="20"/>
                <w:szCs w:val="20"/>
              </w:rPr>
              <w:t>Současně se jedná o formu sdílené odpovědnosti – zaměstnanec se vědomě vzdává části své mzdy ve prospěch zdravotního plnění. Nejde tedy o jednostranné zvýhodnění, ale o dobrovolné rozhodnutí zaměstnance podpořit vlastní zdravotní prevenci.</w:t>
            </w:r>
          </w:p>
          <w:p w14:paraId="4BDD77B8" w14:textId="77777777" w:rsidR="00BE73FF" w:rsidRPr="0035187E" w:rsidRDefault="00BE73FF" w:rsidP="0035187E">
            <w:pPr>
              <w:pStyle w:val="xmsonormal"/>
              <w:jc w:val="both"/>
              <w:rPr>
                <w:rFonts w:ascii="Times New Roman" w:hAnsi="Times New Roman" w:cs="Times New Roman"/>
                <w:sz w:val="20"/>
                <w:szCs w:val="20"/>
              </w:rPr>
            </w:pPr>
            <w:r w:rsidRPr="0035187E">
              <w:rPr>
                <w:rFonts w:ascii="Times New Roman" w:hAnsi="Times New Roman" w:cs="Times New Roman"/>
                <w:sz w:val="20"/>
                <w:szCs w:val="20"/>
              </w:rPr>
              <w:t>Aby zaměstnanci mohli v maximálně efektivní míře zdravotní benefity využívat, je potřeba dát jim a zaměstnavatelům do rukou větší svobodu rozhodování. Zatímco některé výdaje v oblasti prevence mohou být konstantní a vyplatí se do nich investovat pravidelně, jiné se naplánovat často nedají (typicky nákladné zubní zákroky, částečně nebo plně nehrazené zdravotní prostředky a materiály, preventivní očkování apod.). Proto by měli mít zaměstnanci možnost domluvit se svými zaměstnavateli na tom, že v případě zájmu může být část jejich finanční odměny, mzdy nebo platu nahrazena právě daňově zvýhodněným zdravotním benefitem. To jim umožní potřebné prostředky snáze získat a zároveň často řešit zdravotní problémy dříve, než když je to již jak pro ně, tak především pro veřejné finance dražší.</w:t>
            </w:r>
          </w:p>
          <w:p w14:paraId="0A46A6F0" w14:textId="77777777" w:rsidR="00BE73FF" w:rsidRPr="0035187E" w:rsidRDefault="00BE73FF" w:rsidP="0035187E">
            <w:pPr>
              <w:pStyle w:val="xmsonormal"/>
              <w:jc w:val="both"/>
              <w:rPr>
                <w:rFonts w:ascii="Times New Roman" w:hAnsi="Times New Roman" w:cs="Times New Roman"/>
                <w:sz w:val="20"/>
                <w:szCs w:val="20"/>
              </w:rPr>
            </w:pPr>
            <w:r w:rsidRPr="0035187E">
              <w:rPr>
                <w:rFonts w:ascii="Times New Roman" w:hAnsi="Times New Roman" w:cs="Times New Roman"/>
                <w:sz w:val="20"/>
                <w:szCs w:val="20"/>
              </w:rPr>
              <w:t>Dopad na veřejné rozpočty by byl vzhledem ke stanovenému limitu omezený. Přeměna části mzdy na osvobozený benefit by sice znamenala nižší inkaso daně z příjmů a pojistného, na druhé straně by představovala daňově neuznatelný náklad na straně zaměstnavatele, což by tento výpadek částečně kompenzovalo. Především však lze předpokládat, že dlouhodobý efekt v podobě nižší nemocnosti a nižšího čerpání zdravotní péče může vést ke snížení výdajů systému veřejného zdravotního pojištění.</w:t>
            </w:r>
          </w:p>
          <w:p w14:paraId="537EF78A" w14:textId="77777777" w:rsidR="00BE73FF" w:rsidRPr="0035187E" w:rsidRDefault="00BE73FF" w:rsidP="0035187E">
            <w:pPr>
              <w:pStyle w:val="xmsonormal"/>
              <w:jc w:val="both"/>
              <w:rPr>
                <w:rFonts w:ascii="Times New Roman" w:hAnsi="Times New Roman" w:cs="Times New Roman"/>
                <w:sz w:val="20"/>
                <w:szCs w:val="20"/>
              </w:rPr>
            </w:pPr>
            <w:r w:rsidRPr="0035187E">
              <w:rPr>
                <w:rFonts w:ascii="Times New Roman" w:hAnsi="Times New Roman" w:cs="Times New Roman"/>
                <w:sz w:val="20"/>
                <w:szCs w:val="20"/>
              </w:rPr>
              <w:t>Navrhované řešení tak vytváří vyvážený model, který podporuje prevenci a individuální odpovědnost za zdraví, umožňuje flexibilitu v odměňování zaměstnanců a současně díky stanovenému limitu minimalizuje riziko fiskálních dopadů a systémového zneužívání.</w:t>
            </w:r>
          </w:p>
          <w:p w14:paraId="48EB455F" w14:textId="77777777" w:rsidR="00BE73FF" w:rsidRPr="0035187E" w:rsidRDefault="00BE73FF" w:rsidP="0035187E">
            <w:pPr>
              <w:pStyle w:val="xmsonormal"/>
              <w:jc w:val="both"/>
              <w:rPr>
                <w:rFonts w:ascii="Times New Roman" w:hAnsi="Times New Roman" w:cs="Times New Roman"/>
                <w:sz w:val="20"/>
                <w:szCs w:val="20"/>
              </w:rPr>
            </w:pPr>
            <w:r w:rsidRPr="0035187E">
              <w:rPr>
                <w:rFonts w:ascii="Times New Roman" w:hAnsi="Times New Roman" w:cs="Times New Roman"/>
                <w:sz w:val="20"/>
                <w:szCs w:val="20"/>
              </w:rPr>
              <w:t xml:space="preserve">Dovolíme si ukázkovým příkladem demonstrovat tuto nezbytnost. </w:t>
            </w:r>
          </w:p>
          <w:p w14:paraId="04D117FF" w14:textId="77777777" w:rsidR="00BE73FF" w:rsidRPr="0035187E" w:rsidRDefault="00BE73FF" w:rsidP="0035187E">
            <w:pPr>
              <w:pStyle w:val="xmsonormal"/>
              <w:jc w:val="both"/>
              <w:rPr>
                <w:rFonts w:ascii="Times New Roman" w:hAnsi="Times New Roman" w:cs="Times New Roman"/>
                <w:sz w:val="20"/>
                <w:szCs w:val="20"/>
              </w:rPr>
            </w:pPr>
            <w:r w:rsidRPr="0035187E">
              <w:rPr>
                <w:rFonts w:ascii="Times New Roman" w:hAnsi="Times New Roman" w:cs="Times New Roman"/>
                <w:sz w:val="20"/>
                <w:szCs w:val="20"/>
              </w:rPr>
              <w:t>Jana pracuje jako skladnice za hrubou mzdu 35 000 Kč měsíčně. Dlouhodobě odkládá nákladné zubní ošetření (implantát) v hodnotě 40 000 Kč, protože si ho ze čisté mzdy nemůže dovolit. Preventivní zanedbání přitom povede k nutnosti dražšího zákroku a opakovaným pracovním neschopnostem.</w:t>
            </w:r>
          </w:p>
          <w:p w14:paraId="649233E1" w14:textId="77777777" w:rsidR="00BE73FF" w:rsidRPr="0035187E" w:rsidRDefault="00BE73FF" w:rsidP="0035187E">
            <w:pPr>
              <w:pStyle w:val="xmsonormal"/>
              <w:jc w:val="both"/>
              <w:rPr>
                <w:rFonts w:ascii="Times New Roman" w:hAnsi="Times New Roman" w:cs="Times New Roman"/>
                <w:sz w:val="20"/>
                <w:szCs w:val="20"/>
              </w:rPr>
            </w:pPr>
            <w:r w:rsidRPr="0035187E">
              <w:rPr>
                <w:rFonts w:ascii="Times New Roman" w:hAnsi="Times New Roman" w:cs="Times New Roman"/>
                <w:sz w:val="20"/>
                <w:szCs w:val="20"/>
              </w:rPr>
              <w:t>Podle navrhované úpravy by se Jana mohla dobrovolně domluvit se zaměstnavatelem, že po dobu tří měsíců dostane o část nižší mzdu a rozdíl obdrží jako zdravotní benefit na úhradu zubního ošetření. Zaměstnavatel tím pro ni nic „nezaplatí navíc" – pouze změní formu odměny. Jana díky daňovému osvobození benefit obdrží bez krácení odvody, zákrok podstoupí včas a nenastoupí opakovanou pracovní neschopnost.</w:t>
            </w:r>
          </w:p>
          <w:p w14:paraId="77E13CBE" w14:textId="75D97014" w:rsidR="00BE73FF" w:rsidRPr="0035187E" w:rsidRDefault="00BE73FF" w:rsidP="00B06848">
            <w:pPr>
              <w:widowControl w:val="0"/>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Bez navrhované úpravy Jana na ošetření buď nedosáhne vůbec, nebo ho uhradí z čisté mzdy po zdanění – tedy v situaci, kdy stát fakticky zdaňuje investici do prevence, ačkoliv právě prevence mu dlouhodobě šetří výdaje systému veřejného zdravotního pojištění.</w:t>
            </w:r>
          </w:p>
        </w:tc>
        <w:tc>
          <w:tcPr>
            <w:tcW w:w="1453" w:type="pct"/>
            <w:tcBorders>
              <w:top w:val="single" w:sz="4" w:space="0" w:color="auto"/>
              <w:left w:val="single" w:sz="4" w:space="0" w:color="auto"/>
              <w:right w:val="single" w:sz="4" w:space="0" w:color="auto"/>
            </w:tcBorders>
            <w:shd w:val="clear" w:color="auto" w:fill="auto"/>
          </w:tcPr>
          <w:p w14:paraId="79545DF0" w14:textId="2DBEB677" w:rsidR="0021049C" w:rsidRPr="0035187E" w:rsidRDefault="0021049C" w:rsidP="0035187E">
            <w:pPr>
              <w:jc w:val="both"/>
              <w:rPr>
                <w:rFonts w:ascii="Times New Roman" w:hAnsi="Times New Roman" w:cs="Times New Roman"/>
                <w:sz w:val="20"/>
                <w:szCs w:val="20"/>
              </w:rPr>
            </w:pPr>
            <w:r w:rsidRPr="0035187E">
              <w:rPr>
                <w:rFonts w:ascii="Times New Roman" w:hAnsi="Times New Roman" w:cs="Times New Roman"/>
                <w:b/>
                <w:sz w:val="20"/>
                <w:szCs w:val="20"/>
              </w:rPr>
              <w:lastRenderedPageBreak/>
              <w:t>Nevyhověno</w:t>
            </w:r>
            <w:r w:rsidR="006602B1" w:rsidRPr="0035187E">
              <w:rPr>
                <w:rFonts w:ascii="Times New Roman" w:hAnsi="Times New Roman" w:cs="Times New Roman"/>
                <w:b/>
                <w:sz w:val="20"/>
                <w:szCs w:val="20"/>
              </w:rPr>
              <w:t>.</w:t>
            </w:r>
            <w:r w:rsidR="00B06848">
              <w:rPr>
                <w:rFonts w:ascii="Times New Roman" w:hAnsi="Times New Roman" w:cs="Times New Roman"/>
                <w:b/>
                <w:sz w:val="20"/>
                <w:szCs w:val="20"/>
              </w:rPr>
              <w:t xml:space="preserve"> </w:t>
            </w:r>
            <w:r w:rsidR="00B06848" w:rsidRPr="00B06848">
              <w:rPr>
                <w:rFonts w:ascii="Times New Roman" w:hAnsi="Times New Roman" w:cs="Times New Roman"/>
                <w:b/>
                <w:color w:val="FF0000"/>
                <w:sz w:val="20"/>
                <w:szCs w:val="20"/>
              </w:rPr>
              <w:t>ROZPOR</w:t>
            </w:r>
          </w:p>
          <w:p w14:paraId="2FCEAA24" w14:textId="272DBC81" w:rsidR="0021049C" w:rsidRPr="0035187E" w:rsidRDefault="0021049C" w:rsidP="0035187E">
            <w:pPr>
              <w:jc w:val="both"/>
              <w:rPr>
                <w:rFonts w:ascii="Times New Roman" w:hAnsi="Times New Roman" w:cs="Times New Roman"/>
                <w:sz w:val="20"/>
                <w:szCs w:val="20"/>
              </w:rPr>
            </w:pPr>
            <w:r w:rsidRPr="0035187E">
              <w:rPr>
                <w:rFonts w:ascii="Times New Roman" w:hAnsi="Times New Roman" w:cs="Times New Roman"/>
                <w:sz w:val="20"/>
                <w:szCs w:val="20"/>
              </w:rPr>
              <w:t>Uplatněný podnět směřuje k zásadní změně koncepce zaměstnaneckých benefitů i jejich vztahu ke mzdě. Navržený mechanismus by vedl k výpadku daňových a pojistných příjmů veřejných rozpočtů a současně by významně zvýšil administrativní náročnost jak na straně zaměstnavatelů, tak správce daně. Zároveň by vytvářel riziko nerovností mezi zaměstnanci, neboť zaměstnanci s vyššími příjmy by mohli využít tento režim ve větším rozsahu a získat tak výraznější daňové zvýhodnění než zaměstnanci s nižšími příjmy. Nelze rovněž vyloučit nepřímý tlak na zaměstnance k převodu části mzdy, což by oslabovalo deklarovaný princip dobrovolnosti.</w:t>
            </w:r>
          </w:p>
          <w:p w14:paraId="18E9A7A0" w14:textId="20A566EC" w:rsidR="0021049C" w:rsidRPr="0035187E" w:rsidRDefault="0021049C"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Dalším významným rizikem je možné narušení základního principu odměňování za práci. Podle pracovněprávní úpravy náleží zaměstnanci za vykonanou práci mzda, plat nebo odměna, které </w:t>
            </w:r>
            <w:r w:rsidRPr="0035187E">
              <w:rPr>
                <w:rFonts w:ascii="Times New Roman" w:hAnsi="Times New Roman" w:cs="Times New Roman"/>
                <w:sz w:val="20"/>
                <w:szCs w:val="20"/>
              </w:rPr>
              <w:lastRenderedPageBreak/>
              <w:t>podléhají zdanění i odvodům pojistného. Zaměstnanecké benefity naproti tomu představují plnění poskytovaná nad rámec mzdy, jako nenároková a bez přímé vazby na výkon práce. Připouštění systematického převodu mzdy do benefitů by tento rozdíl stíralo a mohlo by vést k nežádoucím dopadům i v dalších oblastech, zejména ke snížení započitatelných příjmů pro účely důchodového zabezpečení či nemocenského pojištění.</w:t>
            </w:r>
          </w:p>
          <w:p w14:paraId="10C74A6C" w14:textId="046A3F35" w:rsidR="0021049C" w:rsidRPr="0035187E" w:rsidRDefault="0021049C"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Současná úprava daňového osvobození benefitů v § 6 odst. 9 písm. d) zákona o daních z příjmů potvrzuje záměr zákonodárce, že osvobození se vztahuje pouze na tzv. </w:t>
            </w:r>
            <w:proofErr w:type="spellStart"/>
            <w:r w:rsidRPr="0035187E">
              <w:rPr>
                <w:rFonts w:ascii="Times New Roman" w:hAnsi="Times New Roman" w:cs="Times New Roman"/>
                <w:sz w:val="20"/>
                <w:szCs w:val="20"/>
              </w:rPr>
              <w:t>mimomzdová</w:t>
            </w:r>
            <w:proofErr w:type="spellEnd"/>
            <w:r w:rsidRPr="0035187E">
              <w:rPr>
                <w:rFonts w:ascii="Times New Roman" w:hAnsi="Times New Roman" w:cs="Times New Roman"/>
                <w:sz w:val="20"/>
                <w:szCs w:val="20"/>
              </w:rPr>
              <w:t>, nenároková plnění poskytovaná nad rámec odměny za práci, nikoli na plnění, která mzdu či její část nahrazují.</w:t>
            </w:r>
          </w:p>
          <w:p w14:paraId="3721B72D" w14:textId="77777777" w:rsidR="00BE73FF" w:rsidRDefault="0021049C" w:rsidP="0035187E">
            <w:pPr>
              <w:jc w:val="both"/>
              <w:rPr>
                <w:rFonts w:ascii="Times New Roman" w:hAnsi="Times New Roman" w:cs="Times New Roman"/>
                <w:sz w:val="20"/>
                <w:szCs w:val="20"/>
              </w:rPr>
            </w:pPr>
            <w:r w:rsidRPr="0035187E">
              <w:rPr>
                <w:rFonts w:ascii="Times New Roman" w:hAnsi="Times New Roman" w:cs="Times New Roman"/>
                <w:sz w:val="20"/>
                <w:szCs w:val="20"/>
              </w:rPr>
              <w:t>S ohledem na uvedené by přijetí návrhu mohlo vést k narušení spravedlivého a vyváženého systému zdanění příjmů ze závislé činnosti, k nežádoucí optimalizaci a k oslabení transparentnosti odměňování.</w:t>
            </w:r>
          </w:p>
          <w:p w14:paraId="26310E73" w14:textId="77777777" w:rsidR="00EA2D6F" w:rsidRDefault="00EA2D6F" w:rsidP="0035187E">
            <w:pPr>
              <w:jc w:val="both"/>
              <w:rPr>
                <w:rFonts w:ascii="Times New Roman" w:hAnsi="Times New Roman" w:cs="Times New Roman"/>
                <w:sz w:val="20"/>
                <w:szCs w:val="20"/>
              </w:rPr>
            </w:pPr>
          </w:p>
          <w:p w14:paraId="2AE58A8D" w14:textId="6161F952" w:rsidR="00EA2D6F" w:rsidRPr="006247BD" w:rsidRDefault="00EA2D6F" w:rsidP="00EA2D6F">
            <w:pPr>
              <w:jc w:val="both"/>
              <w:rPr>
                <w:rFonts w:ascii="Times New Roman" w:hAnsi="Times New Roman" w:cs="Times New Roman"/>
                <w:i/>
                <w:iCs/>
                <w:color w:val="EE0000"/>
                <w:sz w:val="20"/>
                <w:szCs w:val="20"/>
              </w:rPr>
            </w:pPr>
            <w:r w:rsidRPr="006247BD">
              <w:rPr>
                <w:rFonts w:ascii="Times New Roman" w:hAnsi="Times New Roman" w:cs="Times New Roman"/>
                <w:i/>
                <w:iCs/>
                <w:sz w:val="20"/>
                <w:szCs w:val="20"/>
              </w:rPr>
              <w:t xml:space="preserve">Vyjádření připomínkového místa po jednání dne 10. dubna 2026: </w:t>
            </w:r>
            <w:r w:rsidRPr="00B06848">
              <w:rPr>
                <w:rFonts w:ascii="Times New Roman" w:hAnsi="Times New Roman" w:cs="Times New Roman"/>
                <w:i/>
                <w:iCs/>
                <w:sz w:val="20"/>
                <w:szCs w:val="20"/>
              </w:rPr>
              <w:t>vypořádání neakceptuje a trvá na rozporu. Odůvodnění, viz výše.</w:t>
            </w:r>
          </w:p>
          <w:p w14:paraId="16E430D9" w14:textId="487EDC9D" w:rsidR="00EA2D6F" w:rsidRPr="0035187E" w:rsidRDefault="00EA2D6F" w:rsidP="0035187E">
            <w:pPr>
              <w:jc w:val="both"/>
              <w:rPr>
                <w:rFonts w:ascii="Times New Roman" w:hAnsi="Times New Roman" w:cs="Times New Roman"/>
                <w:sz w:val="20"/>
                <w:szCs w:val="20"/>
              </w:rPr>
            </w:pPr>
          </w:p>
        </w:tc>
      </w:tr>
      <w:tr w:rsidR="0035187E" w:rsidRPr="0035187E" w14:paraId="7429992F"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3A31705" w14:textId="7169559A"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11.</w:t>
            </w:r>
          </w:p>
        </w:tc>
        <w:tc>
          <w:tcPr>
            <w:tcW w:w="583" w:type="pct"/>
            <w:tcBorders>
              <w:top w:val="single" w:sz="4" w:space="0" w:color="auto"/>
              <w:left w:val="single" w:sz="4" w:space="0" w:color="auto"/>
              <w:right w:val="single" w:sz="4" w:space="0" w:color="auto"/>
            </w:tcBorders>
            <w:shd w:val="clear" w:color="auto" w:fill="auto"/>
          </w:tcPr>
          <w:p w14:paraId="52B71878" w14:textId="7105F5F8"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zdravotnictví</w:t>
            </w:r>
          </w:p>
        </w:tc>
        <w:tc>
          <w:tcPr>
            <w:tcW w:w="168" w:type="pct"/>
            <w:tcBorders>
              <w:top w:val="single" w:sz="4" w:space="0" w:color="auto"/>
              <w:left w:val="single" w:sz="4" w:space="0" w:color="auto"/>
              <w:right w:val="single" w:sz="4" w:space="0" w:color="auto"/>
            </w:tcBorders>
            <w:shd w:val="clear" w:color="auto" w:fill="auto"/>
          </w:tcPr>
          <w:p w14:paraId="5532A4F6" w14:textId="376F5225"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4.</w:t>
            </w:r>
          </w:p>
        </w:tc>
        <w:tc>
          <w:tcPr>
            <w:tcW w:w="169" w:type="pct"/>
            <w:tcBorders>
              <w:top w:val="single" w:sz="4" w:space="0" w:color="auto"/>
              <w:left w:val="single" w:sz="4" w:space="0" w:color="auto"/>
              <w:right w:val="single" w:sz="4" w:space="0" w:color="auto"/>
            </w:tcBorders>
            <w:shd w:val="clear" w:color="auto" w:fill="auto"/>
          </w:tcPr>
          <w:p w14:paraId="12EF4464" w14:textId="485E2BBA"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right w:val="single" w:sz="4" w:space="0" w:color="F3F3F3"/>
            </w:tcBorders>
            <w:shd w:val="clear" w:color="auto" w:fill="auto"/>
          </w:tcPr>
          <w:p w14:paraId="0287AF30" w14:textId="77777777" w:rsidR="00BE73FF" w:rsidRPr="0035187E" w:rsidRDefault="00BE73FF" w:rsidP="0035187E">
            <w:pPr>
              <w:pStyle w:val="xmsonormal"/>
              <w:jc w:val="both"/>
              <w:rPr>
                <w:rFonts w:ascii="Times New Roman" w:hAnsi="Times New Roman" w:cs="Times New Roman"/>
                <w:b/>
                <w:bCs/>
                <w:sz w:val="20"/>
                <w:szCs w:val="20"/>
              </w:rPr>
            </w:pPr>
            <w:r w:rsidRPr="0035187E">
              <w:rPr>
                <w:rFonts w:ascii="Times New Roman" w:hAnsi="Times New Roman" w:cs="Times New Roman"/>
                <w:b/>
                <w:bCs/>
                <w:sz w:val="20"/>
                <w:szCs w:val="20"/>
              </w:rPr>
              <w:t>K části čtvrté § 6 odst. 9 písm. b) ZDP</w:t>
            </w:r>
          </w:p>
          <w:p w14:paraId="5306858B" w14:textId="77777777" w:rsidR="00BE73FF" w:rsidRPr="0035187E" w:rsidRDefault="00BE73FF" w:rsidP="0035187E">
            <w:pPr>
              <w:pStyle w:val="xmsonormal"/>
              <w:jc w:val="both"/>
              <w:rPr>
                <w:rFonts w:ascii="Times New Roman" w:hAnsi="Times New Roman" w:cs="Times New Roman"/>
                <w:sz w:val="20"/>
                <w:szCs w:val="20"/>
              </w:rPr>
            </w:pPr>
          </w:p>
          <w:p w14:paraId="2A587644" w14:textId="2969985A" w:rsidR="00BE73FF" w:rsidRPr="0035187E" w:rsidRDefault="00BE73FF" w:rsidP="0035187E">
            <w:pPr>
              <w:pStyle w:val="xmsonormal"/>
              <w:jc w:val="both"/>
              <w:rPr>
                <w:rFonts w:ascii="Times New Roman" w:hAnsi="Times New Roman" w:cs="Times New Roman"/>
                <w:sz w:val="20"/>
                <w:szCs w:val="20"/>
              </w:rPr>
            </w:pPr>
            <w:r w:rsidRPr="0035187E">
              <w:rPr>
                <w:rFonts w:ascii="Times New Roman" w:hAnsi="Times New Roman" w:cs="Times New Roman"/>
                <w:sz w:val="20"/>
                <w:szCs w:val="20"/>
              </w:rPr>
              <w:t xml:space="preserve">Navrhujme v zákoně č. 586/1992 Sb., o daních z příjmů, ve znění pozdějších předpisů, aby se § 6 odst. 9 písm. b) změnil následovně: </w:t>
            </w:r>
          </w:p>
          <w:p w14:paraId="1EBDE088" w14:textId="77777777" w:rsidR="00BE73FF" w:rsidRPr="0035187E" w:rsidRDefault="00BE73FF" w:rsidP="0035187E">
            <w:pPr>
              <w:pStyle w:val="xmsonormal"/>
              <w:jc w:val="both"/>
              <w:rPr>
                <w:rFonts w:ascii="Times New Roman" w:hAnsi="Times New Roman" w:cs="Times New Roman"/>
                <w:sz w:val="20"/>
                <w:szCs w:val="20"/>
              </w:rPr>
            </w:pPr>
            <w:r w:rsidRPr="0035187E">
              <w:rPr>
                <w:rFonts w:ascii="Times New Roman" w:hAnsi="Times New Roman" w:cs="Times New Roman"/>
                <w:sz w:val="20"/>
                <w:szCs w:val="20"/>
              </w:rPr>
              <w:t>„b) příjem zaměstnance ve formě příspěvku na stravování poskytnutého zaměstnavatelem za jednu směnu podle jiného právního předpisu, pokud během této směny zaměstnanec vykonával práci alespoň 3 hodiny a nevznikl mu během této směny nárok na stravné v rámci cestovních náhrad podle jiného právního předpisu, a to v úhrnu do výše 70 % horní hranice stravného v případě peněžitého příspěvku na stravování nebo úhrnu do výše 100 % horní hranice stravného v případě stravování poskytované jako nepeněžní plnění ke spotřebě na pracovišti zaměstnance nebo v rámci stravování zajišťovaného prostřednictvím jiného subjektu než zaměstnavatele, které lze poskytnout zaměstnancům odměňovaným platem při pracovní cestě trvající 5 až 12 hodin, a v úhrnu do výše 70 % této hranice v případě peněžitého příspěvku na stravování nebo úhrnu do výše 100 % horní hranice stravného v případě stravování poskytované jako nepeněžní plnění ke spotřebě na pracovišti zaměstnance nebo v rámci stravování zajišťovaného prostřednictvím jiného subjektu než zaměstnavatele, je-li příspěvek poskytnut jako další příspěvek v rámci stejné směny, pokud její délka v úhrnu s přestávkou v práci povinně poskytovanou zaměstnavatelem podle jiného právního předpisu je delší než 11 hodin; v případě zaměstnance vykonávajícího činnost, ze které plyne příjem ze závislé činnosti, jejíž výkon není rozvržen na směny podle jiného právního předpisu, je příjem ve formě příspěvku na stravování poskytnutého zaměstnavatelem od daně osvobozen, pokud během kalendářního dne zaměstnanec vykonával práci alespoň 3 hodiny a nevznikl mu během tohoto dne nárok na stravné v rámci cestovních náhrad podle jiného právního předpisu ani na stravné v rámci cestovních náhrad na základě smlouvy, a to v úhrnu do výše 70 % horní hranice stravného v případě peněžitého příspěvku na stravování nebo úhrnu do výše 100 % horní hranice stravného v případě stravování poskytované jako nepeněžní plnění ke spotřebě na pracovišti zaměstnance nebo v rámci stravování zajišťovaného prostřednictvím jiného subjektu než zaměstnavatele, které lze poskytnout zaměstnancům odměňovaným platem při pracovní cestě trvající 5 až 12 hodin, a v úhrnu do výše 70 % této hranice v případě peněžitého příspěvku na stravování nebo úhrnu do výše 100 % horní hranice stravného v případě stravování poskytované jako nepeněžní plnění ke spotřebě na pracovišti zaměstnance nebo v rámci stravování zajišťovaného prostřednictvím jiného subjektu než zaměstnavatele, je-li příspěvek poskytnut jako další příspěvek v rámci stejného kalendářního dne, pokud během tohoto dne zaměstnanec vykonával práci alespoň 11 hodin.“</w:t>
            </w:r>
          </w:p>
          <w:p w14:paraId="316AF890" w14:textId="77777777" w:rsidR="00BE73FF" w:rsidRPr="0035187E" w:rsidRDefault="00BE73FF" w:rsidP="0035187E">
            <w:pPr>
              <w:pStyle w:val="xmsonormal"/>
              <w:jc w:val="both"/>
              <w:rPr>
                <w:rFonts w:ascii="Times New Roman" w:hAnsi="Times New Roman" w:cs="Times New Roman"/>
                <w:b/>
                <w:bCs/>
                <w:sz w:val="20"/>
                <w:szCs w:val="20"/>
              </w:rPr>
            </w:pPr>
          </w:p>
          <w:p w14:paraId="755B7301" w14:textId="3C3DFEF6" w:rsidR="00BE73FF" w:rsidRPr="0035187E" w:rsidRDefault="00BE73FF" w:rsidP="0035187E">
            <w:pPr>
              <w:pStyle w:val="xmsonormal"/>
              <w:jc w:val="both"/>
              <w:rPr>
                <w:rFonts w:ascii="Times New Roman" w:hAnsi="Times New Roman" w:cs="Times New Roman"/>
                <w:b/>
                <w:bCs/>
                <w:sz w:val="20"/>
                <w:szCs w:val="20"/>
              </w:rPr>
            </w:pPr>
            <w:r w:rsidRPr="0035187E">
              <w:rPr>
                <w:rFonts w:ascii="Times New Roman" w:hAnsi="Times New Roman" w:cs="Times New Roman"/>
                <w:b/>
                <w:bCs/>
                <w:sz w:val="20"/>
                <w:szCs w:val="20"/>
              </w:rPr>
              <w:t>Odůvodnění:</w:t>
            </w:r>
          </w:p>
          <w:p w14:paraId="5057F702" w14:textId="77777777" w:rsidR="00BE73FF" w:rsidRPr="0035187E" w:rsidRDefault="00BE73FF" w:rsidP="0035187E">
            <w:pPr>
              <w:pStyle w:val="xmsonormal"/>
              <w:jc w:val="both"/>
              <w:rPr>
                <w:rFonts w:ascii="Times New Roman" w:hAnsi="Times New Roman" w:cs="Times New Roman"/>
                <w:sz w:val="20"/>
                <w:szCs w:val="20"/>
              </w:rPr>
            </w:pPr>
            <w:r w:rsidRPr="0035187E">
              <w:rPr>
                <w:rFonts w:ascii="Times New Roman" w:hAnsi="Times New Roman" w:cs="Times New Roman"/>
                <w:sz w:val="20"/>
                <w:szCs w:val="20"/>
              </w:rPr>
              <w:t>Navrhuje se upravit výši příspěvku na stravování na hranici 100 % horní hranice stravného v případě tzv. nepeněžních plnění, které lze poskytnout zaměstnancům odměňovaným mzdou při pracovní cestě trvající 5 až 12 hodin. Výše příspěvku u peněžního plnění se nemění.</w:t>
            </w:r>
          </w:p>
          <w:p w14:paraId="59ABD520" w14:textId="77777777" w:rsidR="00BE73FF" w:rsidRPr="0035187E" w:rsidRDefault="00BE73FF" w:rsidP="0035187E">
            <w:pPr>
              <w:pStyle w:val="xmsonormal"/>
              <w:jc w:val="both"/>
              <w:rPr>
                <w:rFonts w:ascii="Times New Roman" w:hAnsi="Times New Roman" w:cs="Times New Roman"/>
                <w:sz w:val="20"/>
                <w:szCs w:val="20"/>
              </w:rPr>
            </w:pPr>
            <w:r w:rsidRPr="0035187E">
              <w:rPr>
                <w:rFonts w:ascii="Times New Roman" w:hAnsi="Times New Roman" w:cs="Times New Roman"/>
                <w:sz w:val="20"/>
                <w:szCs w:val="20"/>
              </w:rPr>
              <w:lastRenderedPageBreak/>
              <w:t xml:space="preserve">Ministerstvo vnímá jako nezbytnou i úpravu podpory zaměstnaneckého stravování tak, aby více reflektovala své cíle a vedla k pravidelnějšímu a kvalitnějšímu stravování zaměstnanců. Proto navrhujeme parametrickou úpravu příspěvku na stravování, která posiluje tzv. nepeněžní formy podpory. Změna přibližuje výši příspěvku skutečné ceně obědů, čímž podpoří častější stravování v kantýnách a restauracích, přispěje k dostupnosti a pravidelnosti stravy s očekávanými pozitivními zdravotními dopady, a zároveň především u stravování v závodních jídelnách sníží administrativní zátěž zaměstnavatelů.  </w:t>
            </w:r>
          </w:p>
          <w:p w14:paraId="301C1ED1" w14:textId="77777777" w:rsidR="00BE73FF" w:rsidRPr="0035187E" w:rsidRDefault="00BE73FF" w:rsidP="0035187E">
            <w:pPr>
              <w:pStyle w:val="xmsonormal"/>
              <w:jc w:val="both"/>
              <w:rPr>
                <w:rFonts w:ascii="Times New Roman" w:hAnsi="Times New Roman" w:cs="Times New Roman"/>
                <w:sz w:val="20"/>
                <w:szCs w:val="20"/>
              </w:rPr>
            </w:pPr>
            <w:r w:rsidRPr="0035187E">
              <w:rPr>
                <w:rFonts w:ascii="Times New Roman" w:hAnsi="Times New Roman" w:cs="Times New Roman"/>
                <w:sz w:val="20"/>
                <w:szCs w:val="20"/>
              </w:rPr>
              <w:t xml:space="preserve">V České republice je strava přitom dlouhodobě z pohledu veřejného zdraví velmi problematická. Způsobuje nejvíce </w:t>
            </w:r>
            <w:proofErr w:type="spellStart"/>
            <w:r w:rsidRPr="0035187E">
              <w:rPr>
                <w:rFonts w:ascii="Times New Roman" w:hAnsi="Times New Roman" w:cs="Times New Roman"/>
                <w:sz w:val="20"/>
                <w:szCs w:val="20"/>
              </w:rPr>
              <w:t>nadúmrtí</w:t>
            </w:r>
            <w:proofErr w:type="spellEnd"/>
            <w:r w:rsidRPr="0035187E">
              <w:rPr>
                <w:rFonts w:ascii="Times New Roman" w:hAnsi="Times New Roman" w:cs="Times New Roman"/>
                <w:sz w:val="20"/>
                <w:szCs w:val="20"/>
              </w:rPr>
              <w:t xml:space="preserve"> (více než cigarety nebo alkohol), významně přispívá k civilizačním chorobám (kardiovaskulární onemocnění, diabetes druhého typu a další) a celkově nižšímu věku dožití ve zdraví. To pak představuje znatelnou zátěž na veřejné rozpočty – ať již přímo skrze zdravotní náklady, tak nepřímo skrze absence, nižší produktivitu práce, či kratší dobu aktivního života.</w:t>
            </w:r>
          </w:p>
          <w:p w14:paraId="41D70ADF" w14:textId="77777777" w:rsidR="00BE73FF" w:rsidRPr="0035187E" w:rsidRDefault="00BE73FF" w:rsidP="0035187E">
            <w:pPr>
              <w:pStyle w:val="xmsonormal"/>
              <w:jc w:val="both"/>
              <w:rPr>
                <w:rFonts w:ascii="Times New Roman" w:hAnsi="Times New Roman" w:cs="Times New Roman"/>
                <w:sz w:val="20"/>
                <w:szCs w:val="20"/>
              </w:rPr>
            </w:pPr>
            <w:r w:rsidRPr="0035187E">
              <w:rPr>
                <w:rFonts w:ascii="Times New Roman" w:hAnsi="Times New Roman" w:cs="Times New Roman"/>
                <w:sz w:val="20"/>
                <w:szCs w:val="20"/>
              </w:rPr>
              <w:t xml:space="preserve">Proto návrh navazuje na Programové prohlášení vlády ( “Zaměříme se na prevenci, včasnou diagnostiku a podporu zdravého životního stylu, abychom předcházeli nemocem a zlepšili kvalitu života lidí všech generací.”) a Národní kardiovaskulární plán ČR na období 2025-2035 (Specifický cíl 1.1 - Zvýšení pozitivní motivace ke změně životního stylu obyvatel, zvýšení zdravotní gramotnosti a zlepšení prevence kardiovaskulárních onemocnění -  „Systémová podpora zdravého pracovního prostředí a spolupráce se zaměstnavateli na jeho rozvoji…“) a pomáhá s naplněním jejich cílů. </w:t>
            </w:r>
          </w:p>
          <w:p w14:paraId="71C8E9C5" w14:textId="77777777" w:rsidR="00BE73FF" w:rsidRPr="0035187E" w:rsidRDefault="00BE73FF" w:rsidP="0035187E">
            <w:pPr>
              <w:pStyle w:val="xmsonormal"/>
              <w:jc w:val="both"/>
              <w:rPr>
                <w:rFonts w:ascii="Times New Roman" w:hAnsi="Times New Roman" w:cs="Times New Roman"/>
                <w:sz w:val="20"/>
                <w:szCs w:val="20"/>
              </w:rPr>
            </w:pPr>
            <w:r w:rsidRPr="0035187E">
              <w:rPr>
                <w:rFonts w:ascii="Times New Roman" w:hAnsi="Times New Roman" w:cs="Times New Roman"/>
                <w:sz w:val="20"/>
                <w:szCs w:val="20"/>
              </w:rPr>
              <w:t xml:space="preserve">V neposlední řadě návrh představuje také znatelné snížení administrativy pro zaměstnavatele, jelikož částka 100 % horní hranice stravného přibližně odpovídá průměrné ceně oběda v závodních jídelnách. Mzdové účtárny tak nebudou muset ve většině případů vypočítávat rozdíl mezi hodnotou jídla a daňovým limitem a tento rozdíl zahrnovat na mzdové listy ke zdanění nebo zajišťovat doplácení hodnoty jídla. </w:t>
            </w:r>
          </w:p>
          <w:p w14:paraId="43BD25D3" w14:textId="77777777" w:rsidR="00BE73FF" w:rsidRPr="0035187E" w:rsidRDefault="00BE73FF" w:rsidP="0035187E">
            <w:pPr>
              <w:pStyle w:val="xmsonormal"/>
              <w:jc w:val="both"/>
              <w:rPr>
                <w:rFonts w:ascii="Times New Roman" w:hAnsi="Times New Roman" w:cs="Times New Roman"/>
                <w:sz w:val="20"/>
                <w:szCs w:val="20"/>
              </w:rPr>
            </w:pPr>
            <w:r w:rsidRPr="0035187E">
              <w:rPr>
                <w:rFonts w:ascii="Times New Roman" w:hAnsi="Times New Roman" w:cs="Times New Roman"/>
                <w:sz w:val="20"/>
                <w:szCs w:val="20"/>
              </w:rPr>
              <w:t>Rozpočtové dopady návrhu jsou neutrální. Navýšení limitu pro účelovou podporu stravování na 100 % horní hranice stravného sice povede k nižšímu výběru na dani z příjmů fyzických osob, který ale bude kompenzován vyšším výběrem daní u stravovacích služeb.</w:t>
            </w:r>
          </w:p>
          <w:p w14:paraId="4A60E1D9" w14:textId="77777777" w:rsidR="00BE73FF" w:rsidRPr="0035187E" w:rsidRDefault="00BE73FF" w:rsidP="0035187E">
            <w:pPr>
              <w:pStyle w:val="xmsonormal"/>
              <w:jc w:val="both"/>
              <w:rPr>
                <w:rFonts w:ascii="Times New Roman" w:hAnsi="Times New Roman" w:cs="Times New Roman"/>
                <w:sz w:val="20"/>
                <w:szCs w:val="20"/>
              </w:rPr>
            </w:pPr>
            <w:r w:rsidRPr="0035187E">
              <w:rPr>
                <w:rFonts w:ascii="Times New Roman" w:hAnsi="Times New Roman" w:cs="Times New Roman"/>
                <w:sz w:val="20"/>
                <w:szCs w:val="20"/>
              </w:rPr>
              <w:t>Ilustrační příklad.</w:t>
            </w:r>
          </w:p>
          <w:p w14:paraId="01C525A4" w14:textId="77777777" w:rsidR="00BE73FF" w:rsidRPr="0035187E" w:rsidRDefault="00BE73FF" w:rsidP="0035187E">
            <w:pPr>
              <w:pStyle w:val="xmsonormal"/>
              <w:jc w:val="both"/>
              <w:rPr>
                <w:rFonts w:ascii="Times New Roman" w:hAnsi="Times New Roman" w:cs="Times New Roman"/>
                <w:sz w:val="20"/>
                <w:szCs w:val="20"/>
              </w:rPr>
            </w:pPr>
            <w:r w:rsidRPr="0035187E">
              <w:rPr>
                <w:rFonts w:ascii="Times New Roman" w:hAnsi="Times New Roman" w:cs="Times New Roman"/>
                <w:sz w:val="20"/>
                <w:szCs w:val="20"/>
              </w:rPr>
              <w:t>Výrobní podnik má 80 zaměstnanců ve výrobní hale s průměrnou hrubou mzdou 38 000 Kč. Závodní jídelna nabízí obědy za 210 Kč, ale dosavadní daňový limit příspěvku odpovídá jen přibližně 160 Kč. Zaměstnavatel sice příspěvek 160 Kč poskytuje, ale zbylých 50 Kč musí zaměstnanec doplácet — nebo oběd vynechá a chodí na rychlé jídlo za rohem. Výsledkem je, že průměrná docházka do jídelny postupně klesá, protože zdražující obědy psychologicky překonávají ochotu zaměstnanců doplácet.</w:t>
            </w:r>
          </w:p>
          <w:p w14:paraId="0341B5F6" w14:textId="77777777" w:rsidR="00BE73FF" w:rsidRPr="0035187E" w:rsidRDefault="00BE73FF" w:rsidP="0035187E">
            <w:pPr>
              <w:pStyle w:val="xmsonormal"/>
              <w:jc w:val="both"/>
              <w:rPr>
                <w:rFonts w:ascii="Times New Roman" w:hAnsi="Times New Roman" w:cs="Times New Roman"/>
                <w:sz w:val="20"/>
                <w:szCs w:val="20"/>
              </w:rPr>
            </w:pPr>
            <w:r w:rsidRPr="0035187E">
              <w:rPr>
                <w:rFonts w:ascii="Times New Roman" w:hAnsi="Times New Roman" w:cs="Times New Roman"/>
                <w:sz w:val="20"/>
                <w:szCs w:val="20"/>
              </w:rPr>
              <w:t>Po navýšení limitu na 100 % horní hranice stravného (přibližně 210 Kč) zaměstnavatel příspěvek dorovná na plnou cenu oběda bez administrativní zátěže výpočtu rozdílu a jeho zdanění. Zaměstnanci přicházejí na oběd pravidelněji, jedí v klidu a s kolegy. Za rok zaměstnavatel eviduje pokles nemocnosti o 1,5 dne na zaměstnance — v 80členném kolektivu to představuje zhruba 120 zachovaných pracovních dnů ročně a úsporu na náhradách a výpadku produkce, která bez problémů převyšuje přímé náklady na navýšení příspěvku.</w:t>
            </w:r>
          </w:p>
          <w:p w14:paraId="0AEE4663" w14:textId="77777777" w:rsidR="00BE73FF" w:rsidRPr="0035187E" w:rsidRDefault="00BE73FF" w:rsidP="0035187E">
            <w:pPr>
              <w:pStyle w:val="xmsonormal"/>
              <w:jc w:val="both"/>
              <w:rPr>
                <w:rFonts w:ascii="Times New Roman" w:hAnsi="Times New Roman" w:cs="Times New Roman"/>
                <w:sz w:val="20"/>
                <w:szCs w:val="20"/>
              </w:rPr>
            </w:pPr>
            <w:r w:rsidRPr="0035187E">
              <w:rPr>
                <w:rFonts w:ascii="Times New Roman" w:hAnsi="Times New Roman" w:cs="Times New Roman"/>
                <w:sz w:val="20"/>
                <w:szCs w:val="20"/>
              </w:rPr>
              <w:lastRenderedPageBreak/>
              <w:t xml:space="preserve">Jde o modelový příklad, který ve svých zprávách popisuje i Mezinárodní organizace práce — zavedení dotovaného stravování v guatemalském podniku San Pedro </w:t>
            </w:r>
            <w:proofErr w:type="spellStart"/>
            <w:r w:rsidRPr="0035187E">
              <w:rPr>
                <w:rFonts w:ascii="Times New Roman" w:hAnsi="Times New Roman" w:cs="Times New Roman"/>
                <w:sz w:val="20"/>
                <w:szCs w:val="20"/>
              </w:rPr>
              <w:t>Diseños</w:t>
            </w:r>
            <w:proofErr w:type="spellEnd"/>
            <w:r w:rsidRPr="0035187E">
              <w:rPr>
                <w:rFonts w:ascii="Times New Roman" w:hAnsi="Times New Roman" w:cs="Times New Roman"/>
                <w:sz w:val="20"/>
                <w:szCs w:val="20"/>
              </w:rPr>
              <w:t xml:space="preserve"> vedlo vedle zlepšení zdraví zaměstnanců k nárůstu produkce o 70 % a ročních výdělků o 20 %.</w:t>
            </w:r>
          </w:p>
          <w:p w14:paraId="720EE7EC" w14:textId="77777777" w:rsidR="00BE73FF" w:rsidRPr="0035187E" w:rsidRDefault="00BE73FF" w:rsidP="0035187E">
            <w:pPr>
              <w:pStyle w:val="xmsonormal"/>
              <w:jc w:val="both"/>
              <w:rPr>
                <w:rFonts w:ascii="Times New Roman" w:hAnsi="Times New Roman" w:cs="Times New Roman"/>
                <w:sz w:val="20"/>
                <w:szCs w:val="20"/>
              </w:rPr>
            </w:pPr>
            <w:r w:rsidRPr="0035187E">
              <w:rPr>
                <w:rFonts w:ascii="Times New Roman" w:hAnsi="Times New Roman" w:cs="Times New Roman"/>
                <w:sz w:val="20"/>
                <w:szCs w:val="20"/>
              </w:rPr>
              <w:t>Soupis relevantních mezinárodních studií:</w:t>
            </w:r>
          </w:p>
          <w:p w14:paraId="40E44882" w14:textId="77777777" w:rsidR="00BE73FF" w:rsidRPr="0035187E" w:rsidRDefault="00BE73FF" w:rsidP="0035187E">
            <w:pPr>
              <w:pStyle w:val="xmsonormal"/>
              <w:jc w:val="both"/>
              <w:rPr>
                <w:rFonts w:ascii="Times New Roman" w:hAnsi="Times New Roman" w:cs="Times New Roman"/>
                <w:sz w:val="20"/>
                <w:szCs w:val="20"/>
              </w:rPr>
            </w:pPr>
            <w:proofErr w:type="spellStart"/>
            <w:r w:rsidRPr="0035187E">
              <w:rPr>
                <w:rFonts w:ascii="Times New Roman" w:hAnsi="Times New Roman" w:cs="Times New Roman"/>
                <w:sz w:val="20"/>
                <w:szCs w:val="20"/>
              </w:rPr>
              <w:t>Wanjek</w:t>
            </w:r>
            <w:proofErr w:type="spellEnd"/>
            <w:r w:rsidRPr="0035187E">
              <w:rPr>
                <w:rFonts w:ascii="Times New Roman" w:hAnsi="Times New Roman" w:cs="Times New Roman"/>
                <w:sz w:val="20"/>
                <w:szCs w:val="20"/>
              </w:rPr>
              <w:t xml:space="preserve">, C. (2005). Food </w:t>
            </w:r>
            <w:proofErr w:type="spellStart"/>
            <w:r w:rsidRPr="0035187E">
              <w:rPr>
                <w:rFonts w:ascii="Times New Roman" w:hAnsi="Times New Roman" w:cs="Times New Roman"/>
                <w:sz w:val="20"/>
                <w:szCs w:val="20"/>
              </w:rPr>
              <w:t>at</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Work</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Workplace</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Solutions</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for</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Malnutrition</w:t>
            </w:r>
            <w:proofErr w:type="spellEnd"/>
            <w:r w:rsidRPr="0035187E">
              <w:rPr>
                <w:rFonts w:ascii="Times New Roman" w:hAnsi="Times New Roman" w:cs="Times New Roman"/>
                <w:sz w:val="20"/>
                <w:szCs w:val="20"/>
              </w:rPr>
              <w:t xml:space="preserve">, Obesity and </w:t>
            </w:r>
            <w:proofErr w:type="spellStart"/>
            <w:r w:rsidRPr="0035187E">
              <w:rPr>
                <w:rFonts w:ascii="Times New Roman" w:hAnsi="Times New Roman" w:cs="Times New Roman"/>
                <w:sz w:val="20"/>
                <w:szCs w:val="20"/>
              </w:rPr>
              <w:t>Chronic</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Diseases</w:t>
            </w:r>
            <w:proofErr w:type="spellEnd"/>
            <w:r w:rsidRPr="0035187E">
              <w:rPr>
                <w:rFonts w:ascii="Times New Roman" w:hAnsi="Times New Roman" w:cs="Times New Roman"/>
                <w:sz w:val="20"/>
                <w:szCs w:val="20"/>
              </w:rPr>
              <w:t xml:space="preserve">. International </w:t>
            </w:r>
            <w:proofErr w:type="spellStart"/>
            <w:r w:rsidRPr="0035187E">
              <w:rPr>
                <w:rFonts w:ascii="Times New Roman" w:hAnsi="Times New Roman" w:cs="Times New Roman"/>
                <w:sz w:val="20"/>
                <w:szCs w:val="20"/>
              </w:rPr>
              <w:t>Labour</w:t>
            </w:r>
            <w:proofErr w:type="spellEnd"/>
            <w:r w:rsidRPr="0035187E">
              <w:rPr>
                <w:rFonts w:ascii="Times New Roman" w:hAnsi="Times New Roman" w:cs="Times New Roman"/>
                <w:sz w:val="20"/>
                <w:szCs w:val="20"/>
              </w:rPr>
              <w:t xml:space="preserve"> Office, </w:t>
            </w:r>
            <w:proofErr w:type="spellStart"/>
            <w:r w:rsidRPr="0035187E">
              <w:rPr>
                <w:rFonts w:ascii="Times New Roman" w:hAnsi="Times New Roman" w:cs="Times New Roman"/>
                <w:sz w:val="20"/>
                <w:szCs w:val="20"/>
              </w:rPr>
              <w:t>Geneva</w:t>
            </w:r>
            <w:proofErr w:type="spellEnd"/>
            <w:r w:rsidRPr="0035187E">
              <w:rPr>
                <w:rFonts w:ascii="Times New Roman" w:hAnsi="Times New Roman" w:cs="Times New Roman"/>
                <w:sz w:val="20"/>
                <w:szCs w:val="20"/>
              </w:rPr>
              <w:t>. ISBN 92-2-117152-0. — Základní studie ILO dokládá, že špatná výživa na pracovišti může snižovat produktivitu až o 20 % a že každé 1% navýšení kalorického příjmu vede k 2,27% nárůstu pracovní produktivity.</w:t>
            </w:r>
          </w:p>
          <w:p w14:paraId="10BE69BD" w14:textId="77777777" w:rsidR="00BE73FF" w:rsidRPr="0035187E" w:rsidRDefault="00BE73FF" w:rsidP="0035187E">
            <w:pPr>
              <w:pStyle w:val="xmsonormal"/>
              <w:jc w:val="both"/>
              <w:rPr>
                <w:rFonts w:ascii="Times New Roman" w:hAnsi="Times New Roman" w:cs="Times New Roman"/>
                <w:sz w:val="20"/>
                <w:szCs w:val="20"/>
              </w:rPr>
            </w:pPr>
            <w:proofErr w:type="spellStart"/>
            <w:r w:rsidRPr="0035187E">
              <w:rPr>
                <w:rFonts w:ascii="Times New Roman" w:hAnsi="Times New Roman" w:cs="Times New Roman"/>
                <w:sz w:val="20"/>
                <w:szCs w:val="20"/>
              </w:rPr>
              <w:t>Katsarou</w:t>
            </w:r>
            <w:proofErr w:type="spellEnd"/>
            <w:r w:rsidRPr="0035187E">
              <w:rPr>
                <w:rFonts w:ascii="Times New Roman" w:hAnsi="Times New Roman" w:cs="Times New Roman"/>
                <w:sz w:val="20"/>
                <w:szCs w:val="20"/>
              </w:rPr>
              <w:t>, A. et al. (2022). „</w:t>
            </w:r>
            <w:proofErr w:type="spellStart"/>
            <w:r w:rsidRPr="0035187E">
              <w:rPr>
                <w:rFonts w:ascii="Times New Roman" w:hAnsi="Times New Roman" w:cs="Times New Roman"/>
                <w:sz w:val="20"/>
                <w:szCs w:val="20"/>
              </w:rPr>
              <w:t>The</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Effect</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of</w:t>
            </w:r>
            <w:proofErr w:type="spellEnd"/>
            <w:r w:rsidRPr="0035187E">
              <w:rPr>
                <w:rFonts w:ascii="Times New Roman" w:hAnsi="Times New Roman" w:cs="Times New Roman"/>
                <w:sz w:val="20"/>
                <w:szCs w:val="20"/>
              </w:rPr>
              <w:t xml:space="preserve"> Food </w:t>
            </w:r>
            <w:proofErr w:type="spellStart"/>
            <w:r w:rsidRPr="0035187E">
              <w:rPr>
                <w:rFonts w:ascii="Times New Roman" w:hAnsi="Times New Roman" w:cs="Times New Roman"/>
                <w:sz w:val="20"/>
                <w:szCs w:val="20"/>
              </w:rPr>
              <w:t>Vouchers</w:t>
            </w:r>
            <w:proofErr w:type="spellEnd"/>
            <w:r w:rsidRPr="0035187E">
              <w:rPr>
                <w:rFonts w:ascii="Times New Roman" w:hAnsi="Times New Roman" w:cs="Times New Roman"/>
                <w:sz w:val="20"/>
                <w:szCs w:val="20"/>
              </w:rPr>
              <w:t xml:space="preserve"> and </w:t>
            </w:r>
            <w:proofErr w:type="spellStart"/>
            <w:r w:rsidRPr="0035187E">
              <w:rPr>
                <w:rFonts w:ascii="Times New Roman" w:hAnsi="Times New Roman" w:cs="Times New Roman"/>
                <w:sz w:val="20"/>
                <w:szCs w:val="20"/>
              </w:rPr>
              <w:t>an</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Educational</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Intervention</w:t>
            </w:r>
            <w:proofErr w:type="spellEnd"/>
            <w:r w:rsidRPr="0035187E">
              <w:rPr>
                <w:rFonts w:ascii="Times New Roman" w:hAnsi="Times New Roman" w:cs="Times New Roman"/>
                <w:sz w:val="20"/>
                <w:szCs w:val="20"/>
              </w:rPr>
              <w:t xml:space="preserve"> on </w:t>
            </w:r>
            <w:proofErr w:type="spellStart"/>
            <w:r w:rsidRPr="0035187E">
              <w:rPr>
                <w:rFonts w:ascii="Times New Roman" w:hAnsi="Times New Roman" w:cs="Times New Roman"/>
                <w:sz w:val="20"/>
                <w:szCs w:val="20"/>
              </w:rPr>
              <w:t>Promoting</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Healthy</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Eating</w:t>
            </w:r>
            <w:proofErr w:type="spellEnd"/>
            <w:r w:rsidRPr="0035187E">
              <w:rPr>
                <w:rFonts w:ascii="Times New Roman" w:hAnsi="Times New Roman" w:cs="Times New Roman"/>
                <w:sz w:val="20"/>
                <w:szCs w:val="20"/>
              </w:rPr>
              <w:t xml:space="preserve"> in </w:t>
            </w:r>
            <w:proofErr w:type="spellStart"/>
            <w:r w:rsidRPr="0035187E">
              <w:rPr>
                <w:rFonts w:ascii="Times New Roman" w:hAnsi="Times New Roman" w:cs="Times New Roman"/>
                <w:sz w:val="20"/>
                <w:szCs w:val="20"/>
              </w:rPr>
              <w:t>Vulnerable</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Families</w:t>
            </w:r>
            <w:proofErr w:type="spellEnd"/>
            <w:r w:rsidRPr="0035187E">
              <w:rPr>
                <w:rFonts w:ascii="Times New Roman" w:hAnsi="Times New Roman" w:cs="Times New Roman"/>
                <w:sz w:val="20"/>
                <w:szCs w:val="20"/>
              </w:rPr>
              <w:t xml:space="preserve">: A Pilot Study." </w:t>
            </w:r>
            <w:proofErr w:type="spellStart"/>
            <w:r w:rsidRPr="0035187E">
              <w:rPr>
                <w:rFonts w:ascii="Times New Roman" w:hAnsi="Times New Roman" w:cs="Times New Roman"/>
                <w:sz w:val="20"/>
                <w:szCs w:val="20"/>
              </w:rPr>
              <w:t>Nutrients</w:t>
            </w:r>
            <w:proofErr w:type="spellEnd"/>
            <w:r w:rsidRPr="0035187E">
              <w:rPr>
                <w:rFonts w:ascii="Times New Roman" w:hAnsi="Times New Roman" w:cs="Times New Roman"/>
                <w:sz w:val="20"/>
                <w:szCs w:val="20"/>
              </w:rPr>
              <w:t>, 14(23), 4980. DOI: 10.3390/nu14234980. — Pilotní studie kombinující potravinové poukázky a edukaci dokládá jejich pozitivní dopad na zdravotní ukazatele.</w:t>
            </w:r>
          </w:p>
          <w:p w14:paraId="73EB2836" w14:textId="77777777" w:rsidR="00BE73FF" w:rsidRPr="0035187E" w:rsidRDefault="00BE73FF" w:rsidP="0035187E">
            <w:pPr>
              <w:pStyle w:val="xmsonormal"/>
              <w:jc w:val="both"/>
              <w:rPr>
                <w:rFonts w:ascii="Times New Roman" w:hAnsi="Times New Roman" w:cs="Times New Roman"/>
                <w:sz w:val="20"/>
                <w:szCs w:val="20"/>
              </w:rPr>
            </w:pPr>
            <w:proofErr w:type="spellStart"/>
            <w:r w:rsidRPr="0035187E">
              <w:rPr>
                <w:rFonts w:ascii="Times New Roman" w:hAnsi="Times New Roman" w:cs="Times New Roman"/>
                <w:sz w:val="20"/>
                <w:szCs w:val="20"/>
              </w:rPr>
              <w:t>Geaney</w:t>
            </w:r>
            <w:proofErr w:type="spellEnd"/>
            <w:r w:rsidRPr="0035187E">
              <w:rPr>
                <w:rFonts w:ascii="Times New Roman" w:hAnsi="Times New Roman" w:cs="Times New Roman"/>
                <w:sz w:val="20"/>
                <w:szCs w:val="20"/>
              </w:rPr>
              <w:t>, F. et al. (2013). „</w:t>
            </w:r>
            <w:proofErr w:type="spellStart"/>
            <w:r w:rsidRPr="0035187E">
              <w:rPr>
                <w:rFonts w:ascii="Times New Roman" w:hAnsi="Times New Roman" w:cs="Times New Roman"/>
                <w:sz w:val="20"/>
                <w:szCs w:val="20"/>
              </w:rPr>
              <w:t>The</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Effectiveness</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of</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Workplace</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Dietary</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Modification</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Interventions</w:t>
            </w:r>
            <w:proofErr w:type="spellEnd"/>
            <w:r w:rsidRPr="0035187E">
              <w:rPr>
                <w:rFonts w:ascii="Times New Roman" w:hAnsi="Times New Roman" w:cs="Times New Roman"/>
                <w:sz w:val="20"/>
                <w:szCs w:val="20"/>
              </w:rPr>
              <w:t xml:space="preserve">: A </w:t>
            </w:r>
            <w:proofErr w:type="spellStart"/>
            <w:r w:rsidRPr="0035187E">
              <w:rPr>
                <w:rFonts w:ascii="Times New Roman" w:hAnsi="Times New Roman" w:cs="Times New Roman"/>
                <w:sz w:val="20"/>
                <w:szCs w:val="20"/>
              </w:rPr>
              <w:t>Systematic</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Review</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Preventive</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Medicine</w:t>
            </w:r>
            <w:proofErr w:type="spellEnd"/>
            <w:r w:rsidRPr="0035187E">
              <w:rPr>
                <w:rFonts w:ascii="Times New Roman" w:hAnsi="Times New Roman" w:cs="Times New Roman"/>
                <w:sz w:val="20"/>
                <w:szCs w:val="20"/>
              </w:rPr>
              <w:t>, 57(5), 438–447. DOI: 10.1016/j.ypmed.2013.07.022. — Systematický přehled potvrzuje efektivitu dietních intervencí na pracovišti včetně pozitivního dopadu na spotřebu ovoce a zeleniny a zdravotní ukazatele.</w:t>
            </w:r>
          </w:p>
          <w:p w14:paraId="1F72946F" w14:textId="77777777" w:rsidR="00BE73FF" w:rsidRPr="0035187E" w:rsidRDefault="00BE73FF" w:rsidP="0035187E">
            <w:pPr>
              <w:pStyle w:val="xmsonormal"/>
              <w:jc w:val="both"/>
              <w:rPr>
                <w:rFonts w:ascii="Times New Roman" w:hAnsi="Times New Roman" w:cs="Times New Roman"/>
                <w:sz w:val="20"/>
                <w:szCs w:val="20"/>
              </w:rPr>
            </w:pPr>
            <w:proofErr w:type="spellStart"/>
            <w:r w:rsidRPr="0035187E">
              <w:rPr>
                <w:rFonts w:ascii="Times New Roman" w:hAnsi="Times New Roman" w:cs="Times New Roman"/>
                <w:sz w:val="20"/>
                <w:szCs w:val="20"/>
              </w:rPr>
              <w:t>Hutchinson</w:t>
            </w:r>
            <w:proofErr w:type="spellEnd"/>
            <w:r w:rsidRPr="0035187E">
              <w:rPr>
                <w:rFonts w:ascii="Times New Roman" w:hAnsi="Times New Roman" w:cs="Times New Roman"/>
                <w:sz w:val="20"/>
                <w:szCs w:val="20"/>
              </w:rPr>
              <w:t>, J. et al. (2018). „</w:t>
            </w:r>
            <w:proofErr w:type="spellStart"/>
            <w:r w:rsidRPr="0035187E">
              <w:rPr>
                <w:rFonts w:ascii="Times New Roman" w:hAnsi="Times New Roman" w:cs="Times New Roman"/>
                <w:sz w:val="20"/>
                <w:szCs w:val="20"/>
              </w:rPr>
              <w:t>The</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Effectiveness</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of</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Dietary</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Workplace</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Interventions</w:t>
            </w:r>
            <w:proofErr w:type="spellEnd"/>
            <w:r w:rsidRPr="0035187E">
              <w:rPr>
                <w:rFonts w:ascii="Times New Roman" w:hAnsi="Times New Roman" w:cs="Times New Roman"/>
                <w:sz w:val="20"/>
                <w:szCs w:val="20"/>
              </w:rPr>
              <w:t xml:space="preserve">: A </w:t>
            </w:r>
            <w:proofErr w:type="spellStart"/>
            <w:r w:rsidRPr="0035187E">
              <w:rPr>
                <w:rFonts w:ascii="Times New Roman" w:hAnsi="Times New Roman" w:cs="Times New Roman"/>
                <w:sz w:val="20"/>
                <w:szCs w:val="20"/>
              </w:rPr>
              <w:t>Systematic</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Review</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of</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Systematic</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Reviews</w:t>
            </w:r>
            <w:proofErr w:type="spellEnd"/>
            <w:r w:rsidRPr="0035187E">
              <w:rPr>
                <w:rFonts w:ascii="Times New Roman" w:hAnsi="Times New Roman" w:cs="Times New Roman"/>
                <w:sz w:val="20"/>
                <w:szCs w:val="20"/>
              </w:rPr>
              <w:t xml:space="preserve">." Public </w:t>
            </w:r>
            <w:proofErr w:type="spellStart"/>
            <w:r w:rsidRPr="0035187E">
              <w:rPr>
                <w:rFonts w:ascii="Times New Roman" w:hAnsi="Times New Roman" w:cs="Times New Roman"/>
                <w:sz w:val="20"/>
                <w:szCs w:val="20"/>
              </w:rPr>
              <w:t>Health</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Nutrition</w:t>
            </w:r>
            <w:proofErr w:type="spellEnd"/>
            <w:r w:rsidRPr="0035187E">
              <w:rPr>
                <w:rFonts w:ascii="Times New Roman" w:hAnsi="Times New Roman" w:cs="Times New Roman"/>
                <w:sz w:val="20"/>
                <w:szCs w:val="20"/>
              </w:rPr>
              <w:t xml:space="preserve">, 21(3), 521–531. DOI: 10.1017/S1368980018002257. — Přehled 21 systematických studií mapující účinky </w:t>
            </w:r>
            <w:proofErr w:type="spellStart"/>
            <w:r w:rsidRPr="0035187E">
              <w:rPr>
                <w:rFonts w:ascii="Times New Roman" w:hAnsi="Times New Roman" w:cs="Times New Roman"/>
                <w:sz w:val="20"/>
                <w:szCs w:val="20"/>
              </w:rPr>
              <w:t>pracovištních</w:t>
            </w:r>
            <w:proofErr w:type="spellEnd"/>
            <w:r w:rsidRPr="0035187E">
              <w:rPr>
                <w:rFonts w:ascii="Times New Roman" w:hAnsi="Times New Roman" w:cs="Times New Roman"/>
                <w:sz w:val="20"/>
                <w:szCs w:val="20"/>
              </w:rPr>
              <w:t xml:space="preserve"> dietních intervencí na stravovací návyky, zdravotní ukazatele (BMI, krevní tlak, hladina lipidů) i ekonomické výsledky (absence, nemocnost, produktivita, návratnost investice).</w:t>
            </w:r>
          </w:p>
          <w:p w14:paraId="09B520B2" w14:textId="77777777" w:rsidR="00BE73FF" w:rsidRPr="0035187E" w:rsidRDefault="00BE73FF" w:rsidP="0035187E">
            <w:pPr>
              <w:pStyle w:val="xmsonormal"/>
              <w:jc w:val="both"/>
              <w:rPr>
                <w:rFonts w:ascii="Times New Roman" w:hAnsi="Times New Roman" w:cs="Times New Roman"/>
                <w:sz w:val="20"/>
                <w:szCs w:val="20"/>
              </w:rPr>
            </w:pPr>
            <w:proofErr w:type="spellStart"/>
            <w:r w:rsidRPr="0035187E">
              <w:rPr>
                <w:rFonts w:ascii="Times New Roman" w:hAnsi="Times New Roman" w:cs="Times New Roman"/>
                <w:sz w:val="20"/>
                <w:szCs w:val="20"/>
              </w:rPr>
              <w:t>Bogaert</w:t>
            </w:r>
            <w:proofErr w:type="spellEnd"/>
            <w:r w:rsidRPr="0035187E">
              <w:rPr>
                <w:rFonts w:ascii="Times New Roman" w:hAnsi="Times New Roman" w:cs="Times New Roman"/>
                <w:sz w:val="20"/>
                <w:szCs w:val="20"/>
              </w:rPr>
              <w:t>, Y. E. et al. (2021). „</w:t>
            </w:r>
            <w:proofErr w:type="spellStart"/>
            <w:r w:rsidRPr="0035187E">
              <w:rPr>
                <w:rFonts w:ascii="Times New Roman" w:hAnsi="Times New Roman" w:cs="Times New Roman"/>
                <w:sz w:val="20"/>
                <w:szCs w:val="20"/>
              </w:rPr>
              <w:t>Assessing</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the</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Impact</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of</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Workforce</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Nutrition</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Programmes</w:t>
            </w:r>
            <w:proofErr w:type="spellEnd"/>
            <w:r w:rsidRPr="0035187E">
              <w:rPr>
                <w:rFonts w:ascii="Times New Roman" w:hAnsi="Times New Roman" w:cs="Times New Roman"/>
                <w:sz w:val="20"/>
                <w:szCs w:val="20"/>
              </w:rPr>
              <w:t xml:space="preserve"> on </w:t>
            </w:r>
            <w:proofErr w:type="spellStart"/>
            <w:r w:rsidRPr="0035187E">
              <w:rPr>
                <w:rFonts w:ascii="Times New Roman" w:hAnsi="Times New Roman" w:cs="Times New Roman"/>
                <w:sz w:val="20"/>
                <w:szCs w:val="20"/>
              </w:rPr>
              <w:t>Nutrition</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Health</w:t>
            </w:r>
            <w:proofErr w:type="spellEnd"/>
            <w:r w:rsidRPr="0035187E">
              <w:rPr>
                <w:rFonts w:ascii="Times New Roman" w:hAnsi="Times New Roman" w:cs="Times New Roman"/>
                <w:sz w:val="20"/>
                <w:szCs w:val="20"/>
              </w:rPr>
              <w:t xml:space="preserve"> and Business </w:t>
            </w:r>
            <w:proofErr w:type="spellStart"/>
            <w:r w:rsidRPr="0035187E">
              <w:rPr>
                <w:rFonts w:ascii="Times New Roman" w:hAnsi="Times New Roman" w:cs="Times New Roman"/>
                <w:sz w:val="20"/>
                <w:szCs w:val="20"/>
              </w:rPr>
              <w:t>Outcomes</w:t>
            </w:r>
            <w:proofErr w:type="spellEnd"/>
            <w:r w:rsidRPr="0035187E">
              <w:rPr>
                <w:rFonts w:ascii="Times New Roman" w:hAnsi="Times New Roman" w:cs="Times New Roman"/>
                <w:sz w:val="20"/>
                <w:szCs w:val="20"/>
              </w:rPr>
              <w:t xml:space="preserve">: A </w:t>
            </w:r>
            <w:proofErr w:type="spellStart"/>
            <w:r w:rsidRPr="0035187E">
              <w:rPr>
                <w:rFonts w:ascii="Times New Roman" w:hAnsi="Times New Roman" w:cs="Times New Roman"/>
                <w:sz w:val="20"/>
                <w:szCs w:val="20"/>
              </w:rPr>
              <w:t>Review</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of</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the</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Global</w:t>
            </w:r>
            <w:proofErr w:type="spellEnd"/>
            <w:r w:rsidRPr="0035187E">
              <w:rPr>
                <w:rFonts w:ascii="Times New Roman" w:hAnsi="Times New Roman" w:cs="Times New Roman"/>
                <w:sz w:val="20"/>
                <w:szCs w:val="20"/>
              </w:rPr>
              <w:t xml:space="preserve"> Evidence." </w:t>
            </w:r>
            <w:proofErr w:type="spellStart"/>
            <w:r w:rsidRPr="0035187E">
              <w:rPr>
                <w:rFonts w:ascii="Times New Roman" w:hAnsi="Times New Roman" w:cs="Times New Roman"/>
                <w:sz w:val="20"/>
                <w:szCs w:val="20"/>
              </w:rPr>
              <w:t>Nutrients</w:t>
            </w:r>
            <w:proofErr w:type="spellEnd"/>
            <w:r w:rsidRPr="0035187E">
              <w:rPr>
                <w:rFonts w:ascii="Times New Roman" w:hAnsi="Times New Roman" w:cs="Times New Roman"/>
                <w:sz w:val="20"/>
                <w:szCs w:val="20"/>
              </w:rPr>
              <w:t xml:space="preserve">, 15(9), 2146. DOI: 10.3390/nu15092146. — Přehled studií na základě databáze </w:t>
            </w:r>
            <w:proofErr w:type="spellStart"/>
            <w:r w:rsidRPr="0035187E">
              <w:rPr>
                <w:rFonts w:ascii="Times New Roman" w:hAnsi="Times New Roman" w:cs="Times New Roman"/>
                <w:sz w:val="20"/>
                <w:szCs w:val="20"/>
              </w:rPr>
              <w:t>PubMed</w:t>
            </w:r>
            <w:proofErr w:type="spellEnd"/>
            <w:r w:rsidRPr="0035187E">
              <w:rPr>
                <w:rFonts w:ascii="Times New Roman" w:hAnsi="Times New Roman" w:cs="Times New Roman"/>
                <w:sz w:val="20"/>
                <w:szCs w:val="20"/>
              </w:rPr>
              <w:t xml:space="preserve"> zahrnující systematické přehledy a randomizované kontrolované studie z let 2010–2021 ukazuje, že programy pracovní výživy včetně dotovaného stravování mají pozitivní vliv na výživu, zdraví i obchodní výsledky zaměstnavatelů.</w:t>
            </w:r>
          </w:p>
          <w:p w14:paraId="04B41340" w14:textId="77777777" w:rsidR="00BE73FF" w:rsidRPr="0035187E" w:rsidRDefault="00BE73FF" w:rsidP="0035187E">
            <w:pPr>
              <w:pStyle w:val="xmsonormal"/>
              <w:jc w:val="both"/>
              <w:rPr>
                <w:rFonts w:ascii="Times New Roman" w:hAnsi="Times New Roman" w:cs="Times New Roman"/>
                <w:sz w:val="20"/>
                <w:szCs w:val="20"/>
              </w:rPr>
            </w:pPr>
            <w:r w:rsidRPr="0035187E">
              <w:rPr>
                <w:rFonts w:ascii="Times New Roman" w:hAnsi="Times New Roman" w:cs="Times New Roman"/>
                <w:sz w:val="20"/>
                <w:szCs w:val="20"/>
              </w:rPr>
              <w:t xml:space="preserve">Ranil </w:t>
            </w:r>
            <w:proofErr w:type="spellStart"/>
            <w:r w:rsidRPr="0035187E">
              <w:rPr>
                <w:rFonts w:ascii="Times New Roman" w:hAnsi="Times New Roman" w:cs="Times New Roman"/>
                <w:sz w:val="20"/>
                <w:szCs w:val="20"/>
              </w:rPr>
              <w:t>Jayawardena</w:t>
            </w:r>
            <w:proofErr w:type="spellEnd"/>
            <w:r w:rsidRPr="0035187E">
              <w:rPr>
                <w:rFonts w:ascii="Times New Roman" w:hAnsi="Times New Roman" w:cs="Times New Roman"/>
                <w:sz w:val="20"/>
                <w:szCs w:val="20"/>
              </w:rPr>
              <w:t xml:space="preserve"> et al. (2021). „</w:t>
            </w:r>
            <w:proofErr w:type="spellStart"/>
            <w:r w:rsidRPr="0035187E">
              <w:rPr>
                <w:rFonts w:ascii="Times New Roman" w:hAnsi="Times New Roman" w:cs="Times New Roman"/>
                <w:sz w:val="20"/>
                <w:szCs w:val="20"/>
              </w:rPr>
              <w:t>Effectiveness</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of</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Workplace</w:t>
            </w:r>
            <w:proofErr w:type="spellEnd"/>
            <w:r w:rsidRPr="0035187E">
              <w:rPr>
                <w:rFonts w:ascii="Times New Roman" w:hAnsi="Times New Roman" w:cs="Times New Roman"/>
                <w:sz w:val="20"/>
                <w:szCs w:val="20"/>
              </w:rPr>
              <w:t xml:space="preserve"> Wellness </w:t>
            </w:r>
            <w:proofErr w:type="spellStart"/>
            <w:r w:rsidRPr="0035187E">
              <w:rPr>
                <w:rFonts w:ascii="Times New Roman" w:hAnsi="Times New Roman" w:cs="Times New Roman"/>
                <w:sz w:val="20"/>
                <w:szCs w:val="20"/>
              </w:rPr>
              <w:t>Programmes</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for</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Dietary</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Habits</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Overweight</w:t>
            </w:r>
            <w:proofErr w:type="spellEnd"/>
            <w:r w:rsidRPr="0035187E">
              <w:rPr>
                <w:rFonts w:ascii="Times New Roman" w:hAnsi="Times New Roman" w:cs="Times New Roman"/>
                <w:sz w:val="20"/>
                <w:szCs w:val="20"/>
              </w:rPr>
              <w:t xml:space="preserve">, and </w:t>
            </w:r>
            <w:proofErr w:type="spellStart"/>
            <w:r w:rsidRPr="0035187E">
              <w:rPr>
                <w:rFonts w:ascii="Times New Roman" w:hAnsi="Times New Roman" w:cs="Times New Roman"/>
                <w:sz w:val="20"/>
                <w:szCs w:val="20"/>
              </w:rPr>
              <w:t>Cardiometabolic</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Health</w:t>
            </w:r>
            <w:proofErr w:type="spellEnd"/>
            <w:r w:rsidRPr="0035187E">
              <w:rPr>
                <w:rFonts w:ascii="Times New Roman" w:hAnsi="Times New Roman" w:cs="Times New Roman"/>
                <w:sz w:val="20"/>
                <w:szCs w:val="20"/>
              </w:rPr>
              <w:t xml:space="preserve">: A </w:t>
            </w:r>
            <w:proofErr w:type="spellStart"/>
            <w:r w:rsidRPr="0035187E">
              <w:rPr>
                <w:rFonts w:ascii="Times New Roman" w:hAnsi="Times New Roman" w:cs="Times New Roman"/>
                <w:sz w:val="20"/>
                <w:szCs w:val="20"/>
              </w:rPr>
              <w:t>Systematic</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Review</w:t>
            </w:r>
            <w:proofErr w:type="spellEnd"/>
            <w:r w:rsidRPr="0035187E">
              <w:rPr>
                <w:rFonts w:ascii="Times New Roman" w:hAnsi="Times New Roman" w:cs="Times New Roman"/>
                <w:sz w:val="20"/>
                <w:szCs w:val="20"/>
              </w:rPr>
              <w:t xml:space="preserve"> and Meta-</w:t>
            </w:r>
            <w:proofErr w:type="spellStart"/>
            <w:r w:rsidRPr="0035187E">
              <w:rPr>
                <w:rFonts w:ascii="Times New Roman" w:hAnsi="Times New Roman" w:cs="Times New Roman"/>
                <w:sz w:val="20"/>
                <w:szCs w:val="20"/>
              </w:rPr>
              <w:t>analysis</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The</w:t>
            </w:r>
            <w:proofErr w:type="spellEnd"/>
            <w:r w:rsidRPr="0035187E">
              <w:rPr>
                <w:rFonts w:ascii="Times New Roman" w:hAnsi="Times New Roman" w:cs="Times New Roman"/>
                <w:sz w:val="20"/>
                <w:szCs w:val="20"/>
              </w:rPr>
              <w:t xml:space="preserve"> Lancet Public </w:t>
            </w:r>
            <w:proofErr w:type="spellStart"/>
            <w:r w:rsidRPr="0035187E">
              <w:rPr>
                <w:rFonts w:ascii="Times New Roman" w:hAnsi="Times New Roman" w:cs="Times New Roman"/>
                <w:sz w:val="20"/>
                <w:szCs w:val="20"/>
              </w:rPr>
              <w:t>Health</w:t>
            </w:r>
            <w:proofErr w:type="spellEnd"/>
            <w:r w:rsidRPr="0035187E">
              <w:rPr>
                <w:rFonts w:ascii="Times New Roman" w:hAnsi="Times New Roman" w:cs="Times New Roman"/>
                <w:sz w:val="20"/>
                <w:szCs w:val="20"/>
              </w:rPr>
              <w:t xml:space="preserve">, 6(9), e648–e660. DOI: 10.1016/S2468-2667(21)00140-7. — Metaanalýza 121 studií (z nichž 82 bylo randomizovaných kontrolovaných) publikovaná v prestižním </w:t>
            </w:r>
            <w:proofErr w:type="spellStart"/>
            <w:r w:rsidRPr="0035187E">
              <w:rPr>
                <w:rFonts w:ascii="Times New Roman" w:hAnsi="Times New Roman" w:cs="Times New Roman"/>
                <w:sz w:val="20"/>
                <w:szCs w:val="20"/>
              </w:rPr>
              <w:t>The</w:t>
            </w:r>
            <w:proofErr w:type="spellEnd"/>
            <w:r w:rsidRPr="0035187E">
              <w:rPr>
                <w:rFonts w:ascii="Times New Roman" w:hAnsi="Times New Roman" w:cs="Times New Roman"/>
                <w:sz w:val="20"/>
                <w:szCs w:val="20"/>
              </w:rPr>
              <w:t xml:space="preserve"> Lancet dokládá, že </w:t>
            </w:r>
            <w:proofErr w:type="spellStart"/>
            <w:r w:rsidRPr="0035187E">
              <w:rPr>
                <w:rFonts w:ascii="Times New Roman" w:hAnsi="Times New Roman" w:cs="Times New Roman"/>
                <w:sz w:val="20"/>
                <w:szCs w:val="20"/>
              </w:rPr>
              <w:t>pracovištní</w:t>
            </w:r>
            <w:proofErr w:type="spellEnd"/>
            <w:r w:rsidRPr="0035187E">
              <w:rPr>
                <w:rFonts w:ascii="Times New Roman" w:hAnsi="Times New Roman" w:cs="Times New Roman"/>
                <w:sz w:val="20"/>
                <w:szCs w:val="20"/>
              </w:rPr>
              <w:t xml:space="preserve"> wellness programy jsou asociovány se zlepšením spotřeby ovoce a zeleniny, snížením tělesné hmotnosti a BMI a potenciálním zlepšením kardiovaskulárních rizikových faktorů.</w:t>
            </w:r>
          </w:p>
          <w:p w14:paraId="001F6DB3" w14:textId="0B5335C7" w:rsidR="00BE73FF" w:rsidRPr="0035187E" w:rsidRDefault="00BE73FF" w:rsidP="0035187E">
            <w:pPr>
              <w:widowControl w:val="0"/>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GAIN – </w:t>
            </w:r>
            <w:proofErr w:type="spellStart"/>
            <w:r w:rsidRPr="0035187E">
              <w:rPr>
                <w:rFonts w:ascii="Times New Roman" w:hAnsi="Times New Roman" w:cs="Times New Roman"/>
                <w:sz w:val="20"/>
                <w:szCs w:val="20"/>
              </w:rPr>
              <w:t>Global</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Alliance</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for</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Improved</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Nutrition</w:t>
            </w:r>
            <w:proofErr w:type="spellEnd"/>
            <w:r w:rsidRPr="0035187E">
              <w:rPr>
                <w:rFonts w:ascii="Times New Roman" w:hAnsi="Times New Roman" w:cs="Times New Roman"/>
                <w:sz w:val="20"/>
                <w:szCs w:val="20"/>
              </w:rPr>
              <w:t xml:space="preserve"> (2019). Evidence </w:t>
            </w:r>
            <w:proofErr w:type="spellStart"/>
            <w:r w:rsidRPr="0035187E">
              <w:rPr>
                <w:rFonts w:ascii="Times New Roman" w:hAnsi="Times New Roman" w:cs="Times New Roman"/>
                <w:sz w:val="20"/>
                <w:szCs w:val="20"/>
              </w:rPr>
              <w:t>Brief</w:t>
            </w:r>
            <w:proofErr w:type="spellEnd"/>
            <w:r w:rsidRPr="0035187E">
              <w:rPr>
                <w:rFonts w:ascii="Times New Roman" w:hAnsi="Times New Roman" w:cs="Times New Roman"/>
                <w:sz w:val="20"/>
                <w:szCs w:val="20"/>
              </w:rPr>
              <w:t xml:space="preserve"> 1: </w:t>
            </w:r>
            <w:proofErr w:type="spellStart"/>
            <w:r w:rsidRPr="0035187E">
              <w:rPr>
                <w:rFonts w:ascii="Times New Roman" w:hAnsi="Times New Roman" w:cs="Times New Roman"/>
                <w:sz w:val="20"/>
                <w:szCs w:val="20"/>
              </w:rPr>
              <w:t>Healthy</w:t>
            </w:r>
            <w:proofErr w:type="spellEnd"/>
            <w:r w:rsidRPr="0035187E">
              <w:rPr>
                <w:rFonts w:ascii="Times New Roman" w:hAnsi="Times New Roman" w:cs="Times New Roman"/>
                <w:sz w:val="20"/>
                <w:szCs w:val="20"/>
              </w:rPr>
              <w:t xml:space="preserve"> Food </w:t>
            </w:r>
            <w:proofErr w:type="spellStart"/>
            <w:r w:rsidRPr="0035187E">
              <w:rPr>
                <w:rFonts w:ascii="Times New Roman" w:hAnsi="Times New Roman" w:cs="Times New Roman"/>
                <w:sz w:val="20"/>
                <w:szCs w:val="20"/>
              </w:rPr>
              <w:t>at</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Work</w:t>
            </w:r>
            <w:proofErr w:type="spellEnd"/>
            <w:r w:rsidRPr="0035187E">
              <w:rPr>
                <w:rFonts w:ascii="Times New Roman" w:hAnsi="Times New Roman" w:cs="Times New Roman"/>
                <w:sz w:val="20"/>
                <w:szCs w:val="20"/>
              </w:rPr>
              <w:t xml:space="preserve">. — Přehled GAIN zdůrazňuje, že 58 % světové populace stráví třetinu dospělého života v práci, kde pracovní zdraví zásadně ovlivňuje celkovou pohodu, a cituje přitom výsledky vědeckých studií o efektivitě </w:t>
            </w:r>
            <w:proofErr w:type="spellStart"/>
            <w:r w:rsidRPr="0035187E">
              <w:rPr>
                <w:rFonts w:ascii="Times New Roman" w:hAnsi="Times New Roman" w:cs="Times New Roman"/>
                <w:sz w:val="20"/>
                <w:szCs w:val="20"/>
              </w:rPr>
              <w:t>pracovištních</w:t>
            </w:r>
            <w:proofErr w:type="spellEnd"/>
            <w:r w:rsidRPr="0035187E">
              <w:rPr>
                <w:rFonts w:ascii="Times New Roman" w:hAnsi="Times New Roman" w:cs="Times New Roman"/>
                <w:sz w:val="20"/>
                <w:szCs w:val="20"/>
              </w:rPr>
              <w:t xml:space="preserve"> dietních intervencí.</w:t>
            </w:r>
          </w:p>
        </w:tc>
        <w:tc>
          <w:tcPr>
            <w:tcW w:w="1453" w:type="pct"/>
            <w:tcBorders>
              <w:top w:val="single" w:sz="4" w:space="0" w:color="auto"/>
              <w:left w:val="single" w:sz="4" w:space="0" w:color="auto"/>
              <w:right w:val="single" w:sz="4" w:space="0" w:color="auto"/>
            </w:tcBorders>
            <w:shd w:val="clear" w:color="auto" w:fill="auto"/>
          </w:tcPr>
          <w:p w14:paraId="5F9420F2" w14:textId="77777777" w:rsidR="0021049C" w:rsidRPr="0035187E" w:rsidRDefault="0021049C"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Nevyhověno.</w:t>
            </w:r>
          </w:p>
          <w:p w14:paraId="0DC66095" w14:textId="611ED701" w:rsidR="0021049C" w:rsidRPr="0035187E" w:rsidRDefault="0021049C" w:rsidP="0035187E">
            <w:pPr>
              <w:jc w:val="both"/>
              <w:rPr>
                <w:rFonts w:ascii="Times New Roman" w:hAnsi="Times New Roman" w:cs="Times New Roman"/>
                <w:sz w:val="20"/>
                <w:szCs w:val="20"/>
              </w:rPr>
            </w:pPr>
            <w:r w:rsidRPr="0035187E">
              <w:rPr>
                <w:rFonts w:ascii="Times New Roman" w:hAnsi="Times New Roman" w:cs="Times New Roman"/>
                <w:sz w:val="20"/>
                <w:szCs w:val="20"/>
              </w:rPr>
              <w:t>Podnět přesahuje rámec navrhované úpravy zákona o evidenci tržeb.</w:t>
            </w:r>
          </w:p>
          <w:p w14:paraId="0077746F" w14:textId="77777777" w:rsidR="00BE73FF" w:rsidRDefault="0021049C" w:rsidP="0035187E">
            <w:pPr>
              <w:jc w:val="both"/>
              <w:rPr>
                <w:rFonts w:ascii="Times New Roman" w:hAnsi="Times New Roman" w:cs="Times New Roman"/>
                <w:sz w:val="20"/>
                <w:szCs w:val="20"/>
              </w:rPr>
            </w:pPr>
            <w:r w:rsidRPr="0035187E">
              <w:rPr>
                <w:rFonts w:ascii="Times New Roman" w:hAnsi="Times New Roman" w:cs="Times New Roman"/>
                <w:sz w:val="20"/>
                <w:szCs w:val="20"/>
              </w:rPr>
              <w:t>Z pohledu zdravotní politiky a prevence nelze garantovat, že zvýšení limitu příspěvku na stravování skutečně povede k lepší stravovací kultuře nebo ke snížení civilizačních onemocnění. Podpora zdravého životního stylu vyžaduje komplexní a systematický přístup zahrnující vzdělávání, osvětu, regulaci nabídky potravin a celkovou strategii veřejného zdraví, nikoli pouze parametrické zvyšování daňového osvobození u jedné formy zaměstnaneckého příspěvku. Navrhované opatření je navíc nesystémové, protože zvýšení daňového osvobození se vztahuje pouze na nepeněžní formu příspěvku (vč. např. stravenek), zatímco peněžitý příspěvek zůstává omezen na nižší hranici. Zaměstnanec, který by platil oběd v restauračním zařízení v hotovosti, by byl znevýhodněn oproti zaměstnanci, který by stejný oběd odebíral za stravenku.</w:t>
            </w:r>
          </w:p>
          <w:p w14:paraId="7E268098" w14:textId="77777777" w:rsidR="00EA2D6F" w:rsidRDefault="00EA2D6F" w:rsidP="0035187E">
            <w:pPr>
              <w:jc w:val="both"/>
              <w:rPr>
                <w:rFonts w:ascii="Times New Roman" w:hAnsi="Times New Roman" w:cs="Times New Roman"/>
                <w:sz w:val="20"/>
                <w:szCs w:val="20"/>
              </w:rPr>
            </w:pPr>
          </w:p>
          <w:p w14:paraId="50C01670" w14:textId="307B5394" w:rsidR="00EA2D6F" w:rsidRPr="0035187E" w:rsidRDefault="00EA2D6F" w:rsidP="0035187E">
            <w:pPr>
              <w:jc w:val="both"/>
              <w:rPr>
                <w:rFonts w:ascii="Times New Roman" w:hAnsi="Times New Roman" w:cs="Times New Roman"/>
                <w:sz w:val="20"/>
                <w:szCs w:val="20"/>
              </w:rPr>
            </w:pPr>
            <w:r w:rsidRPr="00EA2D6F">
              <w:rPr>
                <w:rFonts w:ascii="Times New Roman" w:hAnsi="Times New Roman" w:cs="Times New Roman"/>
                <w:i/>
                <w:iCs/>
                <w:sz w:val="20"/>
                <w:szCs w:val="20"/>
              </w:rPr>
              <w:t>Vyjádření připomínkového místa po jednání dne 10. dubna 2026: vypořádání připomínky bere na vědomí a nebude trvat na rozporu.</w:t>
            </w:r>
          </w:p>
        </w:tc>
      </w:tr>
      <w:tr w:rsidR="0035187E" w:rsidRPr="0035187E" w14:paraId="5483BBD5"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9E1143F" w14:textId="0CBA2335"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11.</w:t>
            </w:r>
          </w:p>
        </w:tc>
        <w:tc>
          <w:tcPr>
            <w:tcW w:w="583" w:type="pct"/>
            <w:tcBorders>
              <w:top w:val="single" w:sz="4" w:space="0" w:color="auto"/>
              <w:left w:val="single" w:sz="4" w:space="0" w:color="auto"/>
              <w:right w:val="single" w:sz="4" w:space="0" w:color="auto"/>
            </w:tcBorders>
            <w:shd w:val="clear" w:color="auto" w:fill="auto"/>
          </w:tcPr>
          <w:p w14:paraId="0AD274A7" w14:textId="5BE56252"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zdravotnictví</w:t>
            </w:r>
          </w:p>
        </w:tc>
        <w:tc>
          <w:tcPr>
            <w:tcW w:w="168" w:type="pct"/>
            <w:tcBorders>
              <w:top w:val="single" w:sz="4" w:space="0" w:color="auto"/>
              <w:left w:val="single" w:sz="4" w:space="0" w:color="auto"/>
              <w:right w:val="single" w:sz="4" w:space="0" w:color="auto"/>
            </w:tcBorders>
            <w:shd w:val="clear" w:color="auto" w:fill="auto"/>
          </w:tcPr>
          <w:p w14:paraId="46D1F43F" w14:textId="07A3128B"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5.</w:t>
            </w:r>
          </w:p>
        </w:tc>
        <w:tc>
          <w:tcPr>
            <w:tcW w:w="169" w:type="pct"/>
            <w:tcBorders>
              <w:top w:val="single" w:sz="4" w:space="0" w:color="auto"/>
              <w:left w:val="single" w:sz="4" w:space="0" w:color="auto"/>
              <w:right w:val="single" w:sz="4" w:space="0" w:color="auto"/>
            </w:tcBorders>
            <w:shd w:val="clear" w:color="auto" w:fill="auto"/>
          </w:tcPr>
          <w:p w14:paraId="7F93FCF5" w14:textId="160B12E0"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right w:val="single" w:sz="4" w:space="0" w:color="F3F3F3"/>
            </w:tcBorders>
            <w:shd w:val="clear" w:color="auto" w:fill="auto"/>
          </w:tcPr>
          <w:p w14:paraId="30434AA9" w14:textId="5BA4DEFC" w:rsidR="00BE73FF" w:rsidRPr="0035187E" w:rsidRDefault="00BE73FF" w:rsidP="0035187E">
            <w:pPr>
              <w:widowControl w:val="0"/>
              <w:autoSpaceDE w:val="0"/>
              <w:autoSpaceDN w:val="0"/>
              <w:adjustRightInd w:val="0"/>
              <w:jc w:val="both"/>
              <w:rPr>
                <w:rFonts w:ascii="Times New Roman" w:hAnsi="Times New Roman" w:cs="Times New Roman"/>
                <w:b/>
                <w:bCs/>
                <w:sz w:val="20"/>
                <w:szCs w:val="20"/>
              </w:rPr>
            </w:pPr>
            <w:r w:rsidRPr="0035187E">
              <w:rPr>
                <w:rFonts w:ascii="Times New Roman" w:hAnsi="Times New Roman" w:cs="Times New Roman"/>
                <w:b/>
                <w:bCs/>
                <w:sz w:val="20"/>
                <w:szCs w:val="20"/>
              </w:rPr>
              <w:t>Doporučující připomínky:</w:t>
            </w:r>
          </w:p>
          <w:p w14:paraId="5F0B5FC8" w14:textId="77777777" w:rsidR="00BE73FF" w:rsidRPr="0035187E" w:rsidRDefault="00BE73FF" w:rsidP="0035187E">
            <w:pPr>
              <w:widowControl w:val="0"/>
              <w:autoSpaceDE w:val="0"/>
              <w:autoSpaceDN w:val="0"/>
              <w:adjustRightInd w:val="0"/>
              <w:jc w:val="both"/>
              <w:rPr>
                <w:rFonts w:ascii="Times New Roman" w:hAnsi="Times New Roman" w:cs="Times New Roman"/>
                <w:b/>
                <w:bCs/>
                <w:sz w:val="20"/>
                <w:szCs w:val="20"/>
              </w:rPr>
            </w:pPr>
          </w:p>
          <w:p w14:paraId="45A9B3DE" w14:textId="77777777" w:rsidR="00BE73FF" w:rsidRPr="0035187E" w:rsidRDefault="00BE73FF" w:rsidP="0035187E">
            <w:pPr>
              <w:pStyle w:val="xmsonormal"/>
              <w:jc w:val="both"/>
              <w:rPr>
                <w:rFonts w:ascii="Times New Roman" w:hAnsi="Times New Roman" w:cs="Times New Roman"/>
                <w:b/>
                <w:bCs/>
                <w:sz w:val="20"/>
                <w:szCs w:val="20"/>
              </w:rPr>
            </w:pPr>
            <w:r w:rsidRPr="0035187E">
              <w:rPr>
                <w:rFonts w:ascii="Times New Roman" w:hAnsi="Times New Roman" w:cs="Times New Roman"/>
                <w:b/>
                <w:bCs/>
                <w:sz w:val="20"/>
                <w:szCs w:val="20"/>
              </w:rPr>
              <w:t>K části první hlavě druhé dílu 3 § 12 odst. 4 písm. d)</w:t>
            </w:r>
          </w:p>
          <w:p w14:paraId="6B5C4EAB" w14:textId="1A6624F7" w:rsidR="00BE73FF" w:rsidRPr="0035187E" w:rsidRDefault="00BE73FF" w:rsidP="0035187E">
            <w:pPr>
              <w:widowControl w:val="0"/>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Navrhujeme na konci textu písmene d) čárku nahradit tečkou, neboť se jedná o konec výčtu.</w:t>
            </w:r>
          </w:p>
        </w:tc>
        <w:tc>
          <w:tcPr>
            <w:tcW w:w="1453" w:type="pct"/>
            <w:tcBorders>
              <w:top w:val="single" w:sz="4" w:space="0" w:color="auto"/>
              <w:left w:val="single" w:sz="4" w:space="0" w:color="auto"/>
              <w:right w:val="single" w:sz="4" w:space="0" w:color="auto"/>
            </w:tcBorders>
            <w:shd w:val="clear" w:color="auto" w:fill="auto"/>
          </w:tcPr>
          <w:p w14:paraId="7D05C56E" w14:textId="77777777" w:rsidR="00BE73FF" w:rsidRPr="0035187E" w:rsidRDefault="00BE73FF"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Vyhověno.</w:t>
            </w:r>
          </w:p>
          <w:p w14:paraId="4F42E623" w14:textId="61740106"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tc>
      </w:tr>
      <w:tr w:rsidR="0035187E" w:rsidRPr="0035187E" w14:paraId="21CCE91C"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CC9C287" w14:textId="09F9DB3A"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11.</w:t>
            </w:r>
          </w:p>
        </w:tc>
        <w:tc>
          <w:tcPr>
            <w:tcW w:w="583" w:type="pct"/>
            <w:tcBorders>
              <w:top w:val="single" w:sz="4" w:space="0" w:color="auto"/>
              <w:left w:val="single" w:sz="4" w:space="0" w:color="auto"/>
              <w:right w:val="single" w:sz="4" w:space="0" w:color="auto"/>
            </w:tcBorders>
            <w:shd w:val="clear" w:color="auto" w:fill="auto"/>
          </w:tcPr>
          <w:p w14:paraId="4338A151" w14:textId="515C0813"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zdravotnictví</w:t>
            </w:r>
          </w:p>
        </w:tc>
        <w:tc>
          <w:tcPr>
            <w:tcW w:w="168" w:type="pct"/>
            <w:tcBorders>
              <w:top w:val="single" w:sz="4" w:space="0" w:color="auto"/>
              <w:left w:val="single" w:sz="4" w:space="0" w:color="auto"/>
              <w:right w:val="single" w:sz="4" w:space="0" w:color="auto"/>
            </w:tcBorders>
            <w:shd w:val="clear" w:color="auto" w:fill="auto"/>
          </w:tcPr>
          <w:p w14:paraId="6E9165F5" w14:textId="41DE7511"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6.</w:t>
            </w:r>
          </w:p>
        </w:tc>
        <w:tc>
          <w:tcPr>
            <w:tcW w:w="169" w:type="pct"/>
            <w:tcBorders>
              <w:top w:val="single" w:sz="4" w:space="0" w:color="auto"/>
              <w:left w:val="single" w:sz="4" w:space="0" w:color="auto"/>
              <w:right w:val="single" w:sz="4" w:space="0" w:color="auto"/>
            </w:tcBorders>
            <w:shd w:val="clear" w:color="auto" w:fill="auto"/>
          </w:tcPr>
          <w:p w14:paraId="5B01576C" w14:textId="0E3DDFE6"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right w:val="single" w:sz="4" w:space="0" w:color="F3F3F3"/>
            </w:tcBorders>
            <w:shd w:val="clear" w:color="auto" w:fill="auto"/>
          </w:tcPr>
          <w:p w14:paraId="6DF43815" w14:textId="77777777" w:rsidR="00BE73FF" w:rsidRPr="0035187E" w:rsidRDefault="00BE73FF" w:rsidP="0035187E">
            <w:pPr>
              <w:jc w:val="both"/>
              <w:rPr>
                <w:rFonts w:ascii="Times New Roman" w:eastAsia="Calibri" w:hAnsi="Times New Roman" w:cs="Times New Roman"/>
                <w:b/>
                <w:bCs/>
                <w:sz w:val="20"/>
                <w:szCs w:val="20"/>
              </w:rPr>
            </w:pPr>
            <w:r w:rsidRPr="0035187E">
              <w:rPr>
                <w:rFonts w:ascii="Times New Roman" w:eastAsia="Calibri" w:hAnsi="Times New Roman" w:cs="Times New Roman"/>
                <w:b/>
                <w:bCs/>
                <w:sz w:val="20"/>
                <w:szCs w:val="20"/>
              </w:rPr>
              <w:t>K části první hlavě druhé dílu 3 § 12 odst. 5</w:t>
            </w:r>
          </w:p>
          <w:p w14:paraId="5D83A7F8" w14:textId="4D18639B" w:rsidR="00BE73FF" w:rsidRPr="0035187E" w:rsidRDefault="00BE73FF" w:rsidP="0035187E">
            <w:pPr>
              <w:widowControl w:val="0"/>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Navrhujeme opravit chybný odkaz „odstavci 3 písm. a)“, neboť v odstavci 3 není písmeno a).</w:t>
            </w:r>
          </w:p>
        </w:tc>
        <w:tc>
          <w:tcPr>
            <w:tcW w:w="1453" w:type="pct"/>
            <w:tcBorders>
              <w:top w:val="single" w:sz="4" w:space="0" w:color="auto"/>
              <w:left w:val="single" w:sz="4" w:space="0" w:color="auto"/>
              <w:right w:val="single" w:sz="4" w:space="0" w:color="auto"/>
            </w:tcBorders>
            <w:shd w:val="clear" w:color="auto" w:fill="auto"/>
          </w:tcPr>
          <w:p w14:paraId="3A582AF5" w14:textId="77777777" w:rsidR="00BE73FF" w:rsidRPr="0035187E" w:rsidRDefault="00BE73FF"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Vyhověno.</w:t>
            </w:r>
          </w:p>
          <w:p w14:paraId="1ECFB7DA" w14:textId="6374C26F"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tc>
      </w:tr>
      <w:tr w:rsidR="0035187E" w:rsidRPr="0035187E" w14:paraId="1F8742C0"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4D179284" w14:textId="52AEB018"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11.</w:t>
            </w:r>
          </w:p>
        </w:tc>
        <w:tc>
          <w:tcPr>
            <w:tcW w:w="583" w:type="pct"/>
            <w:tcBorders>
              <w:top w:val="single" w:sz="4" w:space="0" w:color="auto"/>
              <w:left w:val="single" w:sz="4" w:space="0" w:color="auto"/>
              <w:right w:val="single" w:sz="4" w:space="0" w:color="auto"/>
            </w:tcBorders>
            <w:shd w:val="clear" w:color="auto" w:fill="auto"/>
          </w:tcPr>
          <w:p w14:paraId="1C5CA666" w14:textId="12A677D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zdravotnictví</w:t>
            </w:r>
          </w:p>
        </w:tc>
        <w:tc>
          <w:tcPr>
            <w:tcW w:w="168" w:type="pct"/>
            <w:tcBorders>
              <w:top w:val="single" w:sz="4" w:space="0" w:color="auto"/>
              <w:left w:val="single" w:sz="4" w:space="0" w:color="auto"/>
              <w:right w:val="single" w:sz="4" w:space="0" w:color="auto"/>
            </w:tcBorders>
            <w:shd w:val="clear" w:color="auto" w:fill="auto"/>
          </w:tcPr>
          <w:p w14:paraId="296865BB" w14:textId="3BD7976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7.</w:t>
            </w:r>
          </w:p>
        </w:tc>
        <w:tc>
          <w:tcPr>
            <w:tcW w:w="169" w:type="pct"/>
            <w:tcBorders>
              <w:top w:val="single" w:sz="4" w:space="0" w:color="auto"/>
              <w:left w:val="single" w:sz="4" w:space="0" w:color="auto"/>
              <w:right w:val="single" w:sz="4" w:space="0" w:color="auto"/>
            </w:tcBorders>
            <w:shd w:val="clear" w:color="auto" w:fill="auto"/>
          </w:tcPr>
          <w:p w14:paraId="25138623" w14:textId="58D81B90"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27683B1" w14:textId="77777777" w:rsidR="00BE73FF" w:rsidRPr="0035187E" w:rsidRDefault="00BE73FF" w:rsidP="0035187E">
            <w:pPr>
              <w:jc w:val="both"/>
              <w:rPr>
                <w:rFonts w:ascii="Times New Roman" w:eastAsia="Calibri" w:hAnsi="Times New Roman" w:cs="Times New Roman"/>
                <w:b/>
                <w:bCs/>
                <w:sz w:val="20"/>
                <w:szCs w:val="20"/>
              </w:rPr>
            </w:pPr>
            <w:r w:rsidRPr="0035187E">
              <w:rPr>
                <w:rFonts w:ascii="Times New Roman" w:eastAsia="Calibri" w:hAnsi="Times New Roman" w:cs="Times New Roman"/>
                <w:b/>
                <w:bCs/>
                <w:sz w:val="20"/>
                <w:szCs w:val="20"/>
              </w:rPr>
              <w:t>K celému návrhu</w:t>
            </w:r>
          </w:p>
          <w:p w14:paraId="790D9FF6" w14:textId="67A6EAC6" w:rsidR="00BE73FF" w:rsidRPr="0035187E" w:rsidRDefault="00BE73FF" w:rsidP="0035187E">
            <w:pPr>
              <w:widowControl w:val="0"/>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V návrhu se vyskytuje několik dvojitých mezer doporučujeme odstranit přebytečné mezery.</w:t>
            </w:r>
          </w:p>
        </w:tc>
        <w:tc>
          <w:tcPr>
            <w:tcW w:w="1453" w:type="pct"/>
            <w:tcBorders>
              <w:top w:val="single" w:sz="4" w:space="0" w:color="auto"/>
              <w:left w:val="single" w:sz="4" w:space="0" w:color="auto"/>
              <w:right w:val="single" w:sz="4" w:space="0" w:color="auto"/>
            </w:tcBorders>
            <w:shd w:val="clear" w:color="auto" w:fill="auto"/>
          </w:tcPr>
          <w:p w14:paraId="2334B15C" w14:textId="77777777" w:rsidR="00BE73FF" w:rsidRPr="0035187E" w:rsidRDefault="00BE73FF"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Vyhověno.</w:t>
            </w:r>
          </w:p>
          <w:p w14:paraId="1ABEA9DD" w14:textId="3784CEFE"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tc>
      </w:tr>
      <w:tr w:rsidR="0035187E" w:rsidRPr="0035187E" w14:paraId="3AC2DE4A" w14:textId="77777777" w:rsidTr="0035187E">
        <w:trPr>
          <w:trHeight w:val="125"/>
        </w:trPr>
        <w:tc>
          <w:tcPr>
            <w:tcW w:w="227" w:type="pct"/>
            <w:tcBorders>
              <w:top w:val="single" w:sz="4" w:space="0" w:color="auto"/>
              <w:left w:val="single" w:sz="4" w:space="0" w:color="auto"/>
              <w:right w:val="single" w:sz="4" w:space="0" w:color="auto"/>
            </w:tcBorders>
            <w:shd w:val="clear" w:color="auto" w:fill="auto"/>
          </w:tcPr>
          <w:p w14:paraId="36878523" w14:textId="7777777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12.</w:t>
            </w:r>
          </w:p>
        </w:tc>
        <w:tc>
          <w:tcPr>
            <w:tcW w:w="583" w:type="pct"/>
            <w:tcBorders>
              <w:top w:val="single" w:sz="4" w:space="0" w:color="auto"/>
              <w:left w:val="single" w:sz="4" w:space="0" w:color="auto"/>
              <w:right w:val="single" w:sz="4" w:space="0" w:color="auto"/>
            </w:tcBorders>
            <w:shd w:val="clear" w:color="auto" w:fill="auto"/>
          </w:tcPr>
          <w:p w14:paraId="080B68F5" w14:textId="7777777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zemědělství</w:t>
            </w:r>
          </w:p>
        </w:tc>
        <w:tc>
          <w:tcPr>
            <w:tcW w:w="168" w:type="pct"/>
            <w:tcBorders>
              <w:top w:val="single" w:sz="4" w:space="0" w:color="auto"/>
              <w:left w:val="single" w:sz="4" w:space="0" w:color="auto"/>
              <w:right w:val="single" w:sz="4" w:space="0" w:color="auto"/>
            </w:tcBorders>
            <w:shd w:val="clear" w:color="auto" w:fill="auto"/>
          </w:tcPr>
          <w:p w14:paraId="38C63F4B" w14:textId="4861EDDF"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2876F43E" w14:textId="57539E05"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42BD03F" w14:textId="4DDC8816" w:rsidR="00BE73FF" w:rsidRPr="0035187E" w:rsidRDefault="00BE73FF" w:rsidP="0035187E">
            <w:pPr>
              <w:rPr>
                <w:rFonts w:ascii="Times New Roman" w:hAnsi="Times New Roman" w:cs="Times New Roman"/>
                <w:bCs/>
                <w:sz w:val="20"/>
                <w:szCs w:val="20"/>
                <w:u w:val="single"/>
              </w:rPr>
            </w:pPr>
            <w:r w:rsidRPr="0035187E">
              <w:rPr>
                <w:rFonts w:ascii="Times New Roman" w:hAnsi="Times New Roman" w:cs="Times New Roman"/>
                <w:b/>
                <w:sz w:val="20"/>
                <w:szCs w:val="20"/>
                <w:u w:val="single"/>
              </w:rPr>
              <w:t>I. Zásadní</w:t>
            </w:r>
            <w:r w:rsidRPr="0035187E">
              <w:rPr>
                <w:rFonts w:ascii="Times New Roman" w:hAnsi="Times New Roman" w:cs="Times New Roman"/>
                <w:bCs/>
                <w:sz w:val="20"/>
                <w:szCs w:val="20"/>
                <w:u w:val="single"/>
              </w:rPr>
              <w:t>:</w:t>
            </w:r>
          </w:p>
          <w:p w14:paraId="3FE0C539" w14:textId="77777777" w:rsidR="00BE73FF" w:rsidRPr="0035187E" w:rsidRDefault="00BE73FF" w:rsidP="0035187E">
            <w:pPr>
              <w:rPr>
                <w:rFonts w:ascii="Times New Roman" w:hAnsi="Times New Roman" w:cs="Times New Roman"/>
                <w:bCs/>
                <w:sz w:val="20"/>
                <w:szCs w:val="20"/>
                <w:u w:val="single"/>
              </w:rPr>
            </w:pPr>
            <w:r w:rsidRPr="0035187E">
              <w:rPr>
                <w:rFonts w:ascii="Times New Roman" w:hAnsi="Times New Roman" w:cs="Times New Roman"/>
                <w:bCs/>
                <w:sz w:val="20"/>
                <w:szCs w:val="20"/>
                <w:u w:val="single"/>
              </w:rPr>
              <w:t xml:space="preserve">K textu návrhu zákona </w:t>
            </w:r>
          </w:p>
          <w:p w14:paraId="2CFAE85C" w14:textId="77777777" w:rsidR="00BE73FF" w:rsidRPr="0035187E" w:rsidRDefault="00BE73FF" w:rsidP="0035187E">
            <w:pPr>
              <w:rPr>
                <w:rFonts w:ascii="Times New Roman" w:hAnsi="Times New Roman" w:cs="Times New Roman"/>
                <w:bCs/>
                <w:sz w:val="20"/>
                <w:szCs w:val="20"/>
              </w:rPr>
            </w:pPr>
            <w:r w:rsidRPr="0035187E">
              <w:rPr>
                <w:rFonts w:ascii="Times New Roman" w:hAnsi="Times New Roman" w:cs="Times New Roman"/>
                <w:bCs/>
                <w:sz w:val="20"/>
                <w:szCs w:val="20"/>
              </w:rPr>
              <w:t xml:space="preserve">K návrhu zákona </w:t>
            </w:r>
            <w:r w:rsidRPr="0035187E">
              <w:rPr>
                <w:rFonts w:ascii="Times New Roman" w:hAnsi="Times New Roman" w:cs="Times New Roman"/>
                <w:bCs/>
                <w:sz w:val="20"/>
                <w:szCs w:val="20"/>
                <w:u w:val="single"/>
              </w:rPr>
              <w:t>o evidenci tržeb</w:t>
            </w:r>
          </w:p>
          <w:p w14:paraId="30B0E44B" w14:textId="77777777" w:rsidR="00BE73FF" w:rsidRPr="0035187E" w:rsidRDefault="00BE73FF"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 xml:space="preserve">1) Požadujeme v zákoně o evidenci tržeb </w:t>
            </w:r>
            <w:r w:rsidRPr="0035187E">
              <w:rPr>
                <w:rFonts w:ascii="Times New Roman" w:hAnsi="Times New Roman" w:cs="Times New Roman"/>
                <w:bCs/>
                <w:sz w:val="20"/>
                <w:szCs w:val="20"/>
                <w:u w:val="single"/>
              </w:rPr>
              <w:t>umožnit všem poplatníkům evidenci tržeb ve zjednodušeném režimu</w:t>
            </w:r>
            <w:r w:rsidRPr="0035187E">
              <w:rPr>
                <w:rFonts w:ascii="Times New Roman" w:hAnsi="Times New Roman" w:cs="Times New Roman"/>
                <w:bCs/>
                <w:sz w:val="20"/>
                <w:szCs w:val="20"/>
              </w:rPr>
              <w:t xml:space="preserve">, který bude spočívat ve zpětné evidenci tržby. </w:t>
            </w:r>
          </w:p>
          <w:p w14:paraId="0D32E70B" w14:textId="77777777" w:rsidR="00BE73FF" w:rsidRPr="0035187E" w:rsidRDefault="00BE73FF" w:rsidP="0035187E">
            <w:pPr>
              <w:jc w:val="both"/>
              <w:rPr>
                <w:rFonts w:ascii="Times New Roman" w:hAnsi="Times New Roman" w:cs="Times New Roman"/>
                <w:bCs/>
                <w:sz w:val="20"/>
                <w:szCs w:val="20"/>
              </w:rPr>
            </w:pPr>
          </w:p>
          <w:p w14:paraId="74D643A5" w14:textId="77777777" w:rsidR="00BE73FF" w:rsidRPr="0035187E" w:rsidRDefault="00BE73FF"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Odůvodnění:</w:t>
            </w:r>
          </w:p>
          <w:p w14:paraId="5AEE090D" w14:textId="4A34658D" w:rsidR="00BE73FF" w:rsidRPr="0035187E" w:rsidRDefault="00BE73FF"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Evidování tržeb ve zjednodušeném režimu (např. zpětně do limitu tržeb 500 tis. Kč ročně) umožní výše uvedeným poplatníkům vyhnout se technickým problémům s evidencí tržeb při venkovních a zejména mobilních formách prodeje (např. při prodeji dřeva na hudební nástroje), při prodeji v mobilních prodejnách (živé ryby, pečivo či jiné potravinářské zboží a farmářské produkty) a při prodeji živých zvířat, kdy je třeba z veterinárních důvodů uskutečnit jejich rychlý prodej (lokální zásobení živé drůbeže, kde se distribuuje za několik hodin stovky kusů drůbeže). Evidence tržeb ve zjednodušeném režimu byla umožněna i v § 10 a 11 zákona č. 112/2016 Sb., o evidenci tržeb (EET 1).</w:t>
            </w:r>
          </w:p>
          <w:p w14:paraId="78DE1827" w14:textId="77777777" w:rsidR="00BE73FF" w:rsidRPr="0035187E" w:rsidRDefault="00BE73FF" w:rsidP="0035187E">
            <w:pPr>
              <w:jc w:val="both"/>
              <w:rPr>
                <w:rFonts w:ascii="Times New Roman" w:hAnsi="Times New Roman" w:cs="Times New Roman"/>
                <w:bCs/>
                <w:sz w:val="20"/>
                <w:szCs w:val="20"/>
              </w:rPr>
            </w:pPr>
          </w:p>
          <w:p w14:paraId="7684B9C0" w14:textId="2FCF1906" w:rsidR="00BE73FF" w:rsidRPr="0035187E" w:rsidRDefault="00BE73FF" w:rsidP="0035187E">
            <w:pPr>
              <w:jc w:val="both"/>
              <w:rPr>
                <w:rFonts w:ascii="Times New Roman" w:hAnsi="Times New Roman" w:cs="Times New Roman"/>
                <w:bCs/>
                <w:sz w:val="20"/>
                <w:szCs w:val="20"/>
                <w:u w:val="single"/>
              </w:rPr>
            </w:pPr>
            <w:r w:rsidRPr="0035187E">
              <w:rPr>
                <w:rFonts w:ascii="Times New Roman" w:hAnsi="Times New Roman" w:cs="Times New Roman"/>
                <w:bCs/>
                <w:sz w:val="20"/>
                <w:szCs w:val="20"/>
                <w:u w:val="single"/>
              </w:rPr>
              <w:t>Tato připomínka je zásadní.</w:t>
            </w:r>
          </w:p>
        </w:tc>
        <w:tc>
          <w:tcPr>
            <w:tcW w:w="1453" w:type="pct"/>
            <w:tcBorders>
              <w:top w:val="single" w:sz="4" w:space="0" w:color="auto"/>
              <w:left w:val="single" w:sz="4" w:space="0" w:color="auto"/>
              <w:right w:val="single" w:sz="4" w:space="0" w:color="auto"/>
            </w:tcBorders>
            <w:shd w:val="clear" w:color="auto" w:fill="auto"/>
          </w:tcPr>
          <w:p w14:paraId="20877F23" w14:textId="77777777" w:rsidR="00BE73FF" w:rsidRPr="0035187E" w:rsidRDefault="00AC5D6B" w:rsidP="0035187E">
            <w:pPr>
              <w:jc w:val="both"/>
              <w:rPr>
                <w:rFonts w:ascii="Times New Roman" w:hAnsi="Times New Roman" w:cs="Times New Roman"/>
                <w:b/>
                <w:sz w:val="20"/>
                <w:szCs w:val="20"/>
              </w:rPr>
            </w:pPr>
            <w:r w:rsidRPr="0035187E">
              <w:rPr>
                <w:rFonts w:ascii="Times New Roman" w:hAnsi="Times New Roman" w:cs="Times New Roman"/>
                <w:b/>
                <w:sz w:val="20"/>
                <w:szCs w:val="20"/>
              </w:rPr>
              <w:t>Nevyhověno.</w:t>
            </w:r>
          </w:p>
          <w:p w14:paraId="561BE2F3" w14:textId="77777777" w:rsidR="00AC5D6B" w:rsidRPr="0035187E" w:rsidRDefault="00AC5D6B" w:rsidP="0035187E">
            <w:pPr>
              <w:jc w:val="both"/>
              <w:rPr>
                <w:rFonts w:ascii="Times New Roman" w:hAnsi="Times New Roman" w:cs="Times New Roman"/>
                <w:sz w:val="20"/>
                <w:szCs w:val="20"/>
              </w:rPr>
            </w:pPr>
            <w:r w:rsidRPr="0035187E">
              <w:rPr>
                <w:rFonts w:ascii="Times New Roman" w:hAnsi="Times New Roman" w:cs="Times New Roman"/>
                <w:sz w:val="20"/>
                <w:szCs w:val="20"/>
              </w:rPr>
              <w:t>Celková koncepce EET 2.0 je postavena na výlučném on-line režimu evidence tržeb.</w:t>
            </w:r>
            <w:r w:rsidR="00004D96" w:rsidRPr="0035187E">
              <w:rPr>
                <w:rFonts w:ascii="Times New Roman" w:hAnsi="Times New Roman" w:cs="Times New Roman"/>
                <w:sz w:val="20"/>
                <w:szCs w:val="20"/>
              </w:rPr>
              <w:t xml:space="preserve"> Z pohledu předkladatele proto není žádoucí konstruovat výjimky ve prospěch znovuzavedení zjednodušeného režimu. I s ohledem na rozvoj technologických možností předkladatel nespatřuje v EET 2.0 žádná zásadní omezení pro daný segment podnikatelské činnosti.</w:t>
            </w:r>
          </w:p>
          <w:p w14:paraId="1C463124" w14:textId="77777777" w:rsidR="00816EC9" w:rsidRPr="0035187E" w:rsidRDefault="00816EC9" w:rsidP="0035187E">
            <w:pPr>
              <w:jc w:val="both"/>
              <w:rPr>
                <w:rFonts w:ascii="Times New Roman" w:hAnsi="Times New Roman" w:cs="Times New Roman"/>
                <w:sz w:val="20"/>
                <w:szCs w:val="20"/>
              </w:rPr>
            </w:pPr>
          </w:p>
          <w:p w14:paraId="3E877CBA" w14:textId="6A8260DA" w:rsidR="00816EC9" w:rsidRPr="0035187E" w:rsidRDefault="00816EC9"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Vyjádření připomínkového místa: S vypořádáním zásadních připomínek nesouhlasí.</w:t>
            </w:r>
          </w:p>
          <w:p w14:paraId="6D6DEE2D" w14:textId="77777777" w:rsidR="00816EC9" w:rsidRPr="0035187E" w:rsidRDefault="00816EC9" w:rsidP="0035187E">
            <w:pPr>
              <w:jc w:val="both"/>
              <w:rPr>
                <w:rFonts w:ascii="Times New Roman" w:hAnsi="Times New Roman" w:cs="Times New Roman"/>
                <w:sz w:val="20"/>
                <w:szCs w:val="20"/>
              </w:rPr>
            </w:pPr>
          </w:p>
          <w:p w14:paraId="5CD6E2AD" w14:textId="3EC84229" w:rsidR="00172844" w:rsidRPr="0035187E" w:rsidRDefault="00172844"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Vyjádření připomínkového místa po jednání dne 8.</w:t>
            </w:r>
            <w:r w:rsidR="000667D5" w:rsidRPr="0035187E">
              <w:rPr>
                <w:rFonts w:ascii="Times New Roman" w:hAnsi="Times New Roman" w:cs="Times New Roman"/>
                <w:i/>
                <w:iCs/>
                <w:sz w:val="20"/>
                <w:szCs w:val="20"/>
              </w:rPr>
              <w:t> </w:t>
            </w:r>
            <w:r w:rsidRPr="0035187E">
              <w:rPr>
                <w:rFonts w:ascii="Times New Roman" w:hAnsi="Times New Roman" w:cs="Times New Roman"/>
                <w:i/>
                <w:iCs/>
                <w:sz w:val="20"/>
                <w:szCs w:val="20"/>
              </w:rPr>
              <w:t>dubna 2026: na zásadních připomínkách netrvá.</w:t>
            </w:r>
          </w:p>
        </w:tc>
      </w:tr>
      <w:tr w:rsidR="0035187E" w:rsidRPr="0035187E" w14:paraId="754D4E4D"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0D695BF" w14:textId="7777777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12.</w:t>
            </w:r>
          </w:p>
        </w:tc>
        <w:tc>
          <w:tcPr>
            <w:tcW w:w="583" w:type="pct"/>
            <w:tcBorders>
              <w:top w:val="single" w:sz="4" w:space="0" w:color="auto"/>
              <w:left w:val="single" w:sz="4" w:space="0" w:color="auto"/>
              <w:right w:val="single" w:sz="4" w:space="0" w:color="auto"/>
            </w:tcBorders>
            <w:shd w:val="clear" w:color="auto" w:fill="auto"/>
          </w:tcPr>
          <w:p w14:paraId="233BAA90" w14:textId="7777777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zemědělství</w:t>
            </w:r>
          </w:p>
        </w:tc>
        <w:tc>
          <w:tcPr>
            <w:tcW w:w="168" w:type="pct"/>
            <w:tcBorders>
              <w:top w:val="single" w:sz="4" w:space="0" w:color="auto"/>
              <w:left w:val="single" w:sz="4" w:space="0" w:color="auto"/>
              <w:right w:val="single" w:sz="4" w:space="0" w:color="auto"/>
            </w:tcBorders>
            <w:shd w:val="clear" w:color="auto" w:fill="auto"/>
          </w:tcPr>
          <w:p w14:paraId="430B188D" w14:textId="65E3AE0E"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2.</w:t>
            </w:r>
          </w:p>
        </w:tc>
        <w:tc>
          <w:tcPr>
            <w:tcW w:w="169" w:type="pct"/>
            <w:tcBorders>
              <w:top w:val="single" w:sz="4" w:space="0" w:color="auto"/>
              <w:left w:val="single" w:sz="4" w:space="0" w:color="auto"/>
              <w:right w:val="single" w:sz="4" w:space="0" w:color="auto"/>
            </w:tcBorders>
            <w:shd w:val="clear" w:color="auto" w:fill="auto"/>
          </w:tcPr>
          <w:p w14:paraId="1BB9A294" w14:textId="25893A22"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4AA9B42" w14:textId="77777777" w:rsidR="00BE73FF" w:rsidRPr="0035187E" w:rsidRDefault="00BE73FF" w:rsidP="0035187E">
            <w:pPr>
              <w:rPr>
                <w:rFonts w:ascii="Times New Roman" w:hAnsi="Times New Roman" w:cs="Times New Roman"/>
                <w:bCs/>
                <w:sz w:val="20"/>
                <w:szCs w:val="20"/>
                <w:u w:val="single"/>
              </w:rPr>
            </w:pPr>
            <w:r w:rsidRPr="0035187E">
              <w:rPr>
                <w:rFonts w:ascii="Times New Roman" w:hAnsi="Times New Roman" w:cs="Times New Roman"/>
                <w:b/>
                <w:sz w:val="20"/>
                <w:szCs w:val="20"/>
                <w:u w:val="single"/>
              </w:rPr>
              <w:t>I. Zásadní</w:t>
            </w:r>
            <w:r w:rsidRPr="0035187E">
              <w:rPr>
                <w:rFonts w:ascii="Times New Roman" w:hAnsi="Times New Roman" w:cs="Times New Roman"/>
                <w:bCs/>
                <w:sz w:val="20"/>
                <w:szCs w:val="20"/>
                <w:u w:val="single"/>
              </w:rPr>
              <w:t>:</w:t>
            </w:r>
          </w:p>
          <w:p w14:paraId="5300C5D6" w14:textId="77777777" w:rsidR="00BE73FF" w:rsidRPr="0035187E" w:rsidRDefault="00BE73FF" w:rsidP="0035187E">
            <w:pPr>
              <w:rPr>
                <w:rFonts w:ascii="Times New Roman" w:hAnsi="Times New Roman" w:cs="Times New Roman"/>
                <w:bCs/>
                <w:sz w:val="20"/>
                <w:szCs w:val="20"/>
                <w:u w:val="single"/>
              </w:rPr>
            </w:pPr>
            <w:r w:rsidRPr="0035187E">
              <w:rPr>
                <w:rFonts w:ascii="Times New Roman" w:hAnsi="Times New Roman" w:cs="Times New Roman"/>
                <w:bCs/>
                <w:sz w:val="20"/>
                <w:szCs w:val="20"/>
                <w:u w:val="single"/>
              </w:rPr>
              <w:t>K textu návrhu zákona</w:t>
            </w:r>
          </w:p>
          <w:p w14:paraId="5FB2801A" w14:textId="77777777" w:rsidR="00BE73FF" w:rsidRPr="0035187E" w:rsidRDefault="00BE73FF"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K části druhé (</w:t>
            </w:r>
            <w:r w:rsidRPr="0035187E">
              <w:rPr>
                <w:rFonts w:ascii="Times New Roman" w:hAnsi="Times New Roman" w:cs="Times New Roman"/>
                <w:bCs/>
                <w:sz w:val="20"/>
                <w:szCs w:val="20"/>
                <w:u w:val="single"/>
              </w:rPr>
              <w:t>změna zákona o daních z příjmů</w:t>
            </w:r>
            <w:r w:rsidRPr="0035187E">
              <w:rPr>
                <w:rFonts w:ascii="Times New Roman" w:hAnsi="Times New Roman" w:cs="Times New Roman"/>
                <w:bCs/>
                <w:sz w:val="20"/>
                <w:szCs w:val="20"/>
              </w:rPr>
              <w:t xml:space="preserve"> - § 30)</w:t>
            </w:r>
          </w:p>
          <w:p w14:paraId="5DE94BB9" w14:textId="77777777"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sz w:val="20"/>
                <w:szCs w:val="20"/>
                <w:u w:val="single"/>
              </w:rPr>
              <w:t>K § 25 odst. 1 písm. t):</w:t>
            </w:r>
          </w:p>
          <w:p w14:paraId="5A0ACFB9" w14:textId="77777777" w:rsidR="00BE73FF" w:rsidRPr="0035187E" w:rsidRDefault="00BE73FF" w:rsidP="0035187E">
            <w:pPr>
              <w:rPr>
                <w:rFonts w:ascii="Times New Roman" w:hAnsi="Times New Roman" w:cs="Times New Roman"/>
                <w:sz w:val="20"/>
                <w:szCs w:val="20"/>
              </w:rPr>
            </w:pPr>
            <w:r w:rsidRPr="0035187E">
              <w:rPr>
                <w:rFonts w:ascii="Times New Roman" w:hAnsi="Times New Roman" w:cs="Times New Roman"/>
                <w:sz w:val="20"/>
                <w:szCs w:val="20"/>
              </w:rPr>
              <w:t>Za bod 10 požadujeme vložit nový novelizační bod 11, který zní:</w:t>
            </w:r>
          </w:p>
          <w:p w14:paraId="6BCFCC0A" w14:textId="77777777"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„11. V § 25 odst. 1 písm. t) </w:t>
            </w:r>
            <w:proofErr w:type="gramStart"/>
            <w:r w:rsidRPr="0035187E">
              <w:rPr>
                <w:rFonts w:ascii="Times New Roman" w:hAnsi="Times New Roman" w:cs="Times New Roman"/>
                <w:sz w:val="20"/>
                <w:szCs w:val="20"/>
              </w:rPr>
              <w:t>se</w:t>
            </w:r>
            <w:proofErr w:type="gramEnd"/>
            <w:r w:rsidRPr="0035187E">
              <w:rPr>
                <w:rFonts w:ascii="Times New Roman" w:hAnsi="Times New Roman" w:cs="Times New Roman"/>
                <w:sz w:val="20"/>
                <w:szCs w:val="20"/>
              </w:rPr>
              <w:t xml:space="preserve"> slova „a který není předmětem spotřební daně“ zrušují.</w:t>
            </w:r>
          </w:p>
          <w:p w14:paraId="1DD381B0" w14:textId="77777777" w:rsidR="00BE73FF" w:rsidRPr="0035187E" w:rsidRDefault="00BE73FF" w:rsidP="0035187E">
            <w:pPr>
              <w:rPr>
                <w:rFonts w:ascii="Times New Roman" w:hAnsi="Times New Roman" w:cs="Times New Roman"/>
                <w:sz w:val="20"/>
                <w:szCs w:val="20"/>
              </w:rPr>
            </w:pPr>
          </w:p>
          <w:p w14:paraId="5622FFB3" w14:textId="77777777" w:rsidR="00BE73FF" w:rsidRPr="0035187E" w:rsidRDefault="00BE73FF" w:rsidP="0035187E">
            <w:pPr>
              <w:rPr>
                <w:rFonts w:ascii="Times New Roman" w:hAnsi="Times New Roman" w:cs="Times New Roman"/>
                <w:sz w:val="20"/>
                <w:szCs w:val="20"/>
              </w:rPr>
            </w:pPr>
            <w:r w:rsidRPr="0035187E">
              <w:rPr>
                <w:rFonts w:ascii="Times New Roman" w:hAnsi="Times New Roman" w:cs="Times New Roman"/>
                <w:sz w:val="20"/>
                <w:szCs w:val="20"/>
              </w:rPr>
              <w:t>Ostatní novelizační body přečíslovat.</w:t>
            </w:r>
          </w:p>
          <w:p w14:paraId="17B849CD" w14:textId="77777777" w:rsidR="00BE73FF" w:rsidRPr="0035187E" w:rsidRDefault="00BE73FF" w:rsidP="0035187E">
            <w:pPr>
              <w:rPr>
                <w:rFonts w:ascii="Times New Roman" w:hAnsi="Times New Roman" w:cs="Times New Roman"/>
                <w:sz w:val="20"/>
                <w:szCs w:val="20"/>
              </w:rPr>
            </w:pPr>
          </w:p>
          <w:p w14:paraId="13F3F3CC" w14:textId="77777777" w:rsidR="00BE73FF" w:rsidRPr="0035187E" w:rsidRDefault="00BE73FF" w:rsidP="0035187E">
            <w:pPr>
              <w:rPr>
                <w:rFonts w:ascii="Times New Roman" w:hAnsi="Times New Roman" w:cs="Times New Roman"/>
                <w:sz w:val="20"/>
                <w:szCs w:val="20"/>
              </w:rPr>
            </w:pPr>
            <w:r w:rsidRPr="0035187E">
              <w:rPr>
                <w:rFonts w:ascii="Times New Roman" w:hAnsi="Times New Roman" w:cs="Times New Roman"/>
                <w:sz w:val="20"/>
                <w:szCs w:val="20"/>
              </w:rPr>
              <w:t>V platném znění by pak § 25 odst. 1 písmeno t) znělo takto:</w:t>
            </w:r>
          </w:p>
          <w:p w14:paraId="10DCA70A" w14:textId="77777777"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t) výdaje na reprezentaci, kterými jsou zejména výdaje na pohoštění, občerstvení a dar; za dar se nepovažuje reklamní nebo propagační předmět, který je opatřen jménem nebo ochrannou známkou poskytovatele tohoto předmětu nebo názvem propagovaného zboží nebo služby, jehož hodnota bez daně z přidané hodnoty nepřesahuje 500 Kč </w:t>
            </w:r>
            <w:r w:rsidRPr="0035187E">
              <w:rPr>
                <w:rFonts w:ascii="Times New Roman" w:hAnsi="Times New Roman" w:cs="Times New Roman"/>
                <w:strike/>
                <w:sz w:val="20"/>
                <w:szCs w:val="20"/>
              </w:rPr>
              <w:t>a který není předmětem spotřební daně</w:t>
            </w:r>
            <w:r w:rsidRPr="0035187E">
              <w:rPr>
                <w:rFonts w:ascii="Times New Roman" w:hAnsi="Times New Roman" w:cs="Times New Roman"/>
                <w:sz w:val="20"/>
                <w:szCs w:val="20"/>
              </w:rPr>
              <w:t>,“.</w:t>
            </w:r>
          </w:p>
          <w:p w14:paraId="7C00DA82" w14:textId="77777777" w:rsidR="00BE73FF" w:rsidRPr="0035187E" w:rsidRDefault="00BE73FF" w:rsidP="0035187E">
            <w:pPr>
              <w:rPr>
                <w:rFonts w:ascii="Times New Roman" w:hAnsi="Times New Roman" w:cs="Times New Roman"/>
                <w:sz w:val="20"/>
                <w:szCs w:val="20"/>
              </w:rPr>
            </w:pPr>
          </w:p>
          <w:p w14:paraId="47CBB00D" w14:textId="77777777" w:rsidR="00BE73FF" w:rsidRPr="0035187E" w:rsidRDefault="00BE73FF" w:rsidP="0035187E">
            <w:pPr>
              <w:rPr>
                <w:rFonts w:ascii="Times New Roman" w:hAnsi="Times New Roman" w:cs="Times New Roman"/>
                <w:bCs/>
                <w:sz w:val="20"/>
                <w:szCs w:val="20"/>
              </w:rPr>
            </w:pPr>
            <w:r w:rsidRPr="0035187E">
              <w:rPr>
                <w:rFonts w:ascii="Times New Roman" w:hAnsi="Times New Roman" w:cs="Times New Roman"/>
                <w:bCs/>
                <w:sz w:val="20"/>
                <w:szCs w:val="20"/>
              </w:rPr>
              <w:t>Odůvodnění:</w:t>
            </w:r>
          </w:p>
          <w:p w14:paraId="6C2DC241" w14:textId="77777777" w:rsidR="00BE73FF" w:rsidRPr="0035187E" w:rsidRDefault="00BE73FF"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 xml:space="preserve">Navrhovaná novela zákona má za cíl umožnit uplatnění reklamních </w:t>
            </w:r>
            <w:r w:rsidRPr="0035187E">
              <w:rPr>
                <w:rFonts w:ascii="Times New Roman" w:hAnsi="Times New Roman" w:cs="Times New Roman"/>
                <w:bCs/>
                <w:sz w:val="20"/>
                <w:szCs w:val="20"/>
              </w:rPr>
              <w:br/>
              <w:t xml:space="preserve">a propagačních darů do hodnoty 500 Kč bez DPH jako daňově uznatelných nákladů u jakýchkoliv reklamních a propagačních darů do výše 500 Kč bez DPH. Smyslem návrhu je odstranit selektivní omezení některých druhů darů a obnovit jednotný přístup k jejich daňovému posuzování. Zároveň dochází ke sladění úpravy v zákoně o daních z příjmů s platnou úpravou </w:t>
            </w:r>
            <w:r w:rsidRPr="0035187E">
              <w:rPr>
                <w:rFonts w:ascii="Times New Roman" w:hAnsi="Times New Roman" w:cs="Times New Roman"/>
                <w:bCs/>
                <w:sz w:val="20"/>
                <w:szCs w:val="20"/>
              </w:rPr>
              <w:br/>
              <w:t xml:space="preserve">v zákoně o dani z přidané hodnoty, kde je uplatnění těchto darů nadále umožněno (odpočet DPH). </w:t>
            </w:r>
          </w:p>
          <w:p w14:paraId="32822828" w14:textId="77777777" w:rsidR="00BE73FF" w:rsidRPr="0035187E" w:rsidRDefault="00BE73FF" w:rsidP="0035187E">
            <w:pPr>
              <w:jc w:val="both"/>
              <w:rPr>
                <w:rFonts w:ascii="Times New Roman" w:hAnsi="Times New Roman" w:cs="Times New Roman"/>
                <w:bCs/>
                <w:sz w:val="20"/>
                <w:szCs w:val="20"/>
                <w:u w:val="single"/>
              </w:rPr>
            </w:pPr>
          </w:p>
          <w:p w14:paraId="3B9EDAF0" w14:textId="464B59C7"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bCs/>
                <w:sz w:val="20"/>
                <w:szCs w:val="20"/>
                <w:u w:val="single"/>
              </w:rPr>
              <w:t>Tato připomínka je zásadní.</w:t>
            </w:r>
          </w:p>
        </w:tc>
        <w:tc>
          <w:tcPr>
            <w:tcW w:w="1453" w:type="pct"/>
            <w:tcBorders>
              <w:top w:val="single" w:sz="4" w:space="0" w:color="auto"/>
              <w:left w:val="single" w:sz="4" w:space="0" w:color="auto"/>
              <w:right w:val="single" w:sz="4" w:space="0" w:color="auto"/>
            </w:tcBorders>
            <w:shd w:val="clear" w:color="auto" w:fill="auto"/>
          </w:tcPr>
          <w:p w14:paraId="58211745" w14:textId="77777777" w:rsidR="0021049C" w:rsidRPr="0035187E" w:rsidRDefault="0021049C"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Nevyhověno.</w:t>
            </w:r>
          </w:p>
          <w:p w14:paraId="08868E62" w14:textId="77777777" w:rsidR="0021049C" w:rsidRPr="0035187E" w:rsidRDefault="0021049C" w:rsidP="0035187E">
            <w:pPr>
              <w:jc w:val="both"/>
              <w:rPr>
                <w:rFonts w:ascii="Times New Roman" w:hAnsi="Times New Roman" w:cs="Times New Roman"/>
                <w:sz w:val="20"/>
                <w:szCs w:val="20"/>
              </w:rPr>
            </w:pPr>
            <w:r w:rsidRPr="0035187E">
              <w:rPr>
                <w:rFonts w:ascii="Times New Roman" w:hAnsi="Times New Roman" w:cs="Times New Roman"/>
                <w:sz w:val="20"/>
                <w:szCs w:val="20"/>
              </w:rPr>
              <w:t>Podnět přesahuje rámec navrhované úpravy zákona o evidenci tržeb.</w:t>
            </w:r>
          </w:p>
          <w:p w14:paraId="2D10F0B0" w14:textId="77777777" w:rsidR="0021049C" w:rsidRPr="0035187E" w:rsidRDefault="0021049C" w:rsidP="0035187E">
            <w:pPr>
              <w:widowControl w:val="0"/>
              <w:jc w:val="both"/>
              <w:rPr>
                <w:rFonts w:ascii="Times New Roman" w:hAnsi="Times New Roman" w:cs="Times New Roman"/>
                <w:sz w:val="20"/>
                <w:szCs w:val="20"/>
              </w:rPr>
            </w:pPr>
            <w:r w:rsidRPr="0035187E">
              <w:rPr>
                <w:rFonts w:ascii="Times New Roman" w:hAnsi="Times New Roman" w:cs="Times New Roman"/>
                <w:sz w:val="20"/>
                <w:szCs w:val="20"/>
              </w:rPr>
              <w:t>Jedná se o nesystémovou výjimku z obecného režimu výdajů na reprezentaci, resp. o výjimku z výjimky, kdy se obecně za dar nepovažují taková plnění, která nejsou předmětem spotřební daně (s hodnotou bez DPH do 500 Kč). Tiché víno obecně předmětem spotřební daně je, dříve ho bylo možné do daňových výdajů jako dar na reprezentaci zahrnout na rozdíl od dalších plnění, která předmětem spotřební daně jsou (např. pivo, lihoviny apod.).</w:t>
            </w:r>
          </w:p>
          <w:p w14:paraId="12BE5D9E" w14:textId="77777777" w:rsidR="00BE73FF" w:rsidRPr="0035187E" w:rsidRDefault="00BE73FF" w:rsidP="0035187E">
            <w:pPr>
              <w:jc w:val="both"/>
              <w:rPr>
                <w:rFonts w:ascii="Times New Roman" w:hAnsi="Times New Roman" w:cs="Times New Roman"/>
                <w:sz w:val="20"/>
                <w:szCs w:val="20"/>
              </w:rPr>
            </w:pPr>
          </w:p>
          <w:p w14:paraId="2C1A321E" w14:textId="77777777" w:rsidR="00816EC9" w:rsidRPr="0035187E" w:rsidRDefault="00816EC9"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Vyjádření připomínkového místa: S vypořádáním zásadních připomínek nesouhlasí.</w:t>
            </w:r>
          </w:p>
          <w:p w14:paraId="37174EE3" w14:textId="77777777" w:rsidR="00172844" w:rsidRPr="0035187E" w:rsidRDefault="00172844" w:rsidP="0035187E">
            <w:pPr>
              <w:jc w:val="both"/>
              <w:rPr>
                <w:rFonts w:ascii="Times New Roman" w:hAnsi="Times New Roman" w:cs="Times New Roman"/>
                <w:i/>
                <w:iCs/>
                <w:sz w:val="20"/>
                <w:szCs w:val="20"/>
              </w:rPr>
            </w:pPr>
          </w:p>
          <w:p w14:paraId="5CD68AE5" w14:textId="5B3E58DC" w:rsidR="00172844" w:rsidRPr="0035187E" w:rsidRDefault="00172844"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Vyjádření připomínkového místa po jednání dne 8.</w:t>
            </w:r>
            <w:r w:rsidR="000667D5" w:rsidRPr="0035187E">
              <w:rPr>
                <w:rFonts w:ascii="Times New Roman" w:hAnsi="Times New Roman" w:cs="Times New Roman"/>
                <w:i/>
                <w:iCs/>
                <w:sz w:val="20"/>
                <w:szCs w:val="20"/>
              </w:rPr>
              <w:t> </w:t>
            </w:r>
            <w:r w:rsidRPr="0035187E">
              <w:rPr>
                <w:rFonts w:ascii="Times New Roman" w:hAnsi="Times New Roman" w:cs="Times New Roman"/>
                <w:i/>
                <w:iCs/>
                <w:sz w:val="20"/>
                <w:szCs w:val="20"/>
              </w:rPr>
              <w:t>dubna 2026: na zásadních připomínkách netrvá.</w:t>
            </w:r>
          </w:p>
          <w:p w14:paraId="5841F47D" w14:textId="165864D6" w:rsidR="00816EC9" w:rsidRPr="0035187E" w:rsidRDefault="00816EC9" w:rsidP="0035187E">
            <w:pPr>
              <w:jc w:val="both"/>
              <w:rPr>
                <w:rFonts w:ascii="Times New Roman" w:hAnsi="Times New Roman" w:cs="Times New Roman"/>
                <w:sz w:val="20"/>
                <w:szCs w:val="20"/>
              </w:rPr>
            </w:pPr>
          </w:p>
        </w:tc>
      </w:tr>
      <w:tr w:rsidR="0035187E" w:rsidRPr="0035187E" w14:paraId="612A1219"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1C1D995" w14:textId="7777777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12.</w:t>
            </w:r>
          </w:p>
        </w:tc>
        <w:tc>
          <w:tcPr>
            <w:tcW w:w="583" w:type="pct"/>
            <w:tcBorders>
              <w:top w:val="single" w:sz="4" w:space="0" w:color="auto"/>
              <w:left w:val="single" w:sz="4" w:space="0" w:color="auto"/>
              <w:right w:val="single" w:sz="4" w:space="0" w:color="auto"/>
            </w:tcBorders>
            <w:shd w:val="clear" w:color="auto" w:fill="auto"/>
          </w:tcPr>
          <w:p w14:paraId="74C4FB79" w14:textId="7777777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zemědělství</w:t>
            </w:r>
          </w:p>
        </w:tc>
        <w:tc>
          <w:tcPr>
            <w:tcW w:w="168" w:type="pct"/>
            <w:tcBorders>
              <w:top w:val="single" w:sz="4" w:space="0" w:color="auto"/>
              <w:left w:val="single" w:sz="4" w:space="0" w:color="auto"/>
              <w:right w:val="single" w:sz="4" w:space="0" w:color="auto"/>
            </w:tcBorders>
            <w:shd w:val="clear" w:color="auto" w:fill="auto"/>
          </w:tcPr>
          <w:p w14:paraId="43F042B3" w14:textId="120B8F08"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3.</w:t>
            </w:r>
          </w:p>
        </w:tc>
        <w:tc>
          <w:tcPr>
            <w:tcW w:w="169" w:type="pct"/>
            <w:tcBorders>
              <w:top w:val="single" w:sz="4" w:space="0" w:color="auto"/>
              <w:left w:val="single" w:sz="4" w:space="0" w:color="auto"/>
              <w:right w:val="single" w:sz="4" w:space="0" w:color="auto"/>
            </w:tcBorders>
            <w:shd w:val="clear" w:color="auto" w:fill="auto"/>
          </w:tcPr>
          <w:p w14:paraId="733B9CAC" w14:textId="4D954289"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2B6F2A8" w14:textId="77777777" w:rsidR="00BE73FF" w:rsidRPr="0035187E" w:rsidRDefault="00BE73FF" w:rsidP="0035187E">
            <w:pPr>
              <w:jc w:val="both"/>
              <w:rPr>
                <w:rFonts w:ascii="Times New Roman" w:hAnsi="Times New Roman" w:cs="Times New Roman"/>
                <w:b/>
                <w:bCs/>
                <w:sz w:val="20"/>
                <w:szCs w:val="20"/>
                <w:u w:val="single"/>
              </w:rPr>
            </w:pPr>
            <w:r w:rsidRPr="0035187E">
              <w:rPr>
                <w:rFonts w:ascii="Times New Roman" w:hAnsi="Times New Roman" w:cs="Times New Roman"/>
                <w:b/>
                <w:bCs/>
                <w:sz w:val="20"/>
                <w:szCs w:val="20"/>
                <w:u w:val="single"/>
              </w:rPr>
              <w:t>II. Doporučující</w:t>
            </w:r>
          </w:p>
          <w:p w14:paraId="50F675E8" w14:textId="249A308C" w:rsidR="00BE73FF" w:rsidRPr="0035187E" w:rsidRDefault="00BE73FF" w:rsidP="0035187E">
            <w:pPr>
              <w:jc w:val="both"/>
              <w:rPr>
                <w:rFonts w:ascii="Times New Roman" w:hAnsi="Times New Roman" w:cs="Times New Roman"/>
                <w:b/>
                <w:bCs/>
                <w:sz w:val="20"/>
                <w:szCs w:val="20"/>
                <w:u w:val="single"/>
              </w:rPr>
            </w:pPr>
            <w:r w:rsidRPr="0035187E">
              <w:rPr>
                <w:rFonts w:ascii="Times New Roman" w:hAnsi="Times New Roman" w:cs="Times New Roman"/>
                <w:bCs/>
                <w:sz w:val="20"/>
                <w:szCs w:val="20"/>
              </w:rPr>
              <w:t>V </w:t>
            </w:r>
            <w:r w:rsidRPr="0035187E">
              <w:rPr>
                <w:rFonts w:ascii="Times New Roman" w:hAnsi="Times New Roman" w:cs="Times New Roman"/>
                <w:bCs/>
                <w:sz w:val="20"/>
                <w:szCs w:val="20"/>
                <w:u w:val="single"/>
              </w:rPr>
              <w:t xml:space="preserve">návrhu usnesení vlády </w:t>
            </w:r>
            <w:r w:rsidRPr="0035187E">
              <w:rPr>
                <w:rFonts w:ascii="Times New Roman" w:hAnsi="Times New Roman" w:cs="Times New Roman"/>
                <w:bCs/>
                <w:sz w:val="20"/>
                <w:szCs w:val="20"/>
              </w:rPr>
              <w:t>doporučujeme v části IV slova „podle bodu IV.2." nahradit slovy „podle bodu III.2.“. Jde zřejmě o překlep.</w:t>
            </w:r>
          </w:p>
        </w:tc>
        <w:tc>
          <w:tcPr>
            <w:tcW w:w="1453" w:type="pct"/>
            <w:tcBorders>
              <w:top w:val="single" w:sz="4" w:space="0" w:color="auto"/>
              <w:left w:val="single" w:sz="4" w:space="0" w:color="auto"/>
              <w:right w:val="single" w:sz="4" w:space="0" w:color="auto"/>
            </w:tcBorders>
            <w:shd w:val="clear" w:color="auto" w:fill="auto"/>
          </w:tcPr>
          <w:p w14:paraId="10DF1A62" w14:textId="77777777" w:rsidR="00975AB8" w:rsidRPr="0035187E" w:rsidRDefault="00975AB8"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Vyhověno.</w:t>
            </w:r>
          </w:p>
          <w:p w14:paraId="1A163633" w14:textId="13C1A90C" w:rsidR="00BE73FF" w:rsidRPr="0035187E" w:rsidRDefault="00975AB8"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tc>
      </w:tr>
      <w:tr w:rsidR="0035187E" w:rsidRPr="0035187E" w14:paraId="62C1F8A6"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605458A" w14:textId="7777777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12.</w:t>
            </w:r>
          </w:p>
        </w:tc>
        <w:tc>
          <w:tcPr>
            <w:tcW w:w="583" w:type="pct"/>
            <w:tcBorders>
              <w:top w:val="single" w:sz="4" w:space="0" w:color="auto"/>
              <w:left w:val="single" w:sz="4" w:space="0" w:color="auto"/>
              <w:right w:val="single" w:sz="4" w:space="0" w:color="auto"/>
            </w:tcBorders>
            <w:shd w:val="clear" w:color="auto" w:fill="auto"/>
          </w:tcPr>
          <w:p w14:paraId="33498DA9" w14:textId="7777777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zemědělství</w:t>
            </w:r>
          </w:p>
        </w:tc>
        <w:tc>
          <w:tcPr>
            <w:tcW w:w="168" w:type="pct"/>
            <w:tcBorders>
              <w:top w:val="single" w:sz="4" w:space="0" w:color="auto"/>
              <w:left w:val="single" w:sz="4" w:space="0" w:color="auto"/>
              <w:right w:val="single" w:sz="4" w:space="0" w:color="auto"/>
            </w:tcBorders>
            <w:shd w:val="clear" w:color="auto" w:fill="auto"/>
          </w:tcPr>
          <w:p w14:paraId="27CC4DA9" w14:textId="6276E758"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4.</w:t>
            </w:r>
          </w:p>
        </w:tc>
        <w:tc>
          <w:tcPr>
            <w:tcW w:w="169" w:type="pct"/>
            <w:tcBorders>
              <w:top w:val="single" w:sz="4" w:space="0" w:color="auto"/>
              <w:left w:val="single" w:sz="4" w:space="0" w:color="auto"/>
              <w:right w:val="single" w:sz="4" w:space="0" w:color="auto"/>
            </w:tcBorders>
            <w:shd w:val="clear" w:color="auto" w:fill="auto"/>
          </w:tcPr>
          <w:p w14:paraId="63CC07E3" w14:textId="72266F3D"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389C2FC" w14:textId="77777777" w:rsidR="00BE73FF" w:rsidRPr="0035187E" w:rsidRDefault="00BE73FF" w:rsidP="0035187E">
            <w:pPr>
              <w:jc w:val="both"/>
              <w:rPr>
                <w:rFonts w:ascii="Times New Roman" w:hAnsi="Times New Roman" w:cs="Times New Roman"/>
                <w:b/>
                <w:bCs/>
                <w:sz w:val="20"/>
                <w:szCs w:val="20"/>
                <w:u w:val="single"/>
              </w:rPr>
            </w:pPr>
            <w:r w:rsidRPr="0035187E">
              <w:rPr>
                <w:rFonts w:ascii="Times New Roman" w:hAnsi="Times New Roman" w:cs="Times New Roman"/>
                <w:b/>
                <w:bCs/>
                <w:sz w:val="20"/>
                <w:szCs w:val="20"/>
                <w:u w:val="single"/>
              </w:rPr>
              <w:t>II. Doporučující</w:t>
            </w:r>
          </w:p>
          <w:p w14:paraId="233DA634" w14:textId="648B4C1F"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sz w:val="20"/>
                <w:szCs w:val="20"/>
                <w:u w:val="single"/>
              </w:rPr>
              <w:t>K předkládací zprávě</w:t>
            </w:r>
          </w:p>
          <w:p w14:paraId="255771D9" w14:textId="3510936E"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sz w:val="20"/>
                <w:szCs w:val="20"/>
              </w:rPr>
              <w:t>Na první straně ve třetím odstavci shora doporučujeme v poslední větě slovo „daňovým“ odstranit. Máme za to, že jde o duplicitu – „daňové inkaso daní“. </w:t>
            </w:r>
          </w:p>
        </w:tc>
        <w:tc>
          <w:tcPr>
            <w:tcW w:w="1453" w:type="pct"/>
            <w:tcBorders>
              <w:top w:val="single" w:sz="4" w:space="0" w:color="auto"/>
              <w:left w:val="single" w:sz="4" w:space="0" w:color="auto"/>
              <w:right w:val="single" w:sz="4" w:space="0" w:color="auto"/>
            </w:tcBorders>
            <w:shd w:val="clear" w:color="auto" w:fill="auto"/>
          </w:tcPr>
          <w:p w14:paraId="26B75844" w14:textId="00F0E868"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sz w:val="20"/>
                <w:szCs w:val="20"/>
              </w:rPr>
              <w:t>73</w:t>
            </w:r>
          </w:p>
        </w:tc>
      </w:tr>
      <w:tr w:rsidR="0035187E" w:rsidRPr="0035187E" w14:paraId="270E1E09"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466CF13D" w14:textId="7777777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12.</w:t>
            </w:r>
          </w:p>
        </w:tc>
        <w:tc>
          <w:tcPr>
            <w:tcW w:w="583" w:type="pct"/>
            <w:tcBorders>
              <w:top w:val="single" w:sz="4" w:space="0" w:color="auto"/>
              <w:left w:val="single" w:sz="4" w:space="0" w:color="auto"/>
              <w:right w:val="single" w:sz="4" w:space="0" w:color="auto"/>
            </w:tcBorders>
            <w:shd w:val="clear" w:color="auto" w:fill="auto"/>
          </w:tcPr>
          <w:p w14:paraId="5C6F9171" w14:textId="7777777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zemědělství</w:t>
            </w:r>
          </w:p>
        </w:tc>
        <w:tc>
          <w:tcPr>
            <w:tcW w:w="168" w:type="pct"/>
            <w:tcBorders>
              <w:top w:val="single" w:sz="4" w:space="0" w:color="auto"/>
              <w:left w:val="single" w:sz="4" w:space="0" w:color="auto"/>
              <w:right w:val="single" w:sz="4" w:space="0" w:color="auto"/>
            </w:tcBorders>
            <w:shd w:val="clear" w:color="auto" w:fill="auto"/>
          </w:tcPr>
          <w:p w14:paraId="3F2B858D" w14:textId="42D4AFC0"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5.</w:t>
            </w:r>
          </w:p>
        </w:tc>
        <w:tc>
          <w:tcPr>
            <w:tcW w:w="169" w:type="pct"/>
            <w:tcBorders>
              <w:top w:val="single" w:sz="4" w:space="0" w:color="auto"/>
              <w:left w:val="single" w:sz="4" w:space="0" w:color="auto"/>
              <w:right w:val="single" w:sz="4" w:space="0" w:color="auto"/>
            </w:tcBorders>
            <w:shd w:val="clear" w:color="auto" w:fill="auto"/>
          </w:tcPr>
          <w:p w14:paraId="03AF427A" w14:textId="47865F76"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3A1CAE7" w14:textId="77777777" w:rsidR="00BE73FF" w:rsidRPr="0035187E" w:rsidRDefault="00BE73FF" w:rsidP="0035187E">
            <w:pPr>
              <w:jc w:val="both"/>
              <w:rPr>
                <w:rFonts w:ascii="Times New Roman" w:hAnsi="Times New Roman" w:cs="Times New Roman"/>
                <w:b/>
                <w:bCs/>
                <w:sz w:val="20"/>
                <w:szCs w:val="20"/>
                <w:u w:val="single"/>
              </w:rPr>
            </w:pPr>
            <w:r w:rsidRPr="0035187E">
              <w:rPr>
                <w:rFonts w:ascii="Times New Roman" w:hAnsi="Times New Roman" w:cs="Times New Roman"/>
                <w:b/>
                <w:bCs/>
                <w:sz w:val="20"/>
                <w:szCs w:val="20"/>
                <w:u w:val="single"/>
              </w:rPr>
              <w:t>II. Doporučující</w:t>
            </w:r>
          </w:p>
          <w:p w14:paraId="7A12B79E" w14:textId="77777777" w:rsidR="00BE73FF" w:rsidRPr="0035187E" w:rsidRDefault="00BE73FF"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K návrhu zákona o evidenci tržeb</w:t>
            </w:r>
          </w:p>
          <w:p w14:paraId="0FC4FA27" w14:textId="77777777" w:rsidR="00BE73FF" w:rsidRPr="0035187E" w:rsidRDefault="00BE73FF"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 xml:space="preserve">K § 12 odst. 5 – doporučujeme slova „v odstavci 3“ nahradit slovy </w:t>
            </w:r>
          </w:p>
          <w:p w14:paraId="7595E409" w14:textId="12BD6451" w:rsidR="00BE73FF" w:rsidRPr="0035187E" w:rsidRDefault="00BE73FF"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„v odstavci 4“, jde zřejmě o překlep.</w:t>
            </w:r>
          </w:p>
        </w:tc>
        <w:tc>
          <w:tcPr>
            <w:tcW w:w="1453" w:type="pct"/>
            <w:tcBorders>
              <w:top w:val="single" w:sz="4" w:space="0" w:color="auto"/>
              <w:left w:val="single" w:sz="4" w:space="0" w:color="auto"/>
              <w:right w:val="single" w:sz="4" w:space="0" w:color="auto"/>
            </w:tcBorders>
            <w:shd w:val="clear" w:color="auto" w:fill="auto"/>
          </w:tcPr>
          <w:p w14:paraId="75FBE78F" w14:textId="77777777" w:rsidR="00BE73FF" w:rsidRPr="0035187E" w:rsidRDefault="00BE73FF"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Vyhověno.</w:t>
            </w:r>
          </w:p>
          <w:p w14:paraId="125A236F" w14:textId="5BEF5D92"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tc>
      </w:tr>
      <w:tr w:rsidR="0035187E" w:rsidRPr="0035187E" w14:paraId="2ED6E7D2"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3A30866" w14:textId="7777777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12.</w:t>
            </w:r>
          </w:p>
        </w:tc>
        <w:tc>
          <w:tcPr>
            <w:tcW w:w="583" w:type="pct"/>
            <w:tcBorders>
              <w:top w:val="single" w:sz="4" w:space="0" w:color="auto"/>
              <w:left w:val="single" w:sz="4" w:space="0" w:color="auto"/>
              <w:right w:val="single" w:sz="4" w:space="0" w:color="auto"/>
            </w:tcBorders>
            <w:shd w:val="clear" w:color="auto" w:fill="auto"/>
          </w:tcPr>
          <w:p w14:paraId="008615B0" w14:textId="7777777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zemědělství</w:t>
            </w:r>
          </w:p>
        </w:tc>
        <w:tc>
          <w:tcPr>
            <w:tcW w:w="168" w:type="pct"/>
            <w:tcBorders>
              <w:top w:val="single" w:sz="4" w:space="0" w:color="auto"/>
              <w:left w:val="single" w:sz="4" w:space="0" w:color="auto"/>
              <w:right w:val="single" w:sz="4" w:space="0" w:color="auto"/>
            </w:tcBorders>
            <w:shd w:val="clear" w:color="auto" w:fill="auto"/>
          </w:tcPr>
          <w:p w14:paraId="32FAB23E" w14:textId="349CAD15"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6.</w:t>
            </w:r>
          </w:p>
        </w:tc>
        <w:tc>
          <w:tcPr>
            <w:tcW w:w="169" w:type="pct"/>
            <w:tcBorders>
              <w:top w:val="single" w:sz="4" w:space="0" w:color="auto"/>
              <w:left w:val="single" w:sz="4" w:space="0" w:color="auto"/>
              <w:right w:val="single" w:sz="4" w:space="0" w:color="auto"/>
            </w:tcBorders>
            <w:shd w:val="clear" w:color="auto" w:fill="auto"/>
          </w:tcPr>
          <w:p w14:paraId="5694BBEE" w14:textId="090905B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327916E9" w14:textId="77777777" w:rsidR="00BE73FF" w:rsidRPr="0035187E" w:rsidRDefault="00BE73FF" w:rsidP="0035187E">
            <w:pPr>
              <w:jc w:val="both"/>
              <w:rPr>
                <w:rFonts w:ascii="Times New Roman" w:hAnsi="Times New Roman" w:cs="Times New Roman"/>
                <w:b/>
                <w:bCs/>
                <w:sz w:val="20"/>
                <w:szCs w:val="20"/>
                <w:u w:val="single"/>
              </w:rPr>
            </w:pPr>
            <w:r w:rsidRPr="0035187E">
              <w:rPr>
                <w:rFonts w:ascii="Times New Roman" w:hAnsi="Times New Roman" w:cs="Times New Roman"/>
                <w:b/>
                <w:bCs/>
                <w:sz w:val="20"/>
                <w:szCs w:val="20"/>
                <w:u w:val="single"/>
              </w:rPr>
              <w:t>II. Doporučující</w:t>
            </w:r>
          </w:p>
          <w:p w14:paraId="02DF8FFC" w14:textId="77777777" w:rsidR="00BE73FF" w:rsidRPr="0035187E" w:rsidRDefault="00BE73FF"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K návrhu zákona o evidenci tržeb</w:t>
            </w:r>
          </w:p>
          <w:p w14:paraId="22FA82C6" w14:textId="04800B50"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sz w:val="20"/>
                <w:szCs w:val="20"/>
              </w:rPr>
              <w:t>V § 13 odst. 1 písm. d) doporučujeme slovo „hrazených“ nahradit slovem „hrazené“.</w:t>
            </w:r>
          </w:p>
        </w:tc>
        <w:tc>
          <w:tcPr>
            <w:tcW w:w="1453" w:type="pct"/>
            <w:tcBorders>
              <w:top w:val="single" w:sz="4" w:space="0" w:color="auto"/>
              <w:left w:val="single" w:sz="4" w:space="0" w:color="auto"/>
              <w:right w:val="single" w:sz="4" w:space="0" w:color="auto"/>
            </w:tcBorders>
            <w:shd w:val="clear" w:color="auto" w:fill="auto"/>
          </w:tcPr>
          <w:p w14:paraId="5EE06936" w14:textId="77777777" w:rsidR="00BE73FF" w:rsidRPr="0035187E" w:rsidRDefault="007D3B1D" w:rsidP="0035187E">
            <w:pPr>
              <w:jc w:val="both"/>
              <w:rPr>
                <w:rFonts w:ascii="Times New Roman" w:hAnsi="Times New Roman" w:cs="Times New Roman"/>
                <w:b/>
                <w:sz w:val="20"/>
                <w:szCs w:val="20"/>
              </w:rPr>
            </w:pPr>
            <w:r w:rsidRPr="0035187E">
              <w:rPr>
                <w:rFonts w:ascii="Times New Roman" w:hAnsi="Times New Roman" w:cs="Times New Roman"/>
                <w:b/>
                <w:sz w:val="20"/>
                <w:szCs w:val="20"/>
              </w:rPr>
              <w:t>Nevyhověno.</w:t>
            </w:r>
          </w:p>
          <w:p w14:paraId="7F77B7E6" w14:textId="60E7A7E9" w:rsidR="007D3B1D" w:rsidRPr="0035187E" w:rsidRDefault="007D3B1D" w:rsidP="0035187E">
            <w:pPr>
              <w:jc w:val="both"/>
              <w:rPr>
                <w:rFonts w:ascii="Times New Roman" w:hAnsi="Times New Roman" w:cs="Times New Roman"/>
                <w:sz w:val="20"/>
                <w:szCs w:val="20"/>
              </w:rPr>
            </w:pPr>
            <w:r w:rsidRPr="0035187E">
              <w:rPr>
                <w:rFonts w:ascii="Times New Roman" w:hAnsi="Times New Roman" w:cs="Times New Roman"/>
                <w:sz w:val="20"/>
                <w:szCs w:val="20"/>
              </w:rPr>
              <w:t>Změnou by došlo k nežádoucí věcné změně.</w:t>
            </w:r>
          </w:p>
        </w:tc>
      </w:tr>
      <w:tr w:rsidR="0035187E" w:rsidRPr="0035187E" w14:paraId="25A2F693"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588211C" w14:textId="7777777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12.</w:t>
            </w:r>
          </w:p>
        </w:tc>
        <w:tc>
          <w:tcPr>
            <w:tcW w:w="583" w:type="pct"/>
            <w:tcBorders>
              <w:top w:val="single" w:sz="4" w:space="0" w:color="auto"/>
              <w:left w:val="single" w:sz="4" w:space="0" w:color="auto"/>
              <w:right w:val="single" w:sz="4" w:space="0" w:color="auto"/>
            </w:tcBorders>
            <w:shd w:val="clear" w:color="auto" w:fill="auto"/>
          </w:tcPr>
          <w:p w14:paraId="526ADD07" w14:textId="7777777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zemědělství</w:t>
            </w:r>
          </w:p>
        </w:tc>
        <w:tc>
          <w:tcPr>
            <w:tcW w:w="168" w:type="pct"/>
            <w:tcBorders>
              <w:top w:val="single" w:sz="4" w:space="0" w:color="auto"/>
              <w:left w:val="single" w:sz="4" w:space="0" w:color="auto"/>
              <w:right w:val="single" w:sz="4" w:space="0" w:color="auto"/>
            </w:tcBorders>
            <w:shd w:val="clear" w:color="auto" w:fill="auto"/>
          </w:tcPr>
          <w:p w14:paraId="68AE35AC" w14:textId="5C09D656"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7.</w:t>
            </w:r>
          </w:p>
        </w:tc>
        <w:tc>
          <w:tcPr>
            <w:tcW w:w="169" w:type="pct"/>
            <w:tcBorders>
              <w:top w:val="single" w:sz="4" w:space="0" w:color="auto"/>
              <w:left w:val="single" w:sz="4" w:space="0" w:color="auto"/>
              <w:right w:val="single" w:sz="4" w:space="0" w:color="auto"/>
            </w:tcBorders>
            <w:shd w:val="clear" w:color="auto" w:fill="auto"/>
          </w:tcPr>
          <w:p w14:paraId="7E4E0968" w14:textId="3A2CFAC6"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CEA8415" w14:textId="77777777" w:rsidR="00BE73FF" w:rsidRPr="0035187E" w:rsidRDefault="00BE73FF" w:rsidP="0035187E">
            <w:pPr>
              <w:jc w:val="both"/>
              <w:rPr>
                <w:rFonts w:ascii="Times New Roman" w:hAnsi="Times New Roman" w:cs="Times New Roman"/>
                <w:b/>
                <w:bCs/>
                <w:sz w:val="20"/>
                <w:szCs w:val="20"/>
                <w:u w:val="single"/>
              </w:rPr>
            </w:pPr>
            <w:r w:rsidRPr="0035187E">
              <w:rPr>
                <w:rFonts w:ascii="Times New Roman" w:hAnsi="Times New Roman" w:cs="Times New Roman"/>
                <w:b/>
                <w:bCs/>
                <w:sz w:val="20"/>
                <w:szCs w:val="20"/>
                <w:u w:val="single"/>
              </w:rPr>
              <w:t>II. Doporučující</w:t>
            </w:r>
          </w:p>
          <w:p w14:paraId="53892E44" w14:textId="77777777" w:rsidR="00BE73FF" w:rsidRPr="0035187E" w:rsidRDefault="00BE73FF"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K návrhu zákona o evidenci tržeb</w:t>
            </w:r>
          </w:p>
          <w:p w14:paraId="1EF0F752" w14:textId="77777777"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 V § 14 odst. 5 dáváme k uvážení zavedení výjimky z evidované tržby pro farmářské trhy, kde často prodávají malí podnikatelé. </w:t>
            </w:r>
          </w:p>
          <w:p w14:paraId="1D4CD9FC" w14:textId="77777777" w:rsidR="00BE73FF" w:rsidRPr="0035187E" w:rsidRDefault="00BE73FF" w:rsidP="0035187E">
            <w:pPr>
              <w:jc w:val="both"/>
              <w:rPr>
                <w:rFonts w:ascii="Times New Roman" w:hAnsi="Times New Roman" w:cs="Times New Roman"/>
                <w:sz w:val="20"/>
                <w:szCs w:val="20"/>
              </w:rPr>
            </w:pPr>
          </w:p>
          <w:p w14:paraId="12CBD9A3" w14:textId="2853602E"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sz w:val="20"/>
                <w:szCs w:val="20"/>
              </w:rPr>
              <w:t>Také doporučujeme doplnit prodej vánočních stromků za výjimku pro sezónní prodej sladkovodních ryb v období od 18. do 24. prosince. I prodej vánočních stromků se vyznačuje krátkým časovým úsekem, venkovním zimním prostředím, technickou obtížností evidence a nárazovým provozním zatížením.</w:t>
            </w:r>
          </w:p>
        </w:tc>
        <w:tc>
          <w:tcPr>
            <w:tcW w:w="1453" w:type="pct"/>
            <w:tcBorders>
              <w:top w:val="single" w:sz="4" w:space="0" w:color="auto"/>
              <w:left w:val="single" w:sz="4" w:space="0" w:color="auto"/>
              <w:right w:val="single" w:sz="4" w:space="0" w:color="auto"/>
            </w:tcBorders>
            <w:shd w:val="clear" w:color="auto" w:fill="auto"/>
          </w:tcPr>
          <w:p w14:paraId="7C392C48" w14:textId="77777777" w:rsidR="00E06734" w:rsidRPr="0035187E" w:rsidRDefault="00E06734" w:rsidP="0035187E">
            <w:pPr>
              <w:jc w:val="both"/>
              <w:rPr>
                <w:rFonts w:ascii="Times New Roman" w:hAnsi="Times New Roman" w:cs="Times New Roman"/>
                <w:b/>
                <w:sz w:val="20"/>
                <w:szCs w:val="20"/>
              </w:rPr>
            </w:pPr>
            <w:r w:rsidRPr="0035187E">
              <w:rPr>
                <w:rFonts w:ascii="Times New Roman" w:hAnsi="Times New Roman" w:cs="Times New Roman"/>
                <w:b/>
                <w:sz w:val="20"/>
                <w:szCs w:val="20"/>
              </w:rPr>
              <w:t>Nevyhověno.</w:t>
            </w:r>
          </w:p>
          <w:p w14:paraId="3CF3A4D8" w14:textId="516CA62F" w:rsidR="00E06734" w:rsidRPr="0035187E" w:rsidRDefault="00E06734" w:rsidP="0035187E">
            <w:pPr>
              <w:jc w:val="both"/>
              <w:rPr>
                <w:rFonts w:ascii="Times New Roman" w:hAnsi="Times New Roman" w:cs="Times New Roman"/>
                <w:sz w:val="20"/>
                <w:szCs w:val="20"/>
              </w:rPr>
            </w:pPr>
            <w:r w:rsidRPr="0035187E">
              <w:rPr>
                <w:rFonts w:ascii="Times New Roman" w:hAnsi="Times New Roman" w:cs="Times New Roman"/>
                <w:sz w:val="20"/>
                <w:szCs w:val="20"/>
              </w:rPr>
              <w:t>Není žádoucí zavádět výjimku tohoto typu. Pro drobné podnikatele jsou k dispozici jiné způsoby vynětí (zejm. podle § 12 odst. 3).</w:t>
            </w:r>
          </w:p>
          <w:p w14:paraId="3169099F" w14:textId="128A41A8" w:rsidR="007D3B1D" w:rsidRPr="0035187E" w:rsidRDefault="00E0673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Ad vánoční </w:t>
            </w:r>
            <w:proofErr w:type="gramStart"/>
            <w:r w:rsidRPr="0035187E">
              <w:rPr>
                <w:rFonts w:ascii="Times New Roman" w:hAnsi="Times New Roman" w:cs="Times New Roman"/>
                <w:sz w:val="20"/>
                <w:szCs w:val="20"/>
              </w:rPr>
              <w:t>stromky - tento</w:t>
            </w:r>
            <w:proofErr w:type="gramEnd"/>
            <w:r w:rsidRPr="0035187E">
              <w:rPr>
                <w:rFonts w:ascii="Times New Roman" w:hAnsi="Times New Roman" w:cs="Times New Roman"/>
                <w:sz w:val="20"/>
                <w:szCs w:val="20"/>
              </w:rPr>
              <w:t xml:space="preserve"> typ prodeje nevykazuje všechny znaky, které vedly k vynětí sezónního prodeje sladkovodních ryb (blíže viz odůvodnění k tomuto bodu).</w:t>
            </w:r>
          </w:p>
        </w:tc>
      </w:tr>
      <w:tr w:rsidR="0035187E" w:rsidRPr="0035187E" w14:paraId="47AC15B3"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7DA28C3" w14:textId="7777777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12.</w:t>
            </w:r>
          </w:p>
        </w:tc>
        <w:tc>
          <w:tcPr>
            <w:tcW w:w="583" w:type="pct"/>
            <w:tcBorders>
              <w:top w:val="single" w:sz="4" w:space="0" w:color="auto"/>
              <w:left w:val="single" w:sz="4" w:space="0" w:color="auto"/>
              <w:right w:val="single" w:sz="4" w:space="0" w:color="auto"/>
            </w:tcBorders>
            <w:shd w:val="clear" w:color="auto" w:fill="auto"/>
          </w:tcPr>
          <w:p w14:paraId="075AA5FF" w14:textId="7777777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zemědělství</w:t>
            </w:r>
          </w:p>
        </w:tc>
        <w:tc>
          <w:tcPr>
            <w:tcW w:w="168" w:type="pct"/>
            <w:tcBorders>
              <w:top w:val="single" w:sz="4" w:space="0" w:color="auto"/>
              <w:left w:val="single" w:sz="4" w:space="0" w:color="auto"/>
              <w:right w:val="single" w:sz="4" w:space="0" w:color="auto"/>
            </w:tcBorders>
            <w:shd w:val="clear" w:color="auto" w:fill="auto"/>
          </w:tcPr>
          <w:p w14:paraId="3B9EE381" w14:textId="772B9AEB"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8.</w:t>
            </w:r>
          </w:p>
        </w:tc>
        <w:tc>
          <w:tcPr>
            <w:tcW w:w="169" w:type="pct"/>
            <w:tcBorders>
              <w:top w:val="single" w:sz="4" w:space="0" w:color="auto"/>
              <w:left w:val="single" w:sz="4" w:space="0" w:color="auto"/>
              <w:right w:val="single" w:sz="4" w:space="0" w:color="auto"/>
            </w:tcBorders>
            <w:shd w:val="clear" w:color="auto" w:fill="auto"/>
          </w:tcPr>
          <w:p w14:paraId="598AAAB9" w14:textId="6A9D47BB"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57B1C92" w14:textId="77777777" w:rsidR="00BE73FF" w:rsidRPr="0035187E" w:rsidRDefault="00BE73FF" w:rsidP="0035187E">
            <w:pPr>
              <w:jc w:val="both"/>
              <w:rPr>
                <w:rFonts w:ascii="Times New Roman" w:hAnsi="Times New Roman" w:cs="Times New Roman"/>
                <w:b/>
                <w:bCs/>
                <w:sz w:val="20"/>
                <w:szCs w:val="20"/>
                <w:u w:val="single"/>
              </w:rPr>
            </w:pPr>
            <w:r w:rsidRPr="0035187E">
              <w:rPr>
                <w:rFonts w:ascii="Times New Roman" w:hAnsi="Times New Roman" w:cs="Times New Roman"/>
                <w:b/>
                <w:bCs/>
                <w:sz w:val="20"/>
                <w:szCs w:val="20"/>
                <w:u w:val="single"/>
              </w:rPr>
              <w:t>II. Doporučující</w:t>
            </w:r>
          </w:p>
          <w:p w14:paraId="61A6FCB9" w14:textId="77777777" w:rsidR="00BE73FF" w:rsidRPr="0035187E" w:rsidRDefault="00BE73FF"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K návrhu zákona o evidenci tržeb</w:t>
            </w:r>
          </w:p>
          <w:p w14:paraId="37C45366" w14:textId="61243224"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sz w:val="20"/>
                <w:szCs w:val="20"/>
              </w:rPr>
              <w:t>V § 15 doporučujeme uvést, že certifikát bude poskytován bezúplatně, odpovídá-li to skutečnosti. Případně v této souvislosti doporučujeme doplnit důvodovou zprávu.</w:t>
            </w:r>
          </w:p>
        </w:tc>
        <w:tc>
          <w:tcPr>
            <w:tcW w:w="1453" w:type="pct"/>
            <w:tcBorders>
              <w:top w:val="single" w:sz="4" w:space="0" w:color="auto"/>
              <w:left w:val="single" w:sz="4" w:space="0" w:color="auto"/>
              <w:right w:val="single" w:sz="4" w:space="0" w:color="auto"/>
            </w:tcBorders>
            <w:shd w:val="clear" w:color="auto" w:fill="auto"/>
          </w:tcPr>
          <w:p w14:paraId="6E098AF7" w14:textId="288565FB" w:rsidR="00BE73FF" w:rsidRPr="0035187E" w:rsidRDefault="00EF7577"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01C041E1" w14:textId="74EF6278" w:rsidR="00EF7577" w:rsidRPr="0035187E" w:rsidRDefault="00EF7577" w:rsidP="0035187E">
            <w:pPr>
              <w:jc w:val="both"/>
              <w:rPr>
                <w:rFonts w:ascii="Times New Roman" w:hAnsi="Times New Roman" w:cs="Times New Roman"/>
                <w:sz w:val="20"/>
                <w:szCs w:val="20"/>
              </w:rPr>
            </w:pPr>
            <w:r w:rsidRPr="0035187E">
              <w:rPr>
                <w:rFonts w:ascii="Times New Roman" w:hAnsi="Times New Roman" w:cs="Times New Roman"/>
                <w:sz w:val="20"/>
                <w:szCs w:val="20"/>
              </w:rPr>
              <w:t>K tomu, aby mohla být požadována úplata, by bylo nutné normovat příslušný poplatek či obdobné povinné peněžité plnění. Vzhledem k tomu, že žádná taková norma v návrhu není, je zřejmé, že získání certifikátu je bezúplatné.</w:t>
            </w:r>
          </w:p>
        </w:tc>
      </w:tr>
      <w:tr w:rsidR="0035187E" w:rsidRPr="0035187E" w14:paraId="55BDA55A"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FC96061" w14:textId="7777777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12.</w:t>
            </w:r>
          </w:p>
        </w:tc>
        <w:tc>
          <w:tcPr>
            <w:tcW w:w="583" w:type="pct"/>
            <w:tcBorders>
              <w:top w:val="single" w:sz="4" w:space="0" w:color="auto"/>
              <w:left w:val="single" w:sz="4" w:space="0" w:color="auto"/>
              <w:right w:val="single" w:sz="4" w:space="0" w:color="auto"/>
            </w:tcBorders>
            <w:shd w:val="clear" w:color="auto" w:fill="auto"/>
          </w:tcPr>
          <w:p w14:paraId="5B832661" w14:textId="7777777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zemědělství</w:t>
            </w:r>
          </w:p>
        </w:tc>
        <w:tc>
          <w:tcPr>
            <w:tcW w:w="168" w:type="pct"/>
            <w:tcBorders>
              <w:top w:val="single" w:sz="4" w:space="0" w:color="auto"/>
              <w:left w:val="single" w:sz="4" w:space="0" w:color="auto"/>
              <w:right w:val="single" w:sz="4" w:space="0" w:color="auto"/>
            </w:tcBorders>
            <w:shd w:val="clear" w:color="auto" w:fill="auto"/>
          </w:tcPr>
          <w:p w14:paraId="51643978" w14:textId="4912A878"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9.</w:t>
            </w:r>
          </w:p>
        </w:tc>
        <w:tc>
          <w:tcPr>
            <w:tcW w:w="169" w:type="pct"/>
            <w:tcBorders>
              <w:top w:val="single" w:sz="4" w:space="0" w:color="auto"/>
              <w:left w:val="single" w:sz="4" w:space="0" w:color="auto"/>
              <w:right w:val="single" w:sz="4" w:space="0" w:color="auto"/>
            </w:tcBorders>
            <w:shd w:val="clear" w:color="auto" w:fill="auto"/>
          </w:tcPr>
          <w:p w14:paraId="0CFD8F75" w14:textId="2ED5CDEA"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46B8627" w14:textId="77777777" w:rsidR="00BE73FF" w:rsidRPr="0035187E" w:rsidRDefault="00BE73FF" w:rsidP="0035187E">
            <w:pPr>
              <w:jc w:val="both"/>
              <w:rPr>
                <w:rFonts w:ascii="Times New Roman" w:hAnsi="Times New Roman" w:cs="Times New Roman"/>
                <w:b/>
                <w:bCs/>
                <w:sz w:val="20"/>
                <w:szCs w:val="20"/>
                <w:u w:val="single"/>
              </w:rPr>
            </w:pPr>
            <w:r w:rsidRPr="0035187E">
              <w:rPr>
                <w:rFonts w:ascii="Times New Roman" w:hAnsi="Times New Roman" w:cs="Times New Roman"/>
                <w:b/>
                <w:bCs/>
                <w:sz w:val="20"/>
                <w:szCs w:val="20"/>
                <w:u w:val="single"/>
              </w:rPr>
              <w:t>II. Doporučující</w:t>
            </w:r>
          </w:p>
          <w:p w14:paraId="0B8832A7" w14:textId="77777777" w:rsidR="00BE73FF" w:rsidRPr="0035187E" w:rsidRDefault="00BE73FF"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K návrhu zákona o evidenci tržeb</w:t>
            </w:r>
          </w:p>
          <w:p w14:paraId="76752D54" w14:textId="66EED265"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sz w:val="20"/>
                <w:szCs w:val="20"/>
              </w:rPr>
              <w:t>V § 18 odst. 1 písm. f) se uvádí jako údaj o evidované tržbě „celková částka tržby uvedená v české měně“. Doporučujeme doplnit důvodovou zprávu o informaci, jak má být v této souvislosti postupováno, byla-li platba provedena v jiné měně (tj. např. jaký se používá kurz apod.).</w:t>
            </w:r>
          </w:p>
        </w:tc>
        <w:tc>
          <w:tcPr>
            <w:tcW w:w="1453" w:type="pct"/>
            <w:tcBorders>
              <w:top w:val="single" w:sz="4" w:space="0" w:color="auto"/>
              <w:left w:val="single" w:sz="4" w:space="0" w:color="auto"/>
              <w:right w:val="single" w:sz="4" w:space="0" w:color="auto"/>
            </w:tcBorders>
            <w:shd w:val="clear" w:color="auto" w:fill="auto"/>
          </w:tcPr>
          <w:p w14:paraId="2683EA0D" w14:textId="29DFAF73" w:rsidR="00AA425B" w:rsidRPr="0035187E" w:rsidRDefault="00AA425B" w:rsidP="0035187E">
            <w:pPr>
              <w:jc w:val="both"/>
              <w:rPr>
                <w:rFonts w:ascii="Times New Roman" w:hAnsi="Times New Roman" w:cs="Times New Roman"/>
                <w:b/>
                <w:sz w:val="20"/>
                <w:szCs w:val="20"/>
              </w:rPr>
            </w:pPr>
            <w:r w:rsidRPr="0035187E">
              <w:rPr>
                <w:rFonts w:ascii="Times New Roman" w:hAnsi="Times New Roman" w:cs="Times New Roman"/>
                <w:b/>
                <w:sz w:val="20"/>
                <w:szCs w:val="20"/>
              </w:rPr>
              <w:t>Vyhověno.</w:t>
            </w:r>
          </w:p>
          <w:p w14:paraId="055A92D1" w14:textId="2ABD4132" w:rsidR="00AA425B" w:rsidRPr="0035187E" w:rsidRDefault="00AA425B" w:rsidP="0035187E">
            <w:pPr>
              <w:jc w:val="both"/>
              <w:rPr>
                <w:rFonts w:ascii="Times New Roman" w:hAnsi="Times New Roman" w:cs="Times New Roman"/>
                <w:sz w:val="20"/>
                <w:szCs w:val="20"/>
              </w:rPr>
            </w:pPr>
            <w:r w:rsidRPr="0035187E">
              <w:rPr>
                <w:rFonts w:ascii="Times New Roman" w:hAnsi="Times New Roman" w:cs="Times New Roman"/>
                <w:sz w:val="20"/>
                <w:szCs w:val="20"/>
              </w:rPr>
              <w:t>Text důvodové zprávy byl doplněn.</w:t>
            </w:r>
          </w:p>
          <w:p w14:paraId="0858E7B4" w14:textId="77379BCA" w:rsidR="00BE73FF" w:rsidRPr="0035187E" w:rsidRDefault="00BE73FF" w:rsidP="0035187E">
            <w:pPr>
              <w:jc w:val="both"/>
              <w:rPr>
                <w:rFonts w:ascii="Times New Roman" w:hAnsi="Times New Roman" w:cs="Times New Roman"/>
                <w:sz w:val="20"/>
                <w:szCs w:val="20"/>
              </w:rPr>
            </w:pPr>
          </w:p>
        </w:tc>
      </w:tr>
      <w:tr w:rsidR="0035187E" w:rsidRPr="0035187E" w14:paraId="2860BADA"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77D5A0A" w14:textId="7777777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12.</w:t>
            </w:r>
          </w:p>
        </w:tc>
        <w:tc>
          <w:tcPr>
            <w:tcW w:w="583" w:type="pct"/>
            <w:tcBorders>
              <w:top w:val="single" w:sz="4" w:space="0" w:color="auto"/>
              <w:left w:val="single" w:sz="4" w:space="0" w:color="auto"/>
              <w:right w:val="single" w:sz="4" w:space="0" w:color="auto"/>
            </w:tcBorders>
            <w:shd w:val="clear" w:color="auto" w:fill="auto"/>
          </w:tcPr>
          <w:p w14:paraId="4EF4247F" w14:textId="7777777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zemědělství</w:t>
            </w:r>
          </w:p>
        </w:tc>
        <w:tc>
          <w:tcPr>
            <w:tcW w:w="168" w:type="pct"/>
            <w:tcBorders>
              <w:top w:val="single" w:sz="4" w:space="0" w:color="auto"/>
              <w:left w:val="single" w:sz="4" w:space="0" w:color="auto"/>
              <w:right w:val="single" w:sz="4" w:space="0" w:color="auto"/>
            </w:tcBorders>
            <w:shd w:val="clear" w:color="auto" w:fill="auto"/>
          </w:tcPr>
          <w:p w14:paraId="07290770" w14:textId="170FBA65"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10.</w:t>
            </w:r>
          </w:p>
        </w:tc>
        <w:tc>
          <w:tcPr>
            <w:tcW w:w="169" w:type="pct"/>
            <w:tcBorders>
              <w:top w:val="single" w:sz="4" w:space="0" w:color="auto"/>
              <w:left w:val="single" w:sz="4" w:space="0" w:color="auto"/>
              <w:right w:val="single" w:sz="4" w:space="0" w:color="auto"/>
            </w:tcBorders>
            <w:shd w:val="clear" w:color="auto" w:fill="auto"/>
          </w:tcPr>
          <w:p w14:paraId="4C0F0B5C" w14:textId="5B4962F2"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3A9D1F3A" w14:textId="77777777" w:rsidR="00BE73FF" w:rsidRPr="0035187E" w:rsidRDefault="00BE73FF" w:rsidP="0035187E">
            <w:pPr>
              <w:jc w:val="both"/>
              <w:rPr>
                <w:rFonts w:ascii="Times New Roman" w:hAnsi="Times New Roman" w:cs="Times New Roman"/>
                <w:b/>
                <w:bCs/>
                <w:sz w:val="20"/>
                <w:szCs w:val="20"/>
                <w:u w:val="single"/>
              </w:rPr>
            </w:pPr>
            <w:r w:rsidRPr="0035187E">
              <w:rPr>
                <w:rFonts w:ascii="Times New Roman" w:hAnsi="Times New Roman" w:cs="Times New Roman"/>
                <w:b/>
                <w:bCs/>
                <w:sz w:val="20"/>
                <w:szCs w:val="20"/>
                <w:u w:val="single"/>
              </w:rPr>
              <w:t>II. Doporučující</w:t>
            </w:r>
          </w:p>
          <w:p w14:paraId="1A4AC534" w14:textId="77777777" w:rsidR="00BE73FF" w:rsidRPr="0035187E" w:rsidRDefault="00BE73FF"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K návrhu zákona o evidenci tržeb</w:t>
            </w:r>
          </w:p>
          <w:p w14:paraId="1B230669" w14:textId="77777777"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V § 26 odst. 3 se zakotvuje možnost celního úřadu předat věc </w:t>
            </w:r>
          </w:p>
          <w:p w14:paraId="7833A0AF" w14:textId="29B9A0FE"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sz w:val="20"/>
                <w:szCs w:val="20"/>
              </w:rPr>
              <w:t>v podstatě kterémukoli finančnímu úřadu. Dáváme k uvážení, zda by místní příslušnost neměla být specifikována více s ohledem na poplatníka (např. sídlo, bydliště apod.).</w:t>
            </w:r>
          </w:p>
        </w:tc>
        <w:tc>
          <w:tcPr>
            <w:tcW w:w="1453" w:type="pct"/>
            <w:tcBorders>
              <w:top w:val="single" w:sz="4" w:space="0" w:color="auto"/>
              <w:left w:val="single" w:sz="4" w:space="0" w:color="auto"/>
              <w:right w:val="single" w:sz="4" w:space="0" w:color="auto"/>
            </w:tcBorders>
            <w:shd w:val="clear" w:color="auto" w:fill="auto"/>
          </w:tcPr>
          <w:p w14:paraId="2F05CD50" w14:textId="77777777" w:rsidR="00BE73FF" w:rsidRPr="0035187E" w:rsidRDefault="00300DB5"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6FA858BA" w14:textId="15FCEF8F" w:rsidR="00300DB5" w:rsidRPr="0035187E" w:rsidRDefault="00300DB5" w:rsidP="0035187E">
            <w:pPr>
              <w:jc w:val="both"/>
              <w:rPr>
                <w:rFonts w:ascii="Times New Roman" w:hAnsi="Times New Roman" w:cs="Times New Roman"/>
                <w:sz w:val="20"/>
                <w:szCs w:val="20"/>
              </w:rPr>
            </w:pPr>
            <w:r w:rsidRPr="0035187E">
              <w:rPr>
                <w:rFonts w:ascii="Times New Roman" w:hAnsi="Times New Roman" w:cs="Times New Roman"/>
                <w:sz w:val="20"/>
                <w:szCs w:val="20"/>
              </w:rPr>
              <w:t>Uvedené je záměrem, přičemž důvody jsou uvedeny v důvodové zprávě.</w:t>
            </w:r>
          </w:p>
        </w:tc>
      </w:tr>
      <w:tr w:rsidR="0035187E" w:rsidRPr="0035187E" w14:paraId="72ECDE5A"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1ED0A99" w14:textId="7777777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12.</w:t>
            </w:r>
          </w:p>
        </w:tc>
        <w:tc>
          <w:tcPr>
            <w:tcW w:w="583" w:type="pct"/>
            <w:tcBorders>
              <w:top w:val="single" w:sz="4" w:space="0" w:color="auto"/>
              <w:left w:val="single" w:sz="4" w:space="0" w:color="auto"/>
              <w:right w:val="single" w:sz="4" w:space="0" w:color="auto"/>
            </w:tcBorders>
            <w:shd w:val="clear" w:color="auto" w:fill="auto"/>
          </w:tcPr>
          <w:p w14:paraId="1DBC5B69" w14:textId="7777777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zemědělství</w:t>
            </w:r>
          </w:p>
        </w:tc>
        <w:tc>
          <w:tcPr>
            <w:tcW w:w="168" w:type="pct"/>
            <w:tcBorders>
              <w:top w:val="single" w:sz="4" w:space="0" w:color="auto"/>
              <w:left w:val="single" w:sz="4" w:space="0" w:color="auto"/>
              <w:right w:val="single" w:sz="4" w:space="0" w:color="auto"/>
            </w:tcBorders>
            <w:shd w:val="clear" w:color="auto" w:fill="auto"/>
          </w:tcPr>
          <w:p w14:paraId="5E0B9E17" w14:textId="5130D7E9"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11.</w:t>
            </w:r>
          </w:p>
        </w:tc>
        <w:tc>
          <w:tcPr>
            <w:tcW w:w="169" w:type="pct"/>
            <w:tcBorders>
              <w:top w:val="single" w:sz="4" w:space="0" w:color="auto"/>
              <w:left w:val="single" w:sz="4" w:space="0" w:color="auto"/>
              <w:right w:val="single" w:sz="4" w:space="0" w:color="auto"/>
            </w:tcBorders>
            <w:shd w:val="clear" w:color="auto" w:fill="auto"/>
          </w:tcPr>
          <w:p w14:paraId="7EBCB51D" w14:textId="2965CF0F"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8EA91E5" w14:textId="77777777" w:rsidR="00BE73FF" w:rsidRPr="0035187E" w:rsidRDefault="00BE73FF" w:rsidP="0035187E">
            <w:pPr>
              <w:jc w:val="both"/>
              <w:rPr>
                <w:rFonts w:ascii="Times New Roman" w:hAnsi="Times New Roman" w:cs="Times New Roman"/>
                <w:b/>
                <w:bCs/>
                <w:sz w:val="20"/>
                <w:szCs w:val="20"/>
                <w:u w:val="single"/>
              </w:rPr>
            </w:pPr>
            <w:r w:rsidRPr="0035187E">
              <w:rPr>
                <w:rFonts w:ascii="Times New Roman" w:hAnsi="Times New Roman" w:cs="Times New Roman"/>
                <w:b/>
                <w:bCs/>
                <w:sz w:val="20"/>
                <w:szCs w:val="20"/>
                <w:u w:val="single"/>
              </w:rPr>
              <w:t>II. Doporučující</w:t>
            </w:r>
          </w:p>
          <w:p w14:paraId="14652E62" w14:textId="09711E0C" w:rsidR="00BE73FF" w:rsidRPr="0035187E" w:rsidRDefault="00BE73FF"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 xml:space="preserve">K části </w:t>
            </w:r>
            <w:proofErr w:type="gramStart"/>
            <w:r w:rsidRPr="0035187E">
              <w:rPr>
                <w:rFonts w:ascii="Times New Roman" w:hAnsi="Times New Roman" w:cs="Times New Roman"/>
                <w:sz w:val="20"/>
                <w:szCs w:val="20"/>
                <w:u w:val="single"/>
              </w:rPr>
              <w:t>druhé - novela</w:t>
            </w:r>
            <w:proofErr w:type="gramEnd"/>
            <w:r w:rsidRPr="0035187E">
              <w:rPr>
                <w:rFonts w:ascii="Times New Roman" w:hAnsi="Times New Roman" w:cs="Times New Roman"/>
                <w:sz w:val="20"/>
                <w:szCs w:val="20"/>
                <w:u w:val="single"/>
              </w:rPr>
              <w:t xml:space="preserve"> zákona o daních z příjmů (§ 30)</w:t>
            </w:r>
          </w:p>
          <w:p w14:paraId="287D14CB" w14:textId="2E9350A4"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sz w:val="20"/>
                <w:szCs w:val="20"/>
              </w:rPr>
              <w:t>K bodu 6 [§ 6 odst. 9 písm. g)] - osvobození od daně u spropitného jen pro zaměstnance v gastronomii. Doporučujeme vysvětlit, z jakého důvodu se toto osvobození netýká všech ostatních podnikatelů a zaměstnavatelů za poskytování služeb, kteří rovněž přijímají spropitné (např. kadeřníci, taxikáři, řemeslníci apod).</w:t>
            </w:r>
          </w:p>
        </w:tc>
        <w:tc>
          <w:tcPr>
            <w:tcW w:w="1453" w:type="pct"/>
            <w:tcBorders>
              <w:top w:val="single" w:sz="4" w:space="0" w:color="auto"/>
              <w:left w:val="single" w:sz="4" w:space="0" w:color="auto"/>
              <w:right w:val="single" w:sz="4" w:space="0" w:color="auto"/>
            </w:tcBorders>
            <w:shd w:val="clear" w:color="auto" w:fill="auto"/>
          </w:tcPr>
          <w:p w14:paraId="73F7BCCF" w14:textId="77777777" w:rsidR="002C4637" w:rsidRPr="0035187E" w:rsidRDefault="002C4637" w:rsidP="0035187E">
            <w:pPr>
              <w:jc w:val="both"/>
              <w:rPr>
                <w:rFonts w:ascii="Times New Roman" w:hAnsi="Times New Roman" w:cs="Times New Roman"/>
                <w:sz w:val="20"/>
                <w:szCs w:val="20"/>
              </w:rPr>
            </w:pPr>
            <w:r w:rsidRPr="0035187E">
              <w:rPr>
                <w:rFonts w:ascii="Times New Roman" w:hAnsi="Times New Roman" w:cs="Times New Roman"/>
                <w:b/>
                <w:sz w:val="20"/>
                <w:szCs w:val="20"/>
              </w:rPr>
              <w:t>Nevyhověno.</w:t>
            </w:r>
          </w:p>
          <w:p w14:paraId="02134292" w14:textId="77777777" w:rsidR="002C4637" w:rsidRPr="0035187E" w:rsidRDefault="002C4637" w:rsidP="0035187E">
            <w:pPr>
              <w:jc w:val="both"/>
              <w:rPr>
                <w:rFonts w:ascii="Times New Roman" w:hAnsi="Times New Roman" w:cs="Times New Roman"/>
                <w:sz w:val="20"/>
                <w:szCs w:val="20"/>
              </w:rPr>
            </w:pPr>
            <w:r w:rsidRPr="0035187E">
              <w:rPr>
                <w:rFonts w:ascii="Times New Roman" w:hAnsi="Times New Roman" w:cs="Times New Roman"/>
                <w:sz w:val="20"/>
                <w:szCs w:val="20"/>
              </w:rPr>
              <w:t>Navržené vymezení spropitného je záměrně koncipováno užším způsobem s cílem cílit úpravu primárně na oblast gastronomie, kde spropitné dlouhodobě představuje významnou a stabilní složku příjmů zaměstnanců. Tomu odpovídá i nastavení daňového režimu, který je navázán na zaměstnavatele, přičemž při splnění stanovených podmínek je spropitné vyplácené zaměstnancům osvobozeno od daně do zákonem stanoveného limitu.</w:t>
            </w:r>
          </w:p>
          <w:p w14:paraId="619381F1" w14:textId="37ED87C6" w:rsidR="00BE73FF" w:rsidRPr="0035187E" w:rsidRDefault="002C4637" w:rsidP="0035187E">
            <w:pPr>
              <w:jc w:val="both"/>
              <w:rPr>
                <w:rFonts w:ascii="Times New Roman" w:hAnsi="Times New Roman" w:cs="Times New Roman"/>
                <w:sz w:val="20"/>
                <w:szCs w:val="20"/>
              </w:rPr>
            </w:pPr>
            <w:r w:rsidRPr="0035187E">
              <w:rPr>
                <w:rFonts w:ascii="Times New Roman" w:hAnsi="Times New Roman" w:cs="Times New Roman"/>
                <w:sz w:val="20"/>
                <w:szCs w:val="20"/>
              </w:rPr>
              <w:t>Rozšíření této úpravy na další odvětví služeb nebylo shledáno účelným. V těchto případech spropitné zpravidla nepředstavuje natolik významnou část příjmů, která by odůvodňovala zavedení zvláštního daňového režimu. Navržené řešení tak reflektuje specifika odvětví gastronomie a sleduje cílené a přiměřené nastavení daňové úpravy bez rozšiřování na další oblasti, kde pro takový postup nejsou dostatečné věcné důvody.</w:t>
            </w:r>
          </w:p>
        </w:tc>
      </w:tr>
      <w:tr w:rsidR="0035187E" w:rsidRPr="0035187E" w14:paraId="5A738F49"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41B20CE" w14:textId="7777777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12.</w:t>
            </w:r>
          </w:p>
        </w:tc>
        <w:tc>
          <w:tcPr>
            <w:tcW w:w="583" w:type="pct"/>
            <w:tcBorders>
              <w:top w:val="single" w:sz="4" w:space="0" w:color="auto"/>
              <w:left w:val="single" w:sz="4" w:space="0" w:color="auto"/>
              <w:right w:val="single" w:sz="4" w:space="0" w:color="auto"/>
            </w:tcBorders>
            <w:shd w:val="clear" w:color="auto" w:fill="auto"/>
          </w:tcPr>
          <w:p w14:paraId="1FC626ED" w14:textId="7777777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zemědělství</w:t>
            </w:r>
          </w:p>
        </w:tc>
        <w:tc>
          <w:tcPr>
            <w:tcW w:w="168" w:type="pct"/>
            <w:tcBorders>
              <w:top w:val="single" w:sz="4" w:space="0" w:color="auto"/>
              <w:left w:val="single" w:sz="4" w:space="0" w:color="auto"/>
              <w:right w:val="single" w:sz="4" w:space="0" w:color="auto"/>
            </w:tcBorders>
            <w:shd w:val="clear" w:color="auto" w:fill="auto"/>
          </w:tcPr>
          <w:p w14:paraId="0FD00C65" w14:textId="6BFAAF82"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12.</w:t>
            </w:r>
          </w:p>
        </w:tc>
        <w:tc>
          <w:tcPr>
            <w:tcW w:w="169" w:type="pct"/>
            <w:tcBorders>
              <w:top w:val="single" w:sz="4" w:space="0" w:color="auto"/>
              <w:left w:val="single" w:sz="4" w:space="0" w:color="auto"/>
              <w:right w:val="single" w:sz="4" w:space="0" w:color="auto"/>
            </w:tcBorders>
            <w:shd w:val="clear" w:color="auto" w:fill="auto"/>
          </w:tcPr>
          <w:p w14:paraId="3B783E4E" w14:textId="41C53091"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394B6E7A" w14:textId="77777777" w:rsidR="00BE73FF" w:rsidRPr="0035187E" w:rsidRDefault="00BE73FF" w:rsidP="0035187E">
            <w:pPr>
              <w:jc w:val="both"/>
              <w:rPr>
                <w:rFonts w:ascii="Times New Roman" w:hAnsi="Times New Roman" w:cs="Times New Roman"/>
                <w:b/>
                <w:bCs/>
                <w:sz w:val="20"/>
                <w:szCs w:val="20"/>
                <w:u w:val="single"/>
              </w:rPr>
            </w:pPr>
            <w:r w:rsidRPr="0035187E">
              <w:rPr>
                <w:rFonts w:ascii="Times New Roman" w:hAnsi="Times New Roman" w:cs="Times New Roman"/>
                <w:b/>
                <w:bCs/>
                <w:sz w:val="20"/>
                <w:szCs w:val="20"/>
                <w:u w:val="single"/>
              </w:rPr>
              <w:t>II. Doporučující</w:t>
            </w:r>
          </w:p>
          <w:p w14:paraId="1DDA2280" w14:textId="77777777" w:rsidR="00BE73FF" w:rsidRPr="0035187E" w:rsidRDefault="00BE73FF" w:rsidP="0035187E">
            <w:pPr>
              <w:jc w:val="both"/>
              <w:rPr>
                <w:rFonts w:ascii="Times New Roman" w:hAnsi="Times New Roman" w:cs="Times New Roman"/>
                <w:bCs/>
                <w:sz w:val="20"/>
                <w:szCs w:val="20"/>
                <w:u w:val="single"/>
              </w:rPr>
            </w:pPr>
            <w:r w:rsidRPr="0035187E">
              <w:rPr>
                <w:rFonts w:ascii="Times New Roman" w:hAnsi="Times New Roman" w:cs="Times New Roman"/>
                <w:bCs/>
                <w:sz w:val="20"/>
                <w:szCs w:val="20"/>
                <w:u w:val="single"/>
              </w:rPr>
              <w:t xml:space="preserve">K části </w:t>
            </w:r>
            <w:proofErr w:type="gramStart"/>
            <w:r w:rsidRPr="0035187E">
              <w:rPr>
                <w:rFonts w:ascii="Times New Roman" w:hAnsi="Times New Roman" w:cs="Times New Roman"/>
                <w:bCs/>
                <w:sz w:val="20"/>
                <w:szCs w:val="20"/>
                <w:u w:val="single"/>
              </w:rPr>
              <w:t>druhé - novela</w:t>
            </w:r>
            <w:proofErr w:type="gramEnd"/>
            <w:r w:rsidRPr="0035187E">
              <w:rPr>
                <w:rFonts w:ascii="Times New Roman" w:hAnsi="Times New Roman" w:cs="Times New Roman"/>
                <w:bCs/>
                <w:sz w:val="20"/>
                <w:szCs w:val="20"/>
                <w:u w:val="single"/>
              </w:rPr>
              <w:t xml:space="preserve"> zákona o daních z příjmů (§ 30)</w:t>
            </w:r>
          </w:p>
          <w:p w14:paraId="2AB679C9" w14:textId="77777777"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K bodu 14 (§ 35bd odst. 3) </w:t>
            </w:r>
          </w:p>
          <w:p w14:paraId="0EFB1858" w14:textId="356AD9C7"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sz w:val="20"/>
                <w:szCs w:val="20"/>
              </w:rPr>
              <w:t>Doporučujeme text „Vyživuje-li dítě v jedné společně hospodařící domácnosti více poplatníků“ nahradit textem „Je-li dítě vyživováno více poplatníky“.</w:t>
            </w:r>
          </w:p>
        </w:tc>
        <w:tc>
          <w:tcPr>
            <w:tcW w:w="1453" w:type="pct"/>
            <w:tcBorders>
              <w:top w:val="single" w:sz="4" w:space="0" w:color="auto"/>
              <w:left w:val="single" w:sz="4" w:space="0" w:color="auto"/>
              <w:right w:val="single" w:sz="4" w:space="0" w:color="auto"/>
            </w:tcBorders>
            <w:shd w:val="clear" w:color="auto" w:fill="auto"/>
          </w:tcPr>
          <w:p w14:paraId="75549A20" w14:textId="77777777" w:rsidR="002C4637" w:rsidRPr="0035187E" w:rsidRDefault="002C4637" w:rsidP="0035187E">
            <w:pPr>
              <w:jc w:val="both"/>
              <w:rPr>
                <w:rFonts w:ascii="Times New Roman" w:hAnsi="Times New Roman" w:cs="Times New Roman"/>
                <w:sz w:val="20"/>
                <w:szCs w:val="20"/>
              </w:rPr>
            </w:pPr>
            <w:r w:rsidRPr="0035187E">
              <w:rPr>
                <w:rFonts w:ascii="Times New Roman" w:hAnsi="Times New Roman" w:cs="Times New Roman"/>
                <w:b/>
                <w:sz w:val="20"/>
                <w:szCs w:val="20"/>
              </w:rPr>
              <w:t>Nevyhověno.</w:t>
            </w:r>
          </w:p>
          <w:p w14:paraId="51E1B1EC" w14:textId="01A6CA20" w:rsidR="00BE73FF" w:rsidRPr="0035187E" w:rsidRDefault="002C4637" w:rsidP="0035187E">
            <w:pPr>
              <w:jc w:val="both"/>
              <w:rPr>
                <w:rFonts w:ascii="Times New Roman" w:hAnsi="Times New Roman" w:cs="Times New Roman"/>
                <w:sz w:val="20"/>
                <w:szCs w:val="20"/>
              </w:rPr>
            </w:pPr>
            <w:r w:rsidRPr="0035187E">
              <w:rPr>
                <w:rFonts w:ascii="Times New Roman" w:hAnsi="Times New Roman" w:cs="Times New Roman"/>
                <w:sz w:val="20"/>
                <w:szCs w:val="20"/>
              </w:rPr>
              <w:t>Navrhovanou úpravou by byl odstraněn parametr společně hospodařící domácnosti. Tím by vznikala nejasnost v kontextu odst. 2, který výslovně připouští právo na slevu na dani více poplatníkům, a to právě v situaci, kdy poplatníci (zpravidla rodiče) nežijí ve společně hospodařící domácnosti. Navržená právní úprava v odst. 2 a 3 tak explicitně a komplexně upravuje vztah ke slevě za umístění dítěte jak v případě rodičů (poplatníků), kteří spolu nežijí ve společně hospodařící domácnosti, tak rodičů (poplatníků), kteří vychovávají dítě společně s druhým z rodičů ve společné domácnosti.</w:t>
            </w:r>
          </w:p>
        </w:tc>
      </w:tr>
      <w:tr w:rsidR="0035187E" w:rsidRPr="0035187E" w14:paraId="70E36201"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E4C9E4B" w14:textId="7777777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12.</w:t>
            </w:r>
          </w:p>
        </w:tc>
        <w:tc>
          <w:tcPr>
            <w:tcW w:w="583" w:type="pct"/>
            <w:tcBorders>
              <w:top w:val="single" w:sz="4" w:space="0" w:color="auto"/>
              <w:left w:val="single" w:sz="4" w:space="0" w:color="auto"/>
              <w:right w:val="single" w:sz="4" w:space="0" w:color="auto"/>
            </w:tcBorders>
            <w:shd w:val="clear" w:color="auto" w:fill="auto"/>
          </w:tcPr>
          <w:p w14:paraId="3C618003" w14:textId="7777777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zemědělství</w:t>
            </w:r>
          </w:p>
        </w:tc>
        <w:tc>
          <w:tcPr>
            <w:tcW w:w="168" w:type="pct"/>
            <w:tcBorders>
              <w:top w:val="single" w:sz="4" w:space="0" w:color="auto"/>
              <w:left w:val="single" w:sz="4" w:space="0" w:color="auto"/>
              <w:right w:val="single" w:sz="4" w:space="0" w:color="auto"/>
            </w:tcBorders>
            <w:shd w:val="clear" w:color="auto" w:fill="auto"/>
          </w:tcPr>
          <w:p w14:paraId="0378B8A1" w14:textId="7777777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13.</w:t>
            </w:r>
          </w:p>
        </w:tc>
        <w:tc>
          <w:tcPr>
            <w:tcW w:w="169" w:type="pct"/>
            <w:tcBorders>
              <w:top w:val="single" w:sz="4" w:space="0" w:color="auto"/>
              <w:left w:val="single" w:sz="4" w:space="0" w:color="auto"/>
              <w:right w:val="single" w:sz="4" w:space="0" w:color="auto"/>
            </w:tcBorders>
            <w:shd w:val="clear" w:color="auto" w:fill="auto"/>
          </w:tcPr>
          <w:p w14:paraId="494F9B2E" w14:textId="44E4F468"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30366836" w14:textId="77777777" w:rsidR="00BE73FF" w:rsidRPr="0035187E" w:rsidRDefault="00BE73FF" w:rsidP="0035187E">
            <w:pPr>
              <w:jc w:val="both"/>
              <w:rPr>
                <w:rFonts w:ascii="Times New Roman" w:hAnsi="Times New Roman" w:cs="Times New Roman"/>
                <w:b/>
                <w:bCs/>
                <w:sz w:val="20"/>
                <w:szCs w:val="20"/>
                <w:u w:val="single"/>
              </w:rPr>
            </w:pPr>
            <w:r w:rsidRPr="0035187E">
              <w:rPr>
                <w:rFonts w:ascii="Times New Roman" w:hAnsi="Times New Roman" w:cs="Times New Roman"/>
                <w:b/>
                <w:bCs/>
                <w:sz w:val="20"/>
                <w:szCs w:val="20"/>
                <w:u w:val="single"/>
              </w:rPr>
              <w:t>II. Doporučující</w:t>
            </w:r>
          </w:p>
          <w:p w14:paraId="2EABD33A" w14:textId="77777777" w:rsidR="00BE73FF" w:rsidRPr="0035187E" w:rsidRDefault="00BE73FF"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K důvodové zprávě</w:t>
            </w:r>
          </w:p>
          <w:p w14:paraId="0E011160" w14:textId="37E36432"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sz w:val="20"/>
                <w:szCs w:val="20"/>
              </w:rPr>
              <w:t>Uvádí se, že evidence se bude vztahovat na kontaktní QR platby. Doporučujeme důvodovou zprávu doplnit o informaci, jakou povahu budou mít platby provedené prostřednictvím QR kódu uvedeného na faktuře bez přímého osobního kontaktu a zda, případně jak, bude mezi těmito platbami a platbami na místě rozlišováno z pohledu kontroly řádného provedení povinnosti evidovat tržbu.</w:t>
            </w:r>
          </w:p>
        </w:tc>
        <w:tc>
          <w:tcPr>
            <w:tcW w:w="1453" w:type="pct"/>
            <w:tcBorders>
              <w:top w:val="single" w:sz="4" w:space="0" w:color="auto"/>
              <w:left w:val="single" w:sz="4" w:space="0" w:color="auto"/>
              <w:right w:val="single" w:sz="4" w:space="0" w:color="auto"/>
            </w:tcBorders>
            <w:shd w:val="clear" w:color="auto" w:fill="auto"/>
          </w:tcPr>
          <w:p w14:paraId="200A0AB9" w14:textId="77777777" w:rsidR="00BE73FF" w:rsidRPr="0035187E" w:rsidRDefault="00300DB5"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24FAA8C1" w14:textId="77777777" w:rsidR="00300DB5" w:rsidRPr="0035187E" w:rsidRDefault="00031A7D" w:rsidP="0035187E">
            <w:pPr>
              <w:jc w:val="both"/>
              <w:rPr>
                <w:rFonts w:ascii="Times New Roman" w:hAnsi="Times New Roman" w:cs="Times New Roman"/>
                <w:sz w:val="20"/>
                <w:szCs w:val="20"/>
              </w:rPr>
            </w:pPr>
            <w:r w:rsidRPr="0035187E">
              <w:rPr>
                <w:rFonts w:ascii="Times New Roman" w:hAnsi="Times New Roman" w:cs="Times New Roman"/>
                <w:sz w:val="20"/>
                <w:szCs w:val="20"/>
              </w:rPr>
              <w:t>„</w:t>
            </w:r>
            <w:r w:rsidR="00300DB5" w:rsidRPr="0035187E">
              <w:rPr>
                <w:rFonts w:ascii="Times New Roman" w:hAnsi="Times New Roman" w:cs="Times New Roman"/>
                <w:sz w:val="20"/>
                <w:szCs w:val="20"/>
              </w:rPr>
              <w:t>QR platba</w:t>
            </w:r>
            <w:r w:rsidRPr="0035187E">
              <w:rPr>
                <w:rFonts w:ascii="Times New Roman" w:hAnsi="Times New Roman" w:cs="Times New Roman"/>
                <w:sz w:val="20"/>
                <w:szCs w:val="20"/>
              </w:rPr>
              <w:t>“</w:t>
            </w:r>
            <w:r w:rsidR="00300DB5" w:rsidRPr="0035187E">
              <w:rPr>
                <w:rFonts w:ascii="Times New Roman" w:hAnsi="Times New Roman" w:cs="Times New Roman"/>
                <w:sz w:val="20"/>
                <w:szCs w:val="20"/>
              </w:rPr>
              <w:t xml:space="preserve"> je pouze metodou zadání platby z účtu na účet. Bude se tedy chovat obdobně, jako kdyby k zadání příkazu došlo standardním vyplněním položek. Otázka, zda jde o platbu kontaktní, je na této metodě nezávislá.</w:t>
            </w:r>
          </w:p>
          <w:p w14:paraId="5A04454C" w14:textId="69F0F7ED" w:rsidR="00031A7D" w:rsidRPr="0035187E" w:rsidRDefault="00031A7D" w:rsidP="0035187E">
            <w:pPr>
              <w:jc w:val="both"/>
              <w:rPr>
                <w:rFonts w:ascii="Times New Roman" w:hAnsi="Times New Roman" w:cs="Times New Roman"/>
                <w:sz w:val="20"/>
                <w:szCs w:val="20"/>
              </w:rPr>
            </w:pPr>
          </w:p>
        </w:tc>
      </w:tr>
      <w:tr w:rsidR="0035187E" w:rsidRPr="0035187E" w14:paraId="3C454A15"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E33A1B2" w14:textId="7777777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12.</w:t>
            </w:r>
          </w:p>
        </w:tc>
        <w:tc>
          <w:tcPr>
            <w:tcW w:w="583" w:type="pct"/>
            <w:tcBorders>
              <w:top w:val="single" w:sz="4" w:space="0" w:color="auto"/>
              <w:left w:val="single" w:sz="4" w:space="0" w:color="auto"/>
              <w:right w:val="single" w:sz="4" w:space="0" w:color="auto"/>
            </w:tcBorders>
            <w:shd w:val="clear" w:color="auto" w:fill="auto"/>
          </w:tcPr>
          <w:p w14:paraId="7DCF01B4" w14:textId="77777777"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zemědělství</w:t>
            </w:r>
          </w:p>
        </w:tc>
        <w:tc>
          <w:tcPr>
            <w:tcW w:w="168" w:type="pct"/>
            <w:tcBorders>
              <w:top w:val="single" w:sz="4" w:space="0" w:color="auto"/>
              <w:left w:val="single" w:sz="4" w:space="0" w:color="auto"/>
              <w:right w:val="single" w:sz="4" w:space="0" w:color="auto"/>
            </w:tcBorders>
            <w:shd w:val="clear" w:color="auto" w:fill="auto"/>
          </w:tcPr>
          <w:p w14:paraId="098140A5" w14:textId="7ED495A5"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14.</w:t>
            </w:r>
          </w:p>
        </w:tc>
        <w:tc>
          <w:tcPr>
            <w:tcW w:w="169" w:type="pct"/>
            <w:tcBorders>
              <w:top w:val="single" w:sz="4" w:space="0" w:color="auto"/>
              <w:left w:val="single" w:sz="4" w:space="0" w:color="auto"/>
              <w:right w:val="single" w:sz="4" w:space="0" w:color="auto"/>
            </w:tcBorders>
            <w:shd w:val="clear" w:color="auto" w:fill="auto"/>
          </w:tcPr>
          <w:p w14:paraId="3E999CEF" w14:textId="725B3B38"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A017787" w14:textId="77777777" w:rsidR="00BE73FF" w:rsidRPr="0035187E" w:rsidRDefault="00BE73FF" w:rsidP="0035187E">
            <w:pPr>
              <w:jc w:val="both"/>
              <w:rPr>
                <w:rFonts w:ascii="Times New Roman" w:hAnsi="Times New Roman" w:cs="Times New Roman"/>
                <w:b/>
                <w:bCs/>
                <w:sz w:val="20"/>
                <w:szCs w:val="20"/>
                <w:u w:val="single"/>
              </w:rPr>
            </w:pPr>
            <w:r w:rsidRPr="0035187E">
              <w:rPr>
                <w:rFonts w:ascii="Times New Roman" w:hAnsi="Times New Roman" w:cs="Times New Roman"/>
                <w:b/>
                <w:bCs/>
                <w:sz w:val="20"/>
                <w:szCs w:val="20"/>
                <w:u w:val="single"/>
              </w:rPr>
              <w:t>II. Doporučující</w:t>
            </w:r>
          </w:p>
          <w:p w14:paraId="253661C6" w14:textId="77777777" w:rsidR="00BE73FF" w:rsidRPr="0035187E" w:rsidRDefault="00BE73FF"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K důvodové zprávě</w:t>
            </w:r>
          </w:p>
          <w:p w14:paraId="26264FFF" w14:textId="525B7DD0"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sz w:val="20"/>
                <w:szCs w:val="20"/>
              </w:rPr>
              <w:t>Uvádí se, že na principu „vstřícnosti a spolupráce“ bude poskytnuto softwarové řešení „pro subjekty, které nemají vlastní softwarové řešení pro evidenci tržeb a nehodlají na něj vynakládat výdaje“. Rovněž se uvádí, že toto řešení bude připraveno zejména pro menší subjekty a bude zdarma. Doporučujeme důvodovou zprávu doplnit o informaci, zda existuje analýza, kolik subjektů v tuto chvíli má vlastní softwarové řešení, které by bylo schopné dostát požadavkům navrhovaného zákona po ev. update. Dále, zda existuje analýza, pro kolik subjektů by mělo být softwarové řešení poskytnuto zdarma, respektive uvést podmínky pro využití tohoto řešení (jaká bude velikost podnikatele a jak se bude ověřovat apod.). Máme za to, že adresáti, jichž by se měl tento vstřícný přístup týkat, by měli vědět, za jakých podmínek se jich může týkat a také, že se na něj mohou spolehnout (tj. bude zřejmé, od kdy bude funkční, případně připraven k testování).</w:t>
            </w:r>
          </w:p>
        </w:tc>
        <w:tc>
          <w:tcPr>
            <w:tcW w:w="1453" w:type="pct"/>
            <w:tcBorders>
              <w:top w:val="single" w:sz="4" w:space="0" w:color="auto"/>
              <w:left w:val="single" w:sz="4" w:space="0" w:color="auto"/>
              <w:right w:val="single" w:sz="4" w:space="0" w:color="auto"/>
            </w:tcBorders>
            <w:shd w:val="clear" w:color="auto" w:fill="auto"/>
          </w:tcPr>
          <w:p w14:paraId="26D7B4F1" w14:textId="7A59E548"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sz w:val="20"/>
                <w:szCs w:val="20"/>
              </w:rPr>
              <w:t>73</w:t>
            </w:r>
          </w:p>
        </w:tc>
      </w:tr>
      <w:tr w:rsidR="0035187E" w:rsidRPr="0035187E" w14:paraId="526BC30F"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A46D94C" w14:textId="79E1A32B"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12.</w:t>
            </w:r>
          </w:p>
        </w:tc>
        <w:tc>
          <w:tcPr>
            <w:tcW w:w="583" w:type="pct"/>
            <w:tcBorders>
              <w:top w:val="single" w:sz="4" w:space="0" w:color="auto"/>
              <w:left w:val="single" w:sz="4" w:space="0" w:color="auto"/>
              <w:right w:val="single" w:sz="4" w:space="0" w:color="auto"/>
            </w:tcBorders>
            <w:shd w:val="clear" w:color="auto" w:fill="auto"/>
          </w:tcPr>
          <w:p w14:paraId="7B0AF2FA" w14:textId="11C50140"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Ministerstvo zemědělství</w:t>
            </w:r>
          </w:p>
        </w:tc>
        <w:tc>
          <w:tcPr>
            <w:tcW w:w="168" w:type="pct"/>
            <w:tcBorders>
              <w:top w:val="single" w:sz="4" w:space="0" w:color="auto"/>
              <w:left w:val="single" w:sz="4" w:space="0" w:color="auto"/>
              <w:right w:val="single" w:sz="4" w:space="0" w:color="auto"/>
            </w:tcBorders>
            <w:shd w:val="clear" w:color="auto" w:fill="auto"/>
          </w:tcPr>
          <w:p w14:paraId="6E184DC3" w14:textId="4016D12D"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15.</w:t>
            </w:r>
          </w:p>
        </w:tc>
        <w:tc>
          <w:tcPr>
            <w:tcW w:w="169" w:type="pct"/>
            <w:tcBorders>
              <w:top w:val="single" w:sz="4" w:space="0" w:color="auto"/>
              <w:left w:val="single" w:sz="4" w:space="0" w:color="auto"/>
              <w:right w:val="single" w:sz="4" w:space="0" w:color="auto"/>
            </w:tcBorders>
            <w:shd w:val="clear" w:color="auto" w:fill="auto"/>
          </w:tcPr>
          <w:p w14:paraId="356C363D" w14:textId="46638111"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8002784" w14:textId="77777777" w:rsidR="00BE73FF" w:rsidRPr="0035187E" w:rsidRDefault="00BE73FF" w:rsidP="0035187E">
            <w:pPr>
              <w:jc w:val="both"/>
              <w:rPr>
                <w:rFonts w:ascii="Times New Roman" w:hAnsi="Times New Roman" w:cs="Times New Roman"/>
                <w:b/>
                <w:bCs/>
                <w:sz w:val="20"/>
                <w:szCs w:val="20"/>
                <w:u w:val="single"/>
              </w:rPr>
            </w:pPr>
            <w:r w:rsidRPr="0035187E">
              <w:rPr>
                <w:rFonts w:ascii="Times New Roman" w:hAnsi="Times New Roman" w:cs="Times New Roman"/>
                <w:b/>
                <w:bCs/>
                <w:sz w:val="20"/>
                <w:szCs w:val="20"/>
                <w:u w:val="single"/>
              </w:rPr>
              <w:t>II. Doporučující</w:t>
            </w:r>
          </w:p>
          <w:p w14:paraId="1C2DE2F2" w14:textId="77777777" w:rsidR="00BE73FF" w:rsidRPr="0035187E" w:rsidRDefault="00BE73FF"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K důvodové zprávě</w:t>
            </w:r>
          </w:p>
          <w:p w14:paraId="13699A81" w14:textId="2FAAD9FA"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sz w:val="20"/>
                <w:szCs w:val="20"/>
              </w:rPr>
              <w:t>Ve vztahu ke spropitnému doporučujeme postavit najisto, jak má být postupováno z pohledu evidence tržeb v případě, kdy bude poskytnuto spropitné přímo konkrétnímu zaměstnanci v hotovosti. Spropitné vnímáme jako dobrovolnou částku poskytovanou nad rámec ceny vlastního zboží/služby různými osobami. Spropitné je možné zaplatit bezhotovostně, tj. připočíst k ceně zboží/služby, v tu chvíli jde daná částka na účet daného podnikatele (zaměstnavatele), který s ní dále bude pracovat dle příslušných parametrů. Nicméně bude-li poskytnuto spropitné v hotovosti konkrétnímu zaměstnanci daného podnikatele, doporučujeme vysvětlit, na koho dopadá povinnost evidence, resp. zda na někoho dopadá.</w:t>
            </w:r>
          </w:p>
        </w:tc>
        <w:tc>
          <w:tcPr>
            <w:tcW w:w="1453" w:type="pct"/>
            <w:tcBorders>
              <w:top w:val="single" w:sz="4" w:space="0" w:color="auto"/>
              <w:left w:val="single" w:sz="4" w:space="0" w:color="auto"/>
              <w:right w:val="single" w:sz="4" w:space="0" w:color="auto"/>
            </w:tcBorders>
            <w:shd w:val="clear" w:color="auto" w:fill="auto"/>
          </w:tcPr>
          <w:p w14:paraId="3047D627" w14:textId="1DB7BD2C" w:rsidR="00031A7D" w:rsidRPr="0035187E" w:rsidRDefault="00031A7D"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55590042" w14:textId="06812B38" w:rsidR="00BE73FF" w:rsidRPr="0035187E" w:rsidRDefault="00031A7D" w:rsidP="0035187E">
            <w:pPr>
              <w:jc w:val="both"/>
              <w:rPr>
                <w:rFonts w:ascii="Times New Roman" w:hAnsi="Times New Roman" w:cs="Times New Roman"/>
                <w:sz w:val="20"/>
                <w:szCs w:val="20"/>
              </w:rPr>
            </w:pPr>
            <w:r w:rsidRPr="0035187E">
              <w:rPr>
                <w:rFonts w:ascii="Times New Roman" w:hAnsi="Times New Roman" w:cs="Times New Roman"/>
                <w:sz w:val="20"/>
                <w:szCs w:val="20"/>
              </w:rPr>
              <w:t>U spropitného bude záviset, zda je příjmem podnikatele (pak není důvod pro jeho oddělení od ostatních příjmů), anebo je příjmem jeho zaměstnanců (pak je žádoucí, aby si tento podnikatel vedl záznam o tom, jaký objem z obdržených tržeb připadá na spropitné). Z pohledu splnění povinnosti evidovat tržbu není nutné, aby k tomuto oddělení docházelo již při zaevidování tržby.</w:t>
            </w:r>
            <w:r w:rsidR="001C32EC" w:rsidRPr="0035187E">
              <w:rPr>
                <w:rFonts w:ascii="Times New Roman" w:hAnsi="Times New Roman" w:cs="Times New Roman"/>
                <w:sz w:val="20"/>
                <w:szCs w:val="20"/>
              </w:rPr>
              <w:t xml:space="preserve"> Současně platí, že podrobnosti k jednotlivým tématům budou metodicky upraveny a zveřejněny ze strany Generálního finančního ředitelství.</w:t>
            </w:r>
          </w:p>
        </w:tc>
      </w:tr>
      <w:tr w:rsidR="0035187E" w:rsidRPr="0035187E" w14:paraId="388ECE3C"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979BA88" w14:textId="77777777" w:rsidR="00EC15A5" w:rsidRPr="0035187E" w:rsidRDefault="00EC15A5" w:rsidP="0035187E">
            <w:pPr>
              <w:jc w:val="center"/>
              <w:rPr>
                <w:rFonts w:ascii="Times New Roman" w:hAnsi="Times New Roman" w:cs="Times New Roman"/>
                <w:sz w:val="20"/>
                <w:szCs w:val="20"/>
              </w:rPr>
            </w:pPr>
            <w:r w:rsidRPr="0035187E">
              <w:rPr>
                <w:rFonts w:ascii="Times New Roman" w:hAnsi="Times New Roman" w:cs="Times New Roman"/>
                <w:sz w:val="20"/>
                <w:szCs w:val="20"/>
              </w:rPr>
              <w:t>14.</w:t>
            </w:r>
          </w:p>
        </w:tc>
        <w:tc>
          <w:tcPr>
            <w:tcW w:w="583" w:type="pct"/>
            <w:tcBorders>
              <w:top w:val="single" w:sz="4" w:space="0" w:color="auto"/>
              <w:left w:val="single" w:sz="4" w:space="0" w:color="auto"/>
              <w:right w:val="single" w:sz="4" w:space="0" w:color="auto"/>
            </w:tcBorders>
            <w:shd w:val="clear" w:color="auto" w:fill="auto"/>
          </w:tcPr>
          <w:p w14:paraId="0DF5C083" w14:textId="77777777" w:rsidR="00EC15A5" w:rsidRPr="0035187E" w:rsidRDefault="00EC15A5"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Úřad vlády České </w:t>
            </w:r>
            <w:proofErr w:type="gramStart"/>
            <w:r w:rsidRPr="0035187E">
              <w:rPr>
                <w:rFonts w:ascii="Times New Roman" w:hAnsi="Times New Roman" w:cs="Times New Roman"/>
                <w:sz w:val="20"/>
                <w:szCs w:val="20"/>
              </w:rPr>
              <w:t>republiky - Kabinet</w:t>
            </w:r>
            <w:proofErr w:type="gramEnd"/>
            <w:r w:rsidRPr="0035187E">
              <w:rPr>
                <w:rFonts w:ascii="Times New Roman" w:hAnsi="Times New Roman" w:cs="Times New Roman"/>
                <w:sz w:val="20"/>
                <w:szCs w:val="20"/>
              </w:rPr>
              <w:t xml:space="preserve"> vedoucího Úřadu vlády</w:t>
            </w:r>
          </w:p>
        </w:tc>
        <w:tc>
          <w:tcPr>
            <w:tcW w:w="168" w:type="pct"/>
            <w:tcBorders>
              <w:top w:val="single" w:sz="4" w:space="0" w:color="auto"/>
              <w:left w:val="single" w:sz="4" w:space="0" w:color="auto"/>
              <w:right w:val="single" w:sz="4" w:space="0" w:color="auto"/>
            </w:tcBorders>
            <w:shd w:val="clear" w:color="auto" w:fill="auto"/>
          </w:tcPr>
          <w:p w14:paraId="27E7118C" w14:textId="622376B0" w:rsidR="00EC15A5" w:rsidRPr="0035187E" w:rsidRDefault="00EC15A5"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6698E4ED" w14:textId="77777777" w:rsidR="00EC15A5" w:rsidRPr="0035187E" w:rsidRDefault="00EC15A5"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DCB66D0" w14:textId="77777777" w:rsidR="00EC15A5" w:rsidRPr="0035187E" w:rsidRDefault="00EC15A5" w:rsidP="0035187E">
            <w:pPr>
              <w:widowControl w:val="0"/>
              <w:autoSpaceDE w:val="0"/>
              <w:autoSpaceDN w:val="0"/>
              <w:adjustRightInd w:val="0"/>
              <w:jc w:val="both"/>
              <w:rPr>
                <w:rFonts w:ascii="Times New Roman" w:hAnsi="Times New Roman" w:cs="Times New Roman"/>
                <w:b/>
                <w:sz w:val="20"/>
                <w:szCs w:val="20"/>
              </w:rPr>
            </w:pPr>
            <w:r w:rsidRPr="0035187E">
              <w:rPr>
                <w:rFonts w:ascii="Times New Roman" w:hAnsi="Times New Roman" w:cs="Times New Roman"/>
                <w:b/>
                <w:sz w:val="20"/>
                <w:szCs w:val="20"/>
              </w:rPr>
              <w:t>Připomínky k předkládanému materiálu</w:t>
            </w:r>
          </w:p>
          <w:p w14:paraId="4F33E65E" w14:textId="77777777" w:rsidR="00EC15A5" w:rsidRPr="0035187E" w:rsidRDefault="00EC15A5" w:rsidP="0035187E">
            <w:pPr>
              <w:widowControl w:val="0"/>
              <w:autoSpaceDE w:val="0"/>
              <w:autoSpaceDN w:val="0"/>
              <w:adjustRightInd w:val="0"/>
              <w:jc w:val="both"/>
              <w:rPr>
                <w:rFonts w:ascii="Times New Roman" w:hAnsi="Times New Roman" w:cs="Times New Roman"/>
                <w:b/>
                <w:sz w:val="20"/>
                <w:szCs w:val="20"/>
              </w:rPr>
            </w:pPr>
            <w:r w:rsidRPr="0035187E">
              <w:rPr>
                <w:rFonts w:ascii="Times New Roman" w:hAnsi="Times New Roman" w:cs="Times New Roman"/>
                <w:b/>
                <w:sz w:val="20"/>
                <w:szCs w:val="20"/>
              </w:rPr>
              <w:t>Zásadní připomínky</w:t>
            </w:r>
          </w:p>
          <w:p w14:paraId="151995D1" w14:textId="77777777" w:rsidR="00EC15A5" w:rsidRPr="0035187E" w:rsidRDefault="00EC15A5" w:rsidP="0035187E">
            <w:pPr>
              <w:widowControl w:val="0"/>
              <w:numPr>
                <w:ilvl w:val="0"/>
                <w:numId w:val="31"/>
              </w:numPr>
              <w:autoSpaceDE w:val="0"/>
              <w:autoSpaceDN w:val="0"/>
              <w:adjustRightInd w:val="0"/>
              <w:ind w:left="0" w:firstLine="0"/>
              <w:contextualSpacing/>
              <w:jc w:val="both"/>
              <w:rPr>
                <w:rFonts w:ascii="Times New Roman" w:hAnsi="Times New Roman" w:cs="Times New Roman"/>
                <w:b/>
                <w:sz w:val="20"/>
                <w:szCs w:val="20"/>
              </w:rPr>
            </w:pPr>
            <w:r w:rsidRPr="0035187E">
              <w:rPr>
                <w:rFonts w:ascii="Times New Roman" w:hAnsi="Times New Roman" w:cs="Times New Roman"/>
                <w:b/>
                <w:sz w:val="20"/>
                <w:szCs w:val="20"/>
              </w:rPr>
              <w:t xml:space="preserve">Analýzy variant řešení: </w:t>
            </w:r>
          </w:p>
          <w:p w14:paraId="1293335D" w14:textId="23032F9E" w:rsidR="00EC15A5" w:rsidRPr="0035187E" w:rsidRDefault="00EC15A5" w:rsidP="0035187E">
            <w:pPr>
              <w:widowControl w:val="0"/>
              <w:autoSpaceDE w:val="0"/>
              <w:autoSpaceDN w:val="0"/>
              <w:adjustRightInd w:val="0"/>
              <w:jc w:val="both"/>
              <w:rPr>
                <w:rFonts w:ascii="Times New Roman" w:hAnsi="Times New Roman" w:cs="Times New Roman"/>
                <w:b/>
                <w:bCs/>
                <w:sz w:val="20"/>
                <w:szCs w:val="20"/>
              </w:rPr>
            </w:pPr>
            <w:r w:rsidRPr="0035187E">
              <w:rPr>
                <w:rFonts w:ascii="Times New Roman" w:hAnsi="Times New Roman" w:cs="Times New Roman"/>
                <w:bCs/>
                <w:sz w:val="20"/>
                <w:szCs w:val="20"/>
              </w:rPr>
              <w:t>V předložené zprávě RIA chybí definování a multikriteriální porovnání vhodných variant řešení problému. Materiál obhajuje pouze jedinou, předem určenou variantu zavedení EET 2.0. Požadujeme doplnit zhodnocení minimálně nulové varianty (ponechání současného stavu) a dalších variant vycházejících například ze zahraničních zkušeností.</w:t>
            </w:r>
          </w:p>
        </w:tc>
        <w:tc>
          <w:tcPr>
            <w:tcW w:w="1453" w:type="pct"/>
            <w:tcBorders>
              <w:top w:val="single" w:sz="4" w:space="0" w:color="auto"/>
              <w:left w:val="single" w:sz="4" w:space="0" w:color="auto"/>
              <w:right w:val="single" w:sz="4" w:space="0" w:color="auto"/>
            </w:tcBorders>
            <w:shd w:val="clear" w:color="auto" w:fill="auto"/>
          </w:tcPr>
          <w:p w14:paraId="4D66AD4C" w14:textId="3E1DA818" w:rsidR="00EC15A5" w:rsidRPr="0035187E" w:rsidRDefault="00EC15A5"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771314DF" w14:textId="77777777" w:rsidR="00EC15A5" w:rsidRPr="0035187E" w:rsidRDefault="00EC15A5" w:rsidP="0035187E">
            <w:pPr>
              <w:jc w:val="both"/>
              <w:rPr>
                <w:rFonts w:ascii="Times New Roman" w:hAnsi="Times New Roman" w:cs="Times New Roman"/>
                <w:sz w:val="20"/>
                <w:szCs w:val="20"/>
              </w:rPr>
            </w:pPr>
            <w:r w:rsidRPr="0035187E">
              <w:rPr>
                <w:rFonts w:ascii="Times New Roman" w:hAnsi="Times New Roman" w:cs="Times New Roman"/>
                <w:sz w:val="20"/>
                <w:szCs w:val="20"/>
              </w:rPr>
              <w:t>Varianty řešení problému jsou v RIA obsaženy. Nulová varianta je zhodnocena v rámci standardního zpracování RIA. Finanční dopady jsou nulové (ať pozitivní či negativní), neboť se jedná o stávající stav. Pokud bychom porovnávali variantu oproti zavedení EET 2.0, jednalo by se v podstatě o inverzní náklady a výnosy. Dle našeho názoru je však vyhodnocení dostatečné.</w:t>
            </w:r>
          </w:p>
          <w:p w14:paraId="7D0CA1EC" w14:textId="77777777" w:rsidR="00EC15A5" w:rsidRPr="0035187E" w:rsidRDefault="00EC15A5" w:rsidP="0035187E">
            <w:pPr>
              <w:jc w:val="both"/>
              <w:rPr>
                <w:rFonts w:ascii="Times New Roman" w:hAnsi="Times New Roman" w:cs="Times New Roman"/>
                <w:sz w:val="20"/>
                <w:szCs w:val="20"/>
              </w:rPr>
            </w:pPr>
            <w:r w:rsidRPr="0035187E">
              <w:rPr>
                <w:rFonts w:ascii="Times New Roman" w:hAnsi="Times New Roman" w:cs="Times New Roman"/>
                <w:sz w:val="20"/>
                <w:szCs w:val="20"/>
              </w:rPr>
              <w:lastRenderedPageBreak/>
              <w:t xml:space="preserve">Přehled mezinárodní komparace různých systémů evidence tržeb je v dostatečně podrobné formě obsažen v obecné části důvodové zprávy. </w:t>
            </w:r>
          </w:p>
          <w:p w14:paraId="4A8E988D" w14:textId="77777777" w:rsidR="00640CFD" w:rsidRPr="0035187E" w:rsidRDefault="00640CFD" w:rsidP="0035187E">
            <w:pPr>
              <w:jc w:val="both"/>
              <w:rPr>
                <w:rFonts w:ascii="Times New Roman" w:hAnsi="Times New Roman" w:cs="Times New Roman"/>
                <w:sz w:val="20"/>
                <w:szCs w:val="20"/>
              </w:rPr>
            </w:pPr>
          </w:p>
          <w:p w14:paraId="34263367" w14:textId="2D33E033" w:rsidR="00640CFD" w:rsidRPr="0035187E" w:rsidRDefault="00640CFD"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 xml:space="preserve">Připomínkové místo uvedlo, že připomínky 1, 2, 3, 4 a 6 </w:t>
            </w:r>
            <w:r w:rsidR="000667D5" w:rsidRPr="0035187E">
              <w:rPr>
                <w:rFonts w:ascii="Times New Roman" w:hAnsi="Times New Roman" w:cs="Times New Roman"/>
                <w:i/>
                <w:iCs/>
                <w:sz w:val="20"/>
                <w:szCs w:val="20"/>
              </w:rPr>
              <w:t xml:space="preserve">mění </w:t>
            </w:r>
            <w:r w:rsidRPr="0035187E">
              <w:rPr>
                <w:rFonts w:ascii="Times New Roman" w:hAnsi="Times New Roman" w:cs="Times New Roman"/>
                <w:i/>
                <w:iCs/>
                <w:sz w:val="20"/>
                <w:szCs w:val="20"/>
              </w:rPr>
              <w:t>na „doporučující“ a nevznikne tedy kvůli nim rozpor.</w:t>
            </w:r>
          </w:p>
        </w:tc>
      </w:tr>
      <w:tr w:rsidR="0035187E" w:rsidRPr="0035187E" w14:paraId="584463E5"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98AA924" w14:textId="77777777" w:rsidR="00EC15A5" w:rsidRPr="0035187E" w:rsidRDefault="00EC15A5"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14.</w:t>
            </w:r>
          </w:p>
        </w:tc>
        <w:tc>
          <w:tcPr>
            <w:tcW w:w="583" w:type="pct"/>
            <w:tcBorders>
              <w:top w:val="single" w:sz="4" w:space="0" w:color="auto"/>
              <w:left w:val="single" w:sz="4" w:space="0" w:color="auto"/>
              <w:right w:val="single" w:sz="4" w:space="0" w:color="auto"/>
            </w:tcBorders>
            <w:shd w:val="clear" w:color="auto" w:fill="auto"/>
          </w:tcPr>
          <w:p w14:paraId="37879FA6" w14:textId="77777777" w:rsidR="00EC15A5" w:rsidRPr="0035187E" w:rsidRDefault="00EC15A5"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Úřad vlády České </w:t>
            </w:r>
            <w:proofErr w:type="gramStart"/>
            <w:r w:rsidRPr="0035187E">
              <w:rPr>
                <w:rFonts w:ascii="Times New Roman" w:hAnsi="Times New Roman" w:cs="Times New Roman"/>
                <w:sz w:val="20"/>
                <w:szCs w:val="20"/>
              </w:rPr>
              <w:t>republiky - Kabinet</w:t>
            </w:r>
            <w:proofErr w:type="gramEnd"/>
            <w:r w:rsidRPr="0035187E">
              <w:rPr>
                <w:rFonts w:ascii="Times New Roman" w:hAnsi="Times New Roman" w:cs="Times New Roman"/>
                <w:sz w:val="20"/>
                <w:szCs w:val="20"/>
              </w:rPr>
              <w:t xml:space="preserve"> vedoucího Úřadu vlády</w:t>
            </w:r>
          </w:p>
        </w:tc>
        <w:tc>
          <w:tcPr>
            <w:tcW w:w="168" w:type="pct"/>
            <w:tcBorders>
              <w:top w:val="single" w:sz="4" w:space="0" w:color="auto"/>
              <w:left w:val="single" w:sz="4" w:space="0" w:color="auto"/>
              <w:right w:val="single" w:sz="4" w:space="0" w:color="auto"/>
            </w:tcBorders>
            <w:shd w:val="clear" w:color="auto" w:fill="auto"/>
          </w:tcPr>
          <w:p w14:paraId="6904676A" w14:textId="1093E1F1" w:rsidR="00EC15A5" w:rsidRPr="0035187E" w:rsidRDefault="00EC15A5" w:rsidP="0035187E">
            <w:pPr>
              <w:jc w:val="center"/>
              <w:rPr>
                <w:rFonts w:ascii="Times New Roman" w:hAnsi="Times New Roman" w:cs="Times New Roman"/>
                <w:sz w:val="20"/>
                <w:szCs w:val="20"/>
              </w:rPr>
            </w:pPr>
            <w:r w:rsidRPr="0035187E">
              <w:rPr>
                <w:rFonts w:ascii="Times New Roman" w:hAnsi="Times New Roman" w:cs="Times New Roman"/>
                <w:sz w:val="20"/>
                <w:szCs w:val="20"/>
              </w:rPr>
              <w:t>2.</w:t>
            </w:r>
          </w:p>
        </w:tc>
        <w:tc>
          <w:tcPr>
            <w:tcW w:w="169" w:type="pct"/>
            <w:tcBorders>
              <w:top w:val="single" w:sz="4" w:space="0" w:color="auto"/>
              <w:left w:val="single" w:sz="4" w:space="0" w:color="auto"/>
              <w:right w:val="single" w:sz="4" w:space="0" w:color="auto"/>
            </w:tcBorders>
            <w:shd w:val="clear" w:color="auto" w:fill="auto"/>
          </w:tcPr>
          <w:p w14:paraId="69002B9E" w14:textId="77777777" w:rsidR="00EC15A5" w:rsidRPr="0035187E" w:rsidRDefault="00EC15A5"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5AB68CA" w14:textId="77777777" w:rsidR="00EC15A5" w:rsidRPr="0035187E" w:rsidRDefault="00EC15A5" w:rsidP="0035187E">
            <w:pPr>
              <w:widowControl w:val="0"/>
              <w:numPr>
                <w:ilvl w:val="0"/>
                <w:numId w:val="31"/>
              </w:numPr>
              <w:autoSpaceDE w:val="0"/>
              <w:autoSpaceDN w:val="0"/>
              <w:adjustRightInd w:val="0"/>
              <w:ind w:left="0" w:firstLine="0"/>
              <w:contextualSpacing/>
              <w:jc w:val="both"/>
              <w:rPr>
                <w:rFonts w:ascii="Times New Roman" w:hAnsi="Times New Roman" w:cs="Times New Roman"/>
                <w:b/>
                <w:sz w:val="20"/>
                <w:szCs w:val="20"/>
              </w:rPr>
            </w:pPr>
            <w:r w:rsidRPr="0035187E">
              <w:rPr>
                <w:rFonts w:ascii="Times New Roman" w:hAnsi="Times New Roman" w:cs="Times New Roman"/>
                <w:b/>
                <w:sz w:val="20"/>
                <w:szCs w:val="20"/>
              </w:rPr>
              <w:t xml:space="preserve">Kvantifikace nákladů a přínosů: </w:t>
            </w:r>
          </w:p>
          <w:p w14:paraId="5BDFD816" w14:textId="77777777" w:rsidR="00EC15A5" w:rsidRPr="0035187E" w:rsidRDefault="00EC15A5" w:rsidP="0035187E">
            <w:pPr>
              <w:widowControl w:val="0"/>
              <w:autoSpaceDE w:val="0"/>
              <w:autoSpaceDN w:val="0"/>
              <w:adjustRightInd w:val="0"/>
              <w:jc w:val="both"/>
              <w:rPr>
                <w:rFonts w:ascii="Times New Roman" w:hAnsi="Times New Roman" w:cs="Times New Roman"/>
                <w:bCs/>
                <w:sz w:val="20"/>
                <w:szCs w:val="20"/>
              </w:rPr>
            </w:pPr>
            <w:r w:rsidRPr="0035187E">
              <w:rPr>
                <w:rFonts w:ascii="Times New Roman" w:hAnsi="Times New Roman" w:cs="Times New Roman"/>
                <w:bCs/>
                <w:sz w:val="20"/>
                <w:szCs w:val="20"/>
              </w:rPr>
              <w:t xml:space="preserve">Zpráva RIA sice vyčísluje očekávané dodatečné daňové inkaso ve výši 14,4 mld. Kč a náklady na vybavení podnikatelů označuje plošně za "zanedbatelné", ale nevěnuje se vyčíslení nákladů na straně státu. Vývoj, zabezpečení a distribuce softwaru zdarma, provoz IT infrastruktury a navýšení personálních kapacit pro kontrolní činnost představují, dle našeho názoru, nezanedbatelné a také vyčíslitelné výdaje. V tomto kontextu doporučujeme doplnit kalkulaci nákladů a přínosů pro všechny varianty řešení. Bez zveřejnitelného výpočtu nelze ověřit hlavní tvrzení návrhu. </w:t>
            </w:r>
          </w:p>
          <w:p w14:paraId="3571A181" w14:textId="77777777" w:rsidR="00EC15A5" w:rsidRPr="0035187E" w:rsidRDefault="00EC15A5" w:rsidP="0035187E">
            <w:pPr>
              <w:widowControl w:val="0"/>
              <w:autoSpaceDE w:val="0"/>
              <w:autoSpaceDN w:val="0"/>
              <w:adjustRightInd w:val="0"/>
              <w:jc w:val="both"/>
              <w:rPr>
                <w:rFonts w:ascii="Times New Roman" w:hAnsi="Times New Roman" w:cs="Times New Roman"/>
                <w:bCs/>
                <w:sz w:val="20"/>
                <w:szCs w:val="20"/>
              </w:rPr>
            </w:pPr>
            <w:r w:rsidRPr="0035187E">
              <w:rPr>
                <w:rFonts w:ascii="Times New Roman" w:hAnsi="Times New Roman" w:cs="Times New Roman"/>
                <w:bCs/>
                <w:sz w:val="20"/>
                <w:szCs w:val="20"/>
              </w:rPr>
              <w:t xml:space="preserve">U daňových opatření s vysokou nejistotou je standardem pracovat s rozpětím a citlivostí, jinak hrozí systémové nadhodnocení přínosů. Žádáme též o doplnění kvantifikovaného výchozího stavu a popsat vývoj problému bez zásahu, zejména vyčíslit rozsah relevantních úniků v cílových sektorech a podíl plateb, které jsou již dobře dohledatelné. </w:t>
            </w:r>
          </w:p>
          <w:p w14:paraId="46962BA2" w14:textId="553E30BF" w:rsidR="00EC15A5" w:rsidRPr="0035187E" w:rsidRDefault="00EC15A5" w:rsidP="0035187E">
            <w:pPr>
              <w:widowControl w:val="0"/>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Cs/>
                <w:sz w:val="20"/>
                <w:szCs w:val="20"/>
              </w:rPr>
              <w:t>Dále žádáme doplnit úplné veřejné náklady životního cyklu (vývoj, provoz, bezpečnost, dohled, podpora) a zdůvodnit jejich výši s ohledem na historickou zkušenost.</w:t>
            </w:r>
            <w:r w:rsidRPr="0035187E">
              <w:rPr>
                <w:rFonts w:ascii="Times New Roman" w:hAnsi="Times New Roman" w:cs="Times New Roman"/>
                <w:bCs/>
                <w:sz w:val="20"/>
                <w:szCs w:val="20"/>
              </w:rPr>
              <w:tab/>
              <w:t>NKÚ uvádí, že na EET bylo v letech 2015–2023 vynaloženo 2 237,5 mil. Kč. Bez vysvětlení, proč bude EET 2.0 zásadně levnější, hrozí podcenění rozpočtových dopadů.</w:t>
            </w:r>
          </w:p>
        </w:tc>
        <w:tc>
          <w:tcPr>
            <w:tcW w:w="1453" w:type="pct"/>
            <w:tcBorders>
              <w:top w:val="single" w:sz="4" w:space="0" w:color="auto"/>
              <w:left w:val="single" w:sz="4" w:space="0" w:color="auto"/>
              <w:right w:val="single" w:sz="4" w:space="0" w:color="auto"/>
            </w:tcBorders>
            <w:shd w:val="clear" w:color="auto" w:fill="auto"/>
          </w:tcPr>
          <w:p w14:paraId="37E6A6BA" w14:textId="19A3DB38" w:rsidR="00EC15A5" w:rsidRPr="0035187E" w:rsidRDefault="00EC15A5"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269704A4" w14:textId="77777777" w:rsidR="00EC15A5" w:rsidRPr="0035187E" w:rsidRDefault="00EC15A5" w:rsidP="0035187E">
            <w:pPr>
              <w:jc w:val="both"/>
              <w:rPr>
                <w:rFonts w:ascii="Times New Roman" w:hAnsi="Times New Roman" w:cs="Times New Roman"/>
                <w:sz w:val="20"/>
                <w:szCs w:val="20"/>
              </w:rPr>
            </w:pPr>
            <w:r w:rsidRPr="0035187E">
              <w:rPr>
                <w:rFonts w:ascii="Times New Roman" w:hAnsi="Times New Roman" w:cs="Times New Roman"/>
                <w:sz w:val="20"/>
                <w:szCs w:val="20"/>
              </w:rPr>
              <w:t>Náklady na straně státu jsou vyčísleny v části 1.5. Jejich podrobnější členění je nad rámce rozsahu materiálu, jednalo se o sumarizace údajů z několika tabulek.</w:t>
            </w:r>
          </w:p>
          <w:p w14:paraId="0A99BD9B" w14:textId="77777777" w:rsidR="00EC15A5" w:rsidRPr="0035187E" w:rsidRDefault="00EC15A5" w:rsidP="0035187E">
            <w:pPr>
              <w:jc w:val="both"/>
              <w:rPr>
                <w:rFonts w:ascii="Times New Roman" w:hAnsi="Times New Roman" w:cs="Times New Roman"/>
                <w:sz w:val="20"/>
                <w:szCs w:val="20"/>
              </w:rPr>
            </w:pPr>
            <w:r w:rsidRPr="0035187E">
              <w:rPr>
                <w:rFonts w:ascii="Times New Roman" w:hAnsi="Times New Roman" w:cs="Times New Roman"/>
                <w:sz w:val="20"/>
                <w:szCs w:val="20"/>
              </w:rPr>
              <w:t>Vývoj problému bez zásahu je v podstatě inverzní k výhodám popsaným při zavedení EET 2.0. Je zbytečné uvádět ty samé věci jednou v pozitivním znění a podruhé negované. Požadované lze vyvodit z textu, aniž by ten byl neúměrně prodlužován opakováním v podstatě téhož, akorát v negativním znění.</w:t>
            </w:r>
          </w:p>
          <w:p w14:paraId="470B955C" w14:textId="0A5BCC90" w:rsidR="00EC15A5" w:rsidRPr="0035187E" w:rsidRDefault="00EC15A5" w:rsidP="0035187E">
            <w:pPr>
              <w:jc w:val="both"/>
              <w:rPr>
                <w:rFonts w:ascii="Times New Roman" w:hAnsi="Times New Roman" w:cs="Times New Roman"/>
                <w:sz w:val="20"/>
                <w:szCs w:val="20"/>
              </w:rPr>
            </w:pPr>
            <w:r w:rsidRPr="0035187E">
              <w:rPr>
                <w:rFonts w:ascii="Times New Roman" w:hAnsi="Times New Roman" w:cs="Times New Roman"/>
                <w:sz w:val="20"/>
                <w:szCs w:val="20"/>
              </w:rPr>
              <w:t>Domníváme se, že takto podrobné vyčíslení rozsahu relevantních úniků v cílových sektorech a podíl plateb bez řádného vysvětlení by bylo zavádějící. S těmito položkami bylo samozřejmě při vyčíslení dopadů počítáno, avšak jejich podrobné uvádění do materiálu by značně navýšilo rozsah materiálu a způsobilo by nepřehlednost. Uvádění pouze vstupních dat bez následného vysvětlení toho, jak s nimi bylo pracováno, nám přijde zavádějící.</w:t>
            </w:r>
          </w:p>
          <w:p w14:paraId="07F3E064" w14:textId="77777777" w:rsidR="00EC15A5" w:rsidRPr="0035187E" w:rsidRDefault="00EC15A5" w:rsidP="0035187E">
            <w:pPr>
              <w:jc w:val="both"/>
              <w:rPr>
                <w:rFonts w:ascii="Times New Roman" w:hAnsi="Times New Roman" w:cs="Times New Roman"/>
                <w:sz w:val="20"/>
                <w:szCs w:val="20"/>
              </w:rPr>
            </w:pPr>
            <w:r w:rsidRPr="0035187E">
              <w:rPr>
                <w:rFonts w:ascii="Times New Roman" w:hAnsi="Times New Roman" w:cs="Times New Roman"/>
                <w:sz w:val="20"/>
                <w:szCs w:val="20"/>
              </w:rPr>
              <w:t>Přínos EET nelze vyhodnotit pouze prostřednictvím rozpočtových dopadů, neboť hlavní cíl tohoto opatření je narovnání podnikatelského prostředí, které vyčíslit nelze. Efekt je rovněž dlouhodobý, tedy by bylo problematické proti němu postavit prosté započtení nákladů.</w:t>
            </w:r>
          </w:p>
          <w:p w14:paraId="78C4BDE3" w14:textId="77777777" w:rsidR="00640CFD" w:rsidRPr="0035187E" w:rsidRDefault="00640CFD" w:rsidP="0035187E">
            <w:pPr>
              <w:jc w:val="both"/>
              <w:rPr>
                <w:rFonts w:ascii="Times New Roman" w:hAnsi="Times New Roman" w:cs="Times New Roman"/>
                <w:sz w:val="20"/>
                <w:szCs w:val="20"/>
              </w:rPr>
            </w:pPr>
          </w:p>
          <w:p w14:paraId="08C86352" w14:textId="2091F03E" w:rsidR="00640CFD" w:rsidRPr="0035187E" w:rsidRDefault="00640CFD"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 xml:space="preserve">Připomínkové místo uvedlo, že připomínky 1, 2, 3, 4 a 6 </w:t>
            </w:r>
            <w:r w:rsidR="000667D5" w:rsidRPr="0035187E">
              <w:rPr>
                <w:rFonts w:ascii="Times New Roman" w:hAnsi="Times New Roman" w:cs="Times New Roman"/>
                <w:i/>
                <w:iCs/>
                <w:sz w:val="20"/>
                <w:szCs w:val="20"/>
              </w:rPr>
              <w:t xml:space="preserve">mění </w:t>
            </w:r>
            <w:r w:rsidRPr="0035187E">
              <w:rPr>
                <w:rFonts w:ascii="Times New Roman" w:hAnsi="Times New Roman" w:cs="Times New Roman"/>
                <w:i/>
                <w:iCs/>
                <w:sz w:val="20"/>
                <w:szCs w:val="20"/>
              </w:rPr>
              <w:t>na „doporučující“ a nevznikne tedy kvůli nim rozpor.</w:t>
            </w:r>
          </w:p>
          <w:p w14:paraId="0A14BA86" w14:textId="417E985F" w:rsidR="0088463F" w:rsidRPr="0035187E" w:rsidRDefault="0088463F"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 xml:space="preserve">Pozn.: Část připomínky 2: Uvedení toho, z jakých dat a jakou metodou bylo postupováno při výpočtu celkových dopadů, uvedených v ZZ RIA, včetně informace, které z dopadů jsou v celkovém čísle obsažené a které ne. Z návrhu vypořádání se zdá, že </w:t>
            </w:r>
            <w:r w:rsidRPr="0035187E">
              <w:rPr>
                <w:rFonts w:ascii="Times New Roman" w:hAnsi="Times New Roman" w:cs="Times New Roman"/>
                <w:i/>
                <w:iCs/>
                <w:sz w:val="20"/>
                <w:szCs w:val="20"/>
              </w:rPr>
              <w:lastRenderedPageBreak/>
              <w:t>tyto informace má MF k dispozici a je to spíše otázka jejich poskytnutí. Pokud je taková informace rozsáhlá, lze ji připojit jako přílohu hlavního textu ZZ RIA.</w:t>
            </w:r>
          </w:p>
        </w:tc>
      </w:tr>
      <w:tr w:rsidR="0035187E" w:rsidRPr="0035187E" w14:paraId="4953BAC4"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2B93164" w14:textId="77777777" w:rsidR="00EC15A5" w:rsidRPr="0035187E" w:rsidRDefault="00EC15A5"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14.</w:t>
            </w:r>
          </w:p>
        </w:tc>
        <w:tc>
          <w:tcPr>
            <w:tcW w:w="583" w:type="pct"/>
            <w:tcBorders>
              <w:top w:val="single" w:sz="4" w:space="0" w:color="auto"/>
              <w:left w:val="single" w:sz="4" w:space="0" w:color="auto"/>
              <w:right w:val="single" w:sz="4" w:space="0" w:color="auto"/>
            </w:tcBorders>
            <w:shd w:val="clear" w:color="auto" w:fill="auto"/>
          </w:tcPr>
          <w:p w14:paraId="25A8A411" w14:textId="77777777" w:rsidR="00EC15A5" w:rsidRPr="0035187E" w:rsidRDefault="00EC15A5"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Úřad vlády České </w:t>
            </w:r>
            <w:proofErr w:type="gramStart"/>
            <w:r w:rsidRPr="0035187E">
              <w:rPr>
                <w:rFonts w:ascii="Times New Roman" w:hAnsi="Times New Roman" w:cs="Times New Roman"/>
                <w:sz w:val="20"/>
                <w:szCs w:val="20"/>
              </w:rPr>
              <w:t>republiky - Kabinet</w:t>
            </w:r>
            <w:proofErr w:type="gramEnd"/>
            <w:r w:rsidRPr="0035187E">
              <w:rPr>
                <w:rFonts w:ascii="Times New Roman" w:hAnsi="Times New Roman" w:cs="Times New Roman"/>
                <w:sz w:val="20"/>
                <w:szCs w:val="20"/>
              </w:rPr>
              <w:t xml:space="preserve"> vedoucího Úřadu vlády</w:t>
            </w:r>
          </w:p>
        </w:tc>
        <w:tc>
          <w:tcPr>
            <w:tcW w:w="168" w:type="pct"/>
            <w:tcBorders>
              <w:top w:val="single" w:sz="4" w:space="0" w:color="auto"/>
              <w:left w:val="single" w:sz="4" w:space="0" w:color="auto"/>
              <w:right w:val="single" w:sz="4" w:space="0" w:color="auto"/>
            </w:tcBorders>
            <w:shd w:val="clear" w:color="auto" w:fill="auto"/>
          </w:tcPr>
          <w:p w14:paraId="51AAF8BE" w14:textId="4DABF5D3" w:rsidR="00EC15A5" w:rsidRPr="0035187E" w:rsidRDefault="00EC15A5" w:rsidP="0035187E">
            <w:pPr>
              <w:jc w:val="center"/>
              <w:rPr>
                <w:rFonts w:ascii="Times New Roman" w:hAnsi="Times New Roman" w:cs="Times New Roman"/>
                <w:sz w:val="20"/>
                <w:szCs w:val="20"/>
              </w:rPr>
            </w:pPr>
            <w:r w:rsidRPr="0035187E">
              <w:rPr>
                <w:rFonts w:ascii="Times New Roman" w:hAnsi="Times New Roman" w:cs="Times New Roman"/>
                <w:sz w:val="20"/>
                <w:szCs w:val="20"/>
              </w:rPr>
              <w:t>3.</w:t>
            </w:r>
          </w:p>
        </w:tc>
        <w:tc>
          <w:tcPr>
            <w:tcW w:w="169" w:type="pct"/>
            <w:tcBorders>
              <w:top w:val="single" w:sz="4" w:space="0" w:color="auto"/>
              <w:left w:val="single" w:sz="4" w:space="0" w:color="auto"/>
              <w:right w:val="single" w:sz="4" w:space="0" w:color="auto"/>
            </w:tcBorders>
            <w:shd w:val="clear" w:color="auto" w:fill="auto"/>
          </w:tcPr>
          <w:p w14:paraId="27155F53" w14:textId="77777777" w:rsidR="00EC15A5" w:rsidRPr="0035187E" w:rsidRDefault="00EC15A5"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C0A2B18" w14:textId="77777777" w:rsidR="00EC15A5" w:rsidRPr="0035187E" w:rsidRDefault="00EC15A5" w:rsidP="0035187E">
            <w:pPr>
              <w:widowControl w:val="0"/>
              <w:numPr>
                <w:ilvl w:val="0"/>
                <w:numId w:val="31"/>
              </w:numPr>
              <w:autoSpaceDE w:val="0"/>
              <w:autoSpaceDN w:val="0"/>
              <w:adjustRightInd w:val="0"/>
              <w:ind w:left="0" w:firstLine="0"/>
              <w:contextualSpacing/>
              <w:jc w:val="both"/>
              <w:rPr>
                <w:rFonts w:ascii="Times New Roman" w:hAnsi="Times New Roman" w:cs="Times New Roman"/>
                <w:b/>
                <w:sz w:val="20"/>
                <w:szCs w:val="20"/>
              </w:rPr>
            </w:pPr>
            <w:r w:rsidRPr="0035187E">
              <w:rPr>
                <w:rFonts w:ascii="Times New Roman" w:hAnsi="Times New Roman" w:cs="Times New Roman"/>
                <w:b/>
                <w:sz w:val="20"/>
                <w:szCs w:val="20"/>
              </w:rPr>
              <w:t xml:space="preserve">Efekt souběžných nástrojů: </w:t>
            </w:r>
          </w:p>
          <w:p w14:paraId="79F6C5DF" w14:textId="22B7394F" w:rsidR="00EC15A5" w:rsidRPr="0035187E" w:rsidRDefault="00EC15A5" w:rsidP="0035187E">
            <w:pPr>
              <w:widowControl w:val="0"/>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Cs/>
                <w:sz w:val="20"/>
                <w:szCs w:val="20"/>
              </w:rPr>
              <w:t>Pro správnost odhadů je potřebné oddělit očekávaný efekt EET 2.0 od souběžných nástrojů správy daní (např. kontrolní hlášení, cílené kontroly) a doložit, jak bude zabráněno dvojímu započtení téhož efektu. NKÚ popisuje souběžné využívání nástrojů (kontrolní hlášení vs. EET) a uvádí údaje o doměření/sankcích a nákladech. Bez separace efektů je fiskální odhad metodicky nevhodný.</w:t>
            </w:r>
          </w:p>
        </w:tc>
        <w:tc>
          <w:tcPr>
            <w:tcW w:w="1453" w:type="pct"/>
            <w:tcBorders>
              <w:top w:val="single" w:sz="4" w:space="0" w:color="auto"/>
              <w:left w:val="single" w:sz="4" w:space="0" w:color="auto"/>
              <w:right w:val="single" w:sz="4" w:space="0" w:color="auto"/>
            </w:tcBorders>
            <w:shd w:val="clear" w:color="auto" w:fill="auto"/>
          </w:tcPr>
          <w:p w14:paraId="62254BC8" w14:textId="26B8C680" w:rsidR="00EC15A5" w:rsidRPr="0035187E" w:rsidRDefault="00EC15A5"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0388587A" w14:textId="77777777" w:rsidR="00EC15A5" w:rsidRPr="0035187E" w:rsidRDefault="00EC15A5" w:rsidP="0035187E">
            <w:pPr>
              <w:jc w:val="both"/>
              <w:rPr>
                <w:rFonts w:ascii="Times New Roman" w:hAnsi="Times New Roman" w:cs="Times New Roman"/>
                <w:sz w:val="20"/>
                <w:szCs w:val="20"/>
              </w:rPr>
            </w:pPr>
            <w:r w:rsidRPr="0035187E">
              <w:rPr>
                <w:rFonts w:ascii="Times New Roman" w:hAnsi="Times New Roman" w:cs="Times New Roman"/>
                <w:sz w:val="20"/>
                <w:szCs w:val="20"/>
              </w:rPr>
              <w:t>Výpočet dopadů EET 2.0 je proveden izolovaně, jako samostatné nové opatření, tedy zohledňuje pouze dopady zavedení EET 2.0. Viz popis metodiky v části 3.3.2. Kontrolní hlášení je nástroj, který je již zaveden mnoho let a jeho efekt je již součástí autonomní základny fiskálního výnosu.</w:t>
            </w:r>
          </w:p>
          <w:p w14:paraId="2649240F" w14:textId="77777777" w:rsidR="00640CFD" w:rsidRPr="0035187E" w:rsidRDefault="00640CFD" w:rsidP="0035187E">
            <w:pPr>
              <w:jc w:val="both"/>
              <w:rPr>
                <w:rFonts w:ascii="Times New Roman" w:hAnsi="Times New Roman" w:cs="Times New Roman"/>
                <w:sz w:val="20"/>
                <w:szCs w:val="20"/>
              </w:rPr>
            </w:pPr>
          </w:p>
          <w:p w14:paraId="0B11EA3C" w14:textId="63E47793" w:rsidR="00640CFD" w:rsidRPr="0035187E" w:rsidRDefault="00640CFD" w:rsidP="0035187E">
            <w:pPr>
              <w:jc w:val="both"/>
              <w:rPr>
                <w:rFonts w:ascii="Times New Roman" w:hAnsi="Times New Roman" w:cs="Times New Roman"/>
                <w:sz w:val="20"/>
                <w:szCs w:val="20"/>
              </w:rPr>
            </w:pPr>
            <w:r w:rsidRPr="0035187E">
              <w:rPr>
                <w:rFonts w:ascii="Times New Roman" w:hAnsi="Times New Roman" w:cs="Times New Roman"/>
                <w:i/>
                <w:iCs/>
                <w:sz w:val="20"/>
                <w:szCs w:val="20"/>
              </w:rPr>
              <w:t xml:space="preserve">Připomínkové místo uvedlo, že připomínky 1, 2, 3, 4 a 6 </w:t>
            </w:r>
            <w:r w:rsidR="000667D5" w:rsidRPr="0035187E">
              <w:rPr>
                <w:rFonts w:ascii="Times New Roman" w:hAnsi="Times New Roman" w:cs="Times New Roman"/>
                <w:i/>
                <w:iCs/>
                <w:sz w:val="20"/>
                <w:szCs w:val="20"/>
              </w:rPr>
              <w:t xml:space="preserve">mění </w:t>
            </w:r>
            <w:r w:rsidRPr="0035187E">
              <w:rPr>
                <w:rFonts w:ascii="Times New Roman" w:hAnsi="Times New Roman" w:cs="Times New Roman"/>
                <w:i/>
                <w:iCs/>
                <w:sz w:val="20"/>
                <w:szCs w:val="20"/>
              </w:rPr>
              <w:t>na „doporučující“ a nevznikne tedy kvůli nim rozpor.</w:t>
            </w:r>
          </w:p>
        </w:tc>
      </w:tr>
      <w:tr w:rsidR="0035187E" w:rsidRPr="0035187E" w14:paraId="4B867259"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C30C92C" w14:textId="77777777" w:rsidR="00EC15A5" w:rsidRPr="0035187E" w:rsidRDefault="00EC15A5" w:rsidP="0035187E">
            <w:pPr>
              <w:jc w:val="center"/>
              <w:rPr>
                <w:rFonts w:ascii="Times New Roman" w:hAnsi="Times New Roman" w:cs="Times New Roman"/>
                <w:sz w:val="20"/>
                <w:szCs w:val="20"/>
              </w:rPr>
            </w:pPr>
            <w:r w:rsidRPr="0035187E">
              <w:rPr>
                <w:rFonts w:ascii="Times New Roman" w:hAnsi="Times New Roman" w:cs="Times New Roman"/>
                <w:sz w:val="20"/>
                <w:szCs w:val="20"/>
              </w:rPr>
              <w:t>14.</w:t>
            </w:r>
          </w:p>
        </w:tc>
        <w:tc>
          <w:tcPr>
            <w:tcW w:w="583" w:type="pct"/>
            <w:tcBorders>
              <w:top w:val="single" w:sz="4" w:space="0" w:color="auto"/>
              <w:left w:val="single" w:sz="4" w:space="0" w:color="auto"/>
              <w:right w:val="single" w:sz="4" w:space="0" w:color="auto"/>
            </w:tcBorders>
            <w:shd w:val="clear" w:color="auto" w:fill="auto"/>
          </w:tcPr>
          <w:p w14:paraId="66A259E6" w14:textId="77777777" w:rsidR="00EC15A5" w:rsidRPr="0035187E" w:rsidRDefault="00EC15A5"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Úřad vlády České </w:t>
            </w:r>
            <w:proofErr w:type="gramStart"/>
            <w:r w:rsidRPr="0035187E">
              <w:rPr>
                <w:rFonts w:ascii="Times New Roman" w:hAnsi="Times New Roman" w:cs="Times New Roman"/>
                <w:sz w:val="20"/>
                <w:szCs w:val="20"/>
              </w:rPr>
              <w:t>republiky - Kabinet</w:t>
            </w:r>
            <w:proofErr w:type="gramEnd"/>
            <w:r w:rsidRPr="0035187E">
              <w:rPr>
                <w:rFonts w:ascii="Times New Roman" w:hAnsi="Times New Roman" w:cs="Times New Roman"/>
                <w:sz w:val="20"/>
                <w:szCs w:val="20"/>
              </w:rPr>
              <w:t xml:space="preserve"> vedoucího Úřadu vlády</w:t>
            </w:r>
          </w:p>
        </w:tc>
        <w:tc>
          <w:tcPr>
            <w:tcW w:w="168" w:type="pct"/>
            <w:tcBorders>
              <w:top w:val="single" w:sz="4" w:space="0" w:color="auto"/>
              <w:left w:val="single" w:sz="4" w:space="0" w:color="auto"/>
              <w:right w:val="single" w:sz="4" w:space="0" w:color="auto"/>
            </w:tcBorders>
            <w:shd w:val="clear" w:color="auto" w:fill="auto"/>
          </w:tcPr>
          <w:p w14:paraId="7D5FC03E" w14:textId="4D831963" w:rsidR="00EC15A5" w:rsidRPr="0035187E" w:rsidRDefault="00EC15A5" w:rsidP="0035187E">
            <w:pPr>
              <w:jc w:val="center"/>
              <w:rPr>
                <w:rFonts w:ascii="Times New Roman" w:hAnsi="Times New Roman" w:cs="Times New Roman"/>
                <w:sz w:val="20"/>
                <w:szCs w:val="20"/>
              </w:rPr>
            </w:pPr>
            <w:r w:rsidRPr="0035187E">
              <w:rPr>
                <w:rFonts w:ascii="Times New Roman" w:hAnsi="Times New Roman" w:cs="Times New Roman"/>
                <w:sz w:val="20"/>
                <w:szCs w:val="20"/>
              </w:rPr>
              <w:t>4.</w:t>
            </w:r>
          </w:p>
        </w:tc>
        <w:tc>
          <w:tcPr>
            <w:tcW w:w="169" w:type="pct"/>
            <w:tcBorders>
              <w:top w:val="single" w:sz="4" w:space="0" w:color="auto"/>
              <w:left w:val="single" w:sz="4" w:space="0" w:color="auto"/>
              <w:right w:val="single" w:sz="4" w:space="0" w:color="auto"/>
            </w:tcBorders>
            <w:shd w:val="clear" w:color="auto" w:fill="auto"/>
          </w:tcPr>
          <w:p w14:paraId="5D5EF5BF" w14:textId="77777777" w:rsidR="00EC15A5" w:rsidRPr="0035187E" w:rsidRDefault="00EC15A5"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76FF9CF" w14:textId="77777777" w:rsidR="00EC15A5" w:rsidRPr="0035187E" w:rsidRDefault="00EC15A5" w:rsidP="0035187E">
            <w:pPr>
              <w:widowControl w:val="0"/>
              <w:numPr>
                <w:ilvl w:val="0"/>
                <w:numId w:val="31"/>
              </w:numPr>
              <w:autoSpaceDE w:val="0"/>
              <w:autoSpaceDN w:val="0"/>
              <w:adjustRightInd w:val="0"/>
              <w:ind w:left="0" w:firstLine="0"/>
              <w:contextualSpacing/>
              <w:jc w:val="both"/>
              <w:rPr>
                <w:rFonts w:ascii="Times New Roman" w:hAnsi="Times New Roman" w:cs="Times New Roman"/>
                <w:b/>
                <w:sz w:val="20"/>
                <w:szCs w:val="20"/>
              </w:rPr>
            </w:pPr>
            <w:r w:rsidRPr="0035187E">
              <w:rPr>
                <w:rFonts w:ascii="Times New Roman" w:hAnsi="Times New Roman" w:cs="Times New Roman"/>
                <w:b/>
                <w:sz w:val="20"/>
                <w:szCs w:val="20"/>
              </w:rPr>
              <w:t xml:space="preserve">Distribuční analýza: </w:t>
            </w:r>
          </w:p>
          <w:p w14:paraId="1F067788" w14:textId="3804FED2" w:rsidR="00EC15A5" w:rsidRPr="0035187E" w:rsidRDefault="00EC15A5" w:rsidP="0035187E">
            <w:pPr>
              <w:widowControl w:val="0"/>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Cs/>
                <w:sz w:val="20"/>
                <w:szCs w:val="20"/>
              </w:rPr>
              <w:t>Žádáme doplnit distribuční analýzu dopadů (velikost, obor, region/konektivita, digitální kompetence).</w:t>
            </w:r>
            <w:r w:rsidRPr="0035187E">
              <w:rPr>
                <w:rFonts w:ascii="Times New Roman" w:hAnsi="Times New Roman" w:cs="Times New Roman"/>
                <w:bCs/>
                <w:sz w:val="20"/>
                <w:szCs w:val="20"/>
              </w:rPr>
              <w:tab/>
              <w:t>Dopady se mohou zásadně lišit mezi segmenty a distribuční analýza je zde důležitá z hlediska proporcionality řešení a zásady rovného zacházení.</w:t>
            </w:r>
          </w:p>
        </w:tc>
        <w:tc>
          <w:tcPr>
            <w:tcW w:w="1453" w:type="pct"/>
            <w:tcBorders>
              <w:top w:val="single" w:sz="4" w:space="0" w:color="auto"/>
              <w:left w:val="single" w:sz="4" w:space="0" w:color="auto"/>
              <w:right w:val="single" w:sz="4" w:space="0" w:color="auto"/>
            </w:tcBorders>
            <w:shd w:val="clear" w:color="auto" w:fill="auto"/>
          </w:tcPr>
          <w:p w14:paraId="578A22AD" w14:textId="7EC355A0" w:rsidR="00EC15A5" w:rsidRPr="0035187E" w:rsidRDefault="00EC15A5"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69611FC9" w14:textId="77777777" w:rsidR="00EC15A5" w:rsidRPr="0035187E" w:rsidRDefault="00EC15A5"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Výpočet dopadů byl proveden pro jednotlivé sekce NACE, v rámci lepší čitelnosti materiálu byl uveden pouze souhrnný dopad. Pro další podrobnější dopady na úrovni regionu, digitální kompetence apod. nemáme dostatek údajů, navíc jsme toho názoru, že takto detailní členění by bylo na úkor srozumitelnosti materiálu. </w:t>
            </w:r>
          </w:p>
          <w:p w14:paraId="49F42B6F" w14:textId="77777777" w:rsidR="00EC15A5" w:rsidRPr="0035187E" w:rsidRDefault="00EC15A5" w:rsidP="0035187E">
            <w:pPr>
              <w:jc w:val="both"/>
              <w:rPr>
                <w:rFonts w:ascii="Times New Roman" w:hAnsi="Times New Roman" w:cs="Times New Roman"/>
                <w:sz w:val="20"/>
                <w:szCs w:val="20"/>
              </w:rPr>
            </w:pPr>
            <w:r w:rsidRPr="0035187E">
              <w:rPr>
                <w:rFonts w:ascii="Times New Roman" w:hAnsi="Times New Roman" w:cs="Times New Roman"/>
                <w:sz w:val="20"/>
                <w:szCs w:val="20"/>
              </w:rPr>
              <w:t>Vyčíslení dopadů v takto podrobném rozsahu není standardním požadavkem na zpracování RIA, zacházel by tak do nesmyslných a těžko zodpovědně vyčíslitelných detailů.</w:t>
            </w:r>
          </w:p>
          <w:p w14:paraId="3CF99F33" w14:textId="77777777" w:rsidR="00640CFD" w:rsidRPr="0035187E" w:rsidRDefault="00640CFD" w:rsidP="0035187E">
            <w:pPr>
              <w:jc w:val="both"/>
              <w:rPr>
                <w:rFonts w:ascii="Times New Roman" w:hAnsi="Times New Roman" w:cs="Times New Roman"/>
                <w:sz w:val="20"/>
                <w:szCs w:val="20"/>
              </w:rPr>
            </w:pPr>
          </w:p>
          <w:p w14:paraId="0DAE1B6F" w14:textId="60A52A5D" w:rsidR="00640CFD" w:rsidRPr="0035187E" w:rsidRDefault="00640CFD"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Připomínkové místo uvedlo, že připomínky 1, 2, 3, 4 a 6</w:t>
            </w:r>
            <w:r w:rsidR="000667D5" w:rsidRPr="0035187E">
              <w:rPr>
                <w:rFonts w:ascii="Times New Roman" w:hAnsi="Times New Roman" w:cs="Times New Roman"/>
                <w:i/>
                <w:iCs/>
                <w:sz w:val="20"/>
                <w:szCs w:val="20"/>
              </w:rPr>
              <w:t xml:space="preserve"> mění</w:t>
            </w:r>
            <w:r w:rsidRPr="0035187E">
              <w:rPr>
                <w:rFonts w:ascii="Times New Roman" w:hAnsi="Times New Roman" w:cs="Times New Roman"/>
                <w:i/>
                <w:iCs/>
                <w:sz w:val="20"/>
                <w:szCs w:val="20"/>
              </w:rPr>
              <w:t xml:space="preserve"> na „doporučující“ a nevznikne tedy kvůli nim rozpor.</w:t>
            </w:r>
          </w:p>
          <w:p w14:paraId="56245966" w14:textId="5D1D3CCF" w:rsidR="0088463F" w:rsidRPr="0035187E" w:rsidRDefault="0088463F"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Pozn.: Část připomínky 4: Aby bylo uvedeno, v jakých oblastech ekonomické činnosti se očekávají největší dopady znovuzavedení EET. Pokud je dopad koncentrovaný do jednoho či několika málo oblastí ekonomické činnosti, je třeba tuto skutečnost popsat a případně se vyjádřit k možnému dopadu na ceny v daném odvětví. Z návrhu vypořádání se zdá, že MF má tuto úroveň analýzy také zpracovanou. Pokud se jedná o technickou či rozsáhlou informaci, je znovu možné ji připojit jako přílohu k textu.</w:t>
            </w:r>
          </w:p>
        </w:tc>
      </w:tr>
      <w:tr w:rsidR="0035187E" w:rsidRPr="0035187E" w14:paraId="70234357"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FDDA76E" w14:textId="77777777" w:rsidR="00EC15A5" w:rsidRPr="0035187E" w:rsidRDefault="00EC15A5"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14.</w:t>
            </w:r>
          </w:p>
        </w:tc>
        <w:tc>
          <w:tcPr>
            <w:tcW w:w="583" w:type="pct"/>
            <w:tcBorders>
              <w:top w:val="single" w:sz="4" w:space="0" w:color="auto"/>
              <w:left w:val="single" w:sz="4" w:space="0" w:color="auto"/>
              <w:right w:val="single" w:sz="4" w:space="0" w:color="auto"/>
            </w:tcBorders>
            <w:shd w:val="clear" w:color="auto" w:fill="auto"/>
          </w:tcPr>
          <w:p w14:paraId="756D24C3" w14:textId="77777777" w:rsidR="00EC15A5" w:rsidRPr="0035187E" w:rsidRDefault="00EC15A5"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Úřad vlády České </w:t>
            </w:r>
            <w:proofErr w:type="gramStart"/>
            <w:r w:rsidRPr="0035187E">
              <w:rPr>
                <w:rFonts w:ascii="Times New Roman" w:hAnsi="Times New Roman" w:cs="Times New Roman"/>
                <w:sz w:val="20"/>
                <w:szCs w:val="20"/>
              </w:rPr>
              <w:t>republiky - Kabinet</w:t>
            </w:r>
            <w:proofErr w:type="gramEnd"/>
            <w:r w:rsidRPr="0035187E">
              <w:rPr>
                <w:rFonts w:ascii="Times New Roman" w:hAnsi="Times New Roman" w:cs="Times New Roman"/>
                <w:sz w:val="20"/>
                <w:szCs w:val="20"/>
              </w:rPr>
              <w:t xml:space="preserve"> vedoucího Úřadu vlády</w:t>
            </w:r>
          </w:p>
        </w:tc>
        <w:tc>
          <w:tcPr>
            <w:tcW w:w="168" w:type="pct"/>
            <w:tcBorders>
              <w:top w:val="single" w:sz="4" w:space="0" w:color="auto"/>
              <w:left w:val="single" w:sz="4" w:space="0" w:color="auto"/>
              <w:right w:val="single" w:sz="4" w:space="0" w:color="auto"/>
            </w:tcBorders>
            <w:shd w:val="clear" w:color="auto" w:fill="auto"/>
          </w:tcPr>
          <w:p w14:paraId="77284C24" w14:textId="5CF1007F" w:rsidR="00EC15A5" w:rsidRPr="0035187E" w:rsidRDefault="00EC15A5" w:rsidP="0035187E">
            <w:pPr>
              <w:jc w:val="center"/>
              <w:rPr>
                <w:rFonts w:ascii="Times New Roman" w:hAnsi="Times New Roman" w:cs="Times New Roman"/>
                <w:sz w:val="20"/>
                <w:szCs w:val="20"/>
              </w:rPr>
            </w:pPr>
            <w:r w:rsidRPr="0035187E">
              <w:rPr>
                <w:rFonts w:ascii="Times New Roman" w:hAnsi="Times New Roman" w:cs="Times New Roman"/>
                <w:sz w:val="20"/>
                <w:szCs w:val="20"/>
              </w:rPr>
              <w:t>5.</w:t>
            </w:r>
          </w:p>
        </w:tc>
        <w:tc>
          <w:tcPr>
            <w:tcW w:w="169" w:type="pct"/>
            <w:tcBorders>
              <w:top w:val="single" w:sz="4" w:space="0" w:color="auto"/>
              <w:left w:val="single" w:sz="4" w:space="0" w:color="auto"/>
              <w:right w:val="single" w:sz="4" w:space="0" w:color="auto"/>
            </w:tcBorders>
            <w:shd w:val="clear" w:color="auto" w:fill="auto"/>
          </w:tcPr>
          <w:p w14:paraId="5FFDF24B" w14:textId="77777777" w:rsidR="00EC15A5" w:rsidRPr="0035187E" w:rsidRDefault="00EC15A5"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CCA218B" w14:textId="77777777" w:rsidR="00EC15A5" w:rsidRPr="0035187E" w:rsidRDefault="00EC15A5" w:rsidP="0035187E">
            <w:pPr>
              <w:widowControl w:val="0"/>
              <w:numPr>
                <w:ilvl w:val="0"/>
                <w:numId w:val="31"/>
              </w:numPr>
              <w:autoSpaceDE w:val="0"/>
              <w:autoSpaceDN w:val="0"/>
              <w:adjustRightInd w:val="0"/>
              <w:ind w:left="0" w:firstLine="0"/>
              <w:contextualSpacing/>
              <w:jc w:val="both"/>
              <w:rPr>
                <w:rFonts w:ascii="Times New Roman" w:hAnsi="Times New Roman" w:cs="Times New Roman"/>
                <w:b/>
                <w:sz w:val="20"/>
                <w:szCs w:val="20"/>
              </w:rPr>
            </w:pPr>
            <w:r w:rsidRPr="0035187E">
              <w:rPr>
                <w:rFonts w:ascii="Times New Roman" w:hAnsi="Times New Roman" w:cs="Times New Roman"/>
                <w:b/>
                <w:sz w:val="20"/>
                <w:szCs w:val="20"/>
              </w:rPr>
              <w:t xml:space="preserve">Vyhodnocení institutu "přirážky": </w:t>
            </w:r>
          </w:p>
          <w:p w14:paraId="2C4512C5" w14:textId="1494B41D" w:rsidR="00EC15A5" w:rsidRPr="0035187E" w:rsidRDefault="00EC15A5" w:rsidP="0035187E">
            <w:pPr>
              <w:widowControl w:val="0"/>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Cs/>
                <w:sz w:val="20"/>
                <w:szCs w:val="20"/>
              </w:rPr>
              <w:t>Návrh novelizace zákona o daních z příjmů (§ 2b) zavádí pro subjekty s obratem do 1 mil. Kč možnost zproštění povinnosti evidence formou přirážky k paušální dani. Zpráva RIA se však tomuto zásadnímu kompenzačnímu mechanismu více nevěnuje. Požadujeme doplnit odhad počtu subjektů, které tuto výjimku využijí, a zhodnotit její vliv na očekávané daňové inkaso i případné distorze trhu, které mohou být důsledkem.</w:t>
            </w:r>
          </w:p>
        </w:tc>
        <w:tc>
          <w:tcPr>
            <w:tcW w:w="1453" w:type="pct"/>
            <w:tcBorders>
              <w:top w:val="single" w:sz="4" w:space="0" w:color="auto"/>
              <w:left w:val="single" w:sz="4" w:space="0" w:color="auto"/>
              <w:right w:val="single" w:sz="4" w:space="0" w:color="auto"/>
            </w:tcBorders>
            <w:shd w:val="clear" w:color="auto" w:fill="auto"/>
          </w:tcPr>
          <w:p w14:paraId="5B3CB5F5" w14:textId="463CE126" w:rsidR="00EC15A5" w:rsidRPr="0035187E" w:rsidRDefault="00EC15A5" w:rsidP="0035187E">
            <w:pPr>
              <w:jc w:val="both"/>
              <w:rPr>
                <w:rFonts w:ascii="Times New Roman" w:hAnsi="Times New Roman" w:cs="Times New Roman"/>
                <w:b/>
                <w:sz w:val="20"/>
                <w:szCs w:val="20"/>
              </w:rPr>
            </w:pPr>
            <w:r w:rsidRPr="0035187E">
              <w:rPr>
                <w:rFonts w:ascii="Times New Roman" w:hAnsi="Times New Roman" w:cs="Times New Roman"/>
                <w:b/>
                <w:sz w:val="20"/>
                <w:szCs w:val="20"/>
              </w:rPr>
              <w:t>Vyhověno.</w:t>
            </w:r>
          </w:p>
          <w:p w14:paraId="596F7F26" w14:textId="77777777" w:rsidR="00EC15A5" w:rsidRPr="0035187E" w:rsidRDefault="00EC15A5" w:rsidP="0035187E">
            <w:pPr>
              <w:jc w:val="both"/>
              <w:rPr>
                <w:rFonts w:ascii="Times New Roman" w:hAnsi="Times New Roman" w:cs="Times New Roman"/>
                <w:sz w:val="20"/>
                <w:szCs w:val="20"/>
              </w:rPr>
            </w:pPr>
            <w:r w:rsidRPr="0035187E">
              <w:rPr>
                <w:rFonts w:ascii="Times New Roman" w:hAnsi="Times New Roman" w:cs="Times New Roman"/>
                <w:sz w:val="20"/>
                <w:szCs w:val="20"/>
              </w:rPr>
              <w:t>RIA byla doplněna.</w:t>
            </w:r>
          </w:p>
          <w:p w14:paraId="7B25495F" w14:textId="77777777" w:rsidR="00640CFD" w:rsidRPr="0035187E" w:rsidRDefault="00640CFD" w:rsidP="0035187E">
            <w:pPr>
              <w:jc w:val="both"/>
              <w:rPr>
                <w:rFonts w:ascii="Times New Roman" w:hAnsi="Times New Roman" w:cs="Times New Roman"/>
                <w:sz w:val="20"/>
                <w:szCs w:val="20"/>
              </w:rPr>
            </w:pPr>
          </w:p>
          <w:p w14:paraId="70EDDC24" w14:textId="29DEC0BC" w:rsidR="00640CFD" w:rsidRPr="0035187E" w:rsidRDefault="00640CFD"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Připomínkové místo uvedlo, že připomínku považuje za vypořádanou doplněním.</w:t>
            </w:r>
          </w:p>
        </w:tc>
      </w:tr>
      <w:tr w:rsidR="0035187E" w:rsidRPr="0035187E" w14:paraId="3B56F941"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B891A2F" w14:textId="4A83395A" w:rsidR="00EC15A5" w:rsidRPr="0035187E" w:rsidRDefault="00EC15A5" w:rsidP="0035187E">
            <w:pPr>
              <w:jc w:val="center"/>
              <w:rPr>
                <w:rFonts w:ascii="Times New Roman" w:hAnsi="Times New Roman" w:cs="Times New Roman"/>
                <w:sz w:val="20"/>
                <w:szCs w:val="20"/>
              </w:rPr>
            </w:pPr>
            <w:r w:rsidRPr="0035187E">
              <w:rPr>
                <w:rFonts w:ascii="Times New Roman" w:hAnsi="Times New Roman" w:cs="Times New Roman"/>
                <w:sz w:val="20"/>
                <w:szCs w:val="20"/>
              </w:rPr>
              <w:t>14.</w:t>
            </w:r>
          </w:p>
        </w:tc>
        <w:tc>
          <w:tcPr>
            <w:tcW w:w="583" w:type="pct"/>
            <w:tcBorders>
              <w:top w:val="single" w:sz="4" w:space="0" w:color="auto"/>
              <w:left w:val="single" w:sz="4" w:space="0" w:color="auto"/>
              <w:right w:val="single" w:sz="4" w:space="0" w:color="auto"/>
            </w:tcBorders>
            <w:shd w:val="clear" w:color="auto" w:fill="auto"/>
          </w:tcPr>
          <w:p w14:paraId="25BE2FE1" w14:textId="390A09FB" w:rsidR="00EC15A5" w:rsidRPr="0035187E" w:rsidRDefault="00EC15A5"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Úřad vlády České </w:t>
            </w:r>
            <w:proofErr w:type="gramStart"/>
            <w:r w:rsidRPr="0035187E">
              <w:rPr>
                <w:rFonts w:ascii="Times New Roman" w:hAnsi="Times New Roman" w:cs="Times New Roman"/>
                <w:sz w:val="20"/>
                <w:szCs w:val="20"/>
              </w:rPr>
              <w:t>republiky - Kabinet</w:t>
            </w:r>
            <w:proofErr w:type="gramEnd"/>
            <w:r w:rsidRPr="0035187E">
              <w:rPr>
                <w:rFonts w:ascii="Times New Roman" w:hAnsi="Times New Roman" w:cs="Times New Roman"/>
                <w:sz w:val="20"/>
                <w:szCs w:val="20"/>
              </w:rPr>
              <w:t xml:space="preserve"> vedoucího Úřadu vlády</w:t>
            </w:r>
          </w:p>
        </w:tc>
        <w:tc>
          <w:tcPr>
            <w:tcW w:w="168" w:type="pct"/>
            <w:tcBorders>
              <w:top w:val="single" w:sz="4" w:space="0" w:color="auto"/>
              <w:left w:val="single" w:sz="4" w:space="0" w:color="auto"/>
              <w:right w:val="single" w:sz="4" w:space="0" w:color="auto"/>
            </w:tcBorders>
            <w:shd w:val="clear" w:color="auto" w:fill="auto"/>
          </w:tcPr>
          <w:p w14:paraId="0C3F8410" w14:textId="1B2EB9E9" w:rsidR="00EC15A5" w:rsidRPr="0035187E" w:rsidRDefault="00EC15A5" w:rsidP="0035187E">
            <w:pPr>
              <w:jc w:val="center"/>
              <w:rPr>
                <w:rFonts w:ascii="Times New Roman" w:hAnsi="Times New Roman" w:cs="Times New Roman"/>
                <w:sz w:val="20"/>
                <w:szCs w:val="20"/>
              </w:rPr>
            </w:pPr>
            <w:r w:rsidRPr="0035187E">
              <w:rPr>
                <w:rFonts w:ascii="Times New Roman" w:hAnsi="Times New Roman" w:cs="Times New Roman"/>
                <w:sz w:val="20"/>
                <w:szCs w:val="20"/>
              </w:rPr>
              <w:t>6.</w:t>
            </w:r>
          </w:p>
        </w:tc>
        <w:tc>
          <w:tcPr>
            <w:tcW w:w="169" w:type="pct"/>
            <w:tcBorders>
              <w:top w:val="single" w:sz="4" w:space="0" w:color="auto"/>
              <w:left w:val="single" w:sz="4" w:space="0" w:color="auto"/>
              <w:right w:val="single" w:sz="4" w:space="0" w:color="auto"/>
            </w:tcBorders>
            <w:shd w:val="clear" w:color="auto" w:fill="auto"/>
          </w:tcPr>
          <w:p w14:paraId="7BBA0B90" w14:textId="31778494" w:rsidR="00EC15A5" w:rsidRPr="0035187E" w:rsidRDefault="00EC15A5"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917D8B6" w14:textId="77777777" w:rsidR="00EC15A5" w:rsidRPr="0035187E" w:rsidRDefault="00EC15A5" w:rsidP="0035187E">
            <w:pPr>
              <w:widowControl w:val="0"/>
              <w:numPr>
                <w:ilvl w:val="0"/>
                <w:numId w:val="31"/>
              </w:numPr>
              <w:autoSpaceDE w:val="0"/>
              <w:autoSpaceDN w:val="0"/>
              <w:adjustRightInd w:val="0"/>
              <w:ind w:left="0" w:firstLine="0"/>
              <w:contextualSpacing/>
              <w:jc w:val="both"/>
              <w:rPr>
                <w:rFonts w:ascii="Times New Roman" w:hAnsi="Times New Roman" w:cs="Times New Roman"/>
                <w:b/>
                <w:sz w:val="20"/>
                <w:szCs w:val="20"/>
              </w:rPr>
            </w:pPr>
            <w:r w:rsidRPr="0035187E">
              <w:rPr>
                <w:rFonts w:ascii="Times New Roman" w:hAnsi="Times New Roman" w:cs="Times New Roman"/>
                <w:b/>
                <w:sz w:val="20"/>
                <w:szCs w:val="20"/>
              </w:rPr>
              <w:t xml:space="preserve">Plán ex-post přezkumu: </w:t>
            </w:r>
          </w:p>
          <w:p w14:paraId="2B5A8488" w14:textId="02A43400" w:rsidR="00EC15A5" w:rsidRPr="0035187E" w:rsidRDefault="00EC15A5" w:rsidP="0035187E">
            <w:pPr>
              <w:widowControl w:val="0"/>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Cs/>
                <w:sz w:val="20"/>
                <w:szCs w:val="20"/>
              </w:rPr>
              <w:t>Materiál obsahuje nekompletní plán pro budoucí přezkum účinnosti navrhované regulace. Žádáme doplnit plán ex post vyhodnocení (termín přezkumu, indikátory, zdroje dat, evaluační otázky). Bez ex post plánu nelze v budoucnu ověřit (s dostatečnou metodickou kvalitou) efekt navrhované regulace a ani to, zda je zásah přiměřený.</w:t>
            </w:r>
          </w:p>
        </w:tc>
        <w:tc>
          <w:tcPr>
            <w:tcW w:w="1453" w:type="pct"/>
            <w:tcBorders>
              <w:top w:val="single" w:sz="4" w:space="0" w:color="auto"/>
              <w:left w:val="single" w:sz="4" w:space="0" w:color="auto"/>
              <w:right w:val="single" w:sz="4" w:space="0" w:color="auto"/>
            </w:tcBorders>
            <w:shd w:val="clear" w:color="auto" w:fill="auto"/>
          </w:tcPr>
          <w:p w14:paraId="3B3634FC" w14:textId="28964B6B" w:rsidR="00EC15A5" w:rsidRPr="0035187E" w:rsidRDefault="00EC15A5"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4F9E0802" w14:textId="77777777" w:rsidR="00EC15A5" w:rsidRPr="0035187E" w:rsidRDefault="00EC15A5"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V RIA jsou uvedeny základní ukazatelé (vývoj inkasa daní, podíl šedé ekonomiky, velikost daňové mezery, objem hotovostních a bezhotovostních tržeb), jejichž prostřednictvím bude průběžně dopad vyhodnocován. Jedná se o indikátory, které jsou sledovány </w:t>
            </w:r>
            <w:proofErr w:type="gramStart"/>
            <w:r w:rsidRPr="0035187E">
              <w:rPr>
                <w:rFonts w:ascii="Times New Roman" w:hAnsi="Times New Roman" w:cs="Times New Roman"/>
                <w:sz w:val="20"/>
                <w:szCs w:val="20"/>
              </w:rPr>
              <w:t>pravidelně</w:t>
            </w:r>
            <w:proofErr w:type="gramEnd"/>
            <w:r w:rsidRPr="0035187E">
              <w:rPr>
                <w:rFonts w:ascii="Times New Roman" w:hAnsi="Times New Roman" w:cs="Times New Roman"/>
                <w:sz w:val="20"/>
                <w:szCs w:val="20"/>
              </w:rPr>
              <w:t xml:space="preserve"> a i pro jiné účely, není tedy dle našeho názoru nutné explicitně uvádět termín vyhodnocení a metody, neboť ty jsou již historicky dané. Zároveň časová řada uvedených ukazatelů je dostatečně dlouhá na to, aby bylo možné dopady zavedení EET vyhodnotit izolovaně. Uvádět v rámci RIA termín pouze jednorázového vyhodnocení nám připadá i z analytického hlediska neúčelné.</w:t>
            </w:r>
          </w:p>
          <w:p w14:paraId="07A0F856" w14:textId="77777777" w:rsidR="00640CFD" w:rsidRPr="0035187E" w:rsidRDefault="00640CFD" w:rsidP="0035187E">
            <w:pPr>
              <w:jc w:val="both"/>
              <w:rPr>
                <w:rFonts w:ascii="Times New Roman" w:hAnsi="Times New Roman" w:cs="Times New Roman"/>
                <w:sz w:val="20"/>
                <w:szCs w:val="20"/>
              </w:rPr>
            </w:pPr>
          </w:p>
          <w:p w14:paraId="228AFE56" w14:textId="08AA42FE" w:rsidR="00640CFD" w:rsidRPr="0035187E" w:rsidRDefault="00640CFD"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 xml:space="preserve">Připomínkové místo uvedlo, že připomínky 1, 2, 3, 4 a 6 </w:t>
            </w:r>
            <w:r w:rsidR="000667D5" w:rsidRPr="0035187E">
              <w:rPr>
                <w:rFonts w:ascii="Times New Roman" w:hAnsi="Times New Roman" w:cs="Times New Roman"/>
                <w:i/>
                <w:iCs/>
                <w:sz w:val="20"/>
                <w:szCs w:val="20"/>
              </w:rPr>
              <w:t xml:space="preserve">mění </w:t>
            </w:r>
            <w:r w:rsidRPr="0035187E">
              <w:rPr>
                <w:rFonts w:ascii="Times New Roman" w:hAnsi="Times New Roman" w:cs="Times New Roman"/>
                <w:i/>
                <w:iCs/>
                <w:sz w:val="20"/>
                <w:szCs w:val="20"/>
              </w:rPr>
              <w:t>na „doporučující“ a nevznikne tedy kvůli nim rozpor.</w:t>
            </w:r>
          </w:p>
          <w:p w14:paraId="4A9B1A91" w14:textId="1C9FCE37" w:rsidR="0088463F" w:rsidRPr="0035187E" w:rsidRDefault="0088463F"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Pozn.: Připomínka 6: Aby byla stanovena metoda a plán přezkumu účinnosti, kterou je možné měřit dopady reformy na vybrané ukazatele. Argument poskytnutý ve vypořádání, tedy že „časová řada uvedených ukazatelů je dostatečně dlouhá na to, aby bylo možné dopady zavedení EET vyhodnotit izolovaně“, nepovažujeme za správný. Kauzální vztahy (dopady) není možné měřit pomocí vývoje těchto ukazatelů a je nutné využít jiných analytických metod. Existující data o zdanění právnických osob jsou dostatečná pro takové metody, nejedná se tedy o nerealistický požadavek. Informace z pravidelného reportingu jsou jistě cenným vstupem pro sledování důležitých veličin, ale nejsou ekonometricky dostatečné pro přezkum účinnosti konkrétního zásahu.</w:t>
            </w:r>
          </w:p>
        </w:tc>
      </w:tr>
      <w:tr w:rsidR="0035187E" w:rsidRPr="0035187E" w14:paraId="0FDCC835"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26DA01A" w14:textId="4867B7DA"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15.</w:t>
            </w:r>
          </w:p>
        </w:tc>
        <w:tc>
          <w:tcPr>
            <w:tcW w:w="583" w:type="pct"/>
            <w:tcBorders>
              <w:top w:val="single" w:sz="4" w:space="0" w:color="auto"/>
              <w:left w:val="single" w:sz="4" w:space="0" w:color="auto"/>
              <w:right w:val="single" w:sz="4" w:space="0" w:color="auto"/>
            </w:tcBorders>
            <w:shd w:val="clear" w:color="auto" w:fill="auto"/>
          </w:tcPr>
          <w:p w14:paraId="32A3C68F" w14:textId="7750F193"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Úřad vlády České </w:t>
            </w:r>
            <w:proofErr w:type="gramStart"/>
            <w:r w:rsidRPr="0035187E">
              <w:rPr>
                <w:rFonts w:ascii="Times New Roman" w:hAnsi="Times New Roman" w:cs="Times New Roman"/>
                <w:sz w:val="20"/>
                <w:szCs w:val="20"/>
              </w:rPr>
              <w:t>republiky - Ministr</w:t>
            </w:r>
            <w:proofErr w:type="gramEnd"/>
            <w:r w:rsidRPr="0035187E">
              <w:rPr>
                <w:rFonts w:ascii="Times New Roman" w:hAnsi="Times New Roman" w:cs="Times New Roman"/>
                <w:sz w:val="20"/>
                <w:szCs w:val="20"/>
              </w:rPr>
              <w:t xml:space="preserve"> a předseda </w:t>
            </w:r>
            <w:r w:rsidRPr="0035187E">
              <w:rPr>
                <w:rFonts w:ascii="Times New Roman" w:hAnsi="Times New Roman" w:cs="Times New Roman"/>
                <w:sz w:val="20"/>
                <w:szCs w:val="20"/>
              </w:rPr>
              <w:lastRenderedPageBreak/>
              <w:t>Legislativní rady vlády</w:t>
            </w:r>
          </w:p>
        </w:tc>
        <w:tc>
          <w:tcPr>
            <w:tcW w:w="168" w:type="pct"/>
            <w:tcBorders>
              <w:top w:val="single" w:sz="4" w:space="0" w:color="auto"/>
              <w:left w:val="single" w:sz="4" w:space="0" w:color="auto"/>
              <w:right w:val="single" w:sz="4" w:space="0" w:color="auto"/>
            </w:tcBorders>
            <w:shd w:val="clear" w:color="auto" w:fill="auto"/>
          </w:tcPr>
          <w:p w14:paraId="50052FDE" w14:textId="791F6B1F"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w:t>
            </w:r>
          </w:p>
        </w:tc>
        <w:tc>
          <w:tcPr>
            <w:tcW w:w="169" w:type="pct"/>
            <w:tcBorders>
              <w:top w:val="single" w:sz="4" w:space="0" w:color="auto"/>
              <w:left w:val="single" w:sz="4" w:space="0" w:color="auto"/>
              <w:right w:val="single" w:sz="4" w:space="0" w:color="auto"/>
            </w:tcBorders>
            <w:shd w:val="clear" w:color="auto" w:fill="auto"/>
          </w:tcPr>
          <w:p w14:paraId="720A4245" w14:textId="455D7255"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76B782A" w14:textId="77777777" w:rsidR="00BE73FF" w:rsidRPr="0035187E" w:rsidRDefault="00BE73FF" w:rsidP="0035187E">
            <w:pPr>
              <w:widowControl w:val="0"/>
              <w:autoSpaceDE w:val="0"/>
              <w:autoSpaceDN w:val="0"/>
              <w:adjustRightInd w:val="0"/>
              <w:jc w:val="both"/>
              <w:rPr>
                <w:rFonts w:ascii="Times New Roman" w:hAnsi="Times New Roman" w:cs="Times New Roman"/>
                <w:b/>
                <w:sz w:val="20"/>
                <w:szCs w:val="20"/>
                <w:u w:val="single"/>
              </w:rPr>
            </w:pPr>
            <w:r w:rsidRPr="0035187E">
              <w:rPr>
                <w:rFonts w:ascii="Times New Roman" w:hAnsi="Times New Roman" w:cs="Times New Roman"/>
                <w:b/>
                <w:sz w:val="20"/>
                <w:szCs w:val="20"/>
                <w:u w:val="single"/>
              </w:rPr>
              <w:t xml:space="preserve">Obecně: </w:t>
            </w:r>
          </w:p>
          <w:p w14:paraId="50EDC38A" w14:textId="77777777"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Navržený zákon obsahuje kromě úpravy zavedení evidence tržeb a změn některých daňových právních předpisů souvisejících s jejím zavedením také další změny s evidencí </w:t>
            </w:r>
            <w:r w:rsidRPr="0035187E">
              <w:rPr>
                <w:rFonts w:ascii="Times New Roman" w:hAnsi="Times New Roman" w:cs="Times New Roman"/>
                <w:sz w:val="20"/>
                <w:szCs w:val="20"/>
              </w:rPr>
              <w:lastRenderedPageBreak/>
              <w:t xml:space="preserve">tržeb zřejmě přímo nesouvisející ani na ni nenavazující. Tyto další změny vycházejí zejména z Programového prohlášení vlády.  </w:t>
            </w:r>
          </w:p>
          <w:p w14:paraId="4C736EA2" w14:textId="77777777"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V této souvislosti poukazujeme na ustanovení čl. 39 odst. 4 a čl. 54 odst. 3 Legislativních pravidel vlády, která stanoví, že v témže zákoně nelze upravovat věci různorodé a je-li navrhován zákon, který si vyžádá novelu jiného zákona nebo více zákonů, lze v rámci těchto novel upravovat pouze věci, které bezprostředně souvisejí se zákonem, který novelu jiných právních předpisů vyvolal. </w:t>
            </w:r>
          </w:p>
          <w:p w14:paraId="03680D1B" w14:textId="77777777"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sz w:val="20"/>
                <w:szCs w:val="20"/>
              </w:rPr>
              <w:t>Takový postup může být kontraproduktivní ve vztahu k zajištění kvalitního projednání a dosažení kvalitní výsledné podoby právní úpravy, může ztěžovat a zpomalovat legislativní proces a nepřispívá ke zpřehlednění navržených změn a znesnadňuje orientaci v těchto změnách těm, kteří mají takový návrh posuzovat nebo schvalovat. Na tento nestandardní postup bylo Ministerstvo financí opakovaně upozorňováno jak předsedou Legislativní rady vlády, tak samotnou Legislativní radou vlády v rámci jejích stanovisek k některým ministerstvem předkládaným návrhům zákonů.</w:t>
            </w:r>
          </w:p>
          <w:p w14:paraId="0E9D3D1E" w14:textId="2F3CE175" w:rsidR="00BE73FF" w:rsidRPr="0035187E" w:rsidRDefault="00BE73FF" w:rsidP="0035187E">
            <w:pPr>
              <w:jc w:val="both"/>
              <w:rPr>
                <w:rFonts w:ascii="Times New Roman" w:hAnsi="Times New Roman" w:cs="Times New Roman"/>
                <w:b/>
                <w:bCs/>
                <w:sz w:val="20"/>
                <w:szCs w:val="20"/>
              </w:rPr>
            </w:pPr>
            <w:r w:rsidRPr="0035187E">
              <w:rPr>
                <w:rFonts w:ascii="Times New Roman" w:hAnsi="Times New Roman" w:cs="Times New Roman"/>
                <w:sz w:val="20"/>
                <w:szCs w:val="20"/>
              </w:rPr>
              <w:t>Vzhledem k výše uvedenému doporučujeme předkladateli zvážit, zda by z návrhu zákona s evidencí tržeb nesouvisející a na ni nenavazující změny nevyčlenil do samostatného návrhu zákona.</w:t>
            </w:r>
          </w:p>
        </w:tc>
        <w:tc>
          <w:tcPr>
            <w:tcW w:w="1453" w:type="pct"/>
            <w:tcBorders>
              <w:top w:val="single" w:sz="4" w:space="0" w:color="auto"/>
              <w:left w:val="single" w:sz="4" w:space="0" w:color="auto"/>
              <w:right w:val="single" w:sz="4" w:space="0" w:color="auto"/>
            </w:tcBorders>
            <w:shd w:val="clear" w:color="auto" w:fill="auto"/>
          </w:tcPr>
          <w:p w14:paraId="1D33C289" w14:textId="77777777" w:rsidR="00BE73FF" w:rsidRPr="0035187E" w:rsidRDefault="00E67958"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Vysvětleno.</w:t>
            </w:r>
          </w:p>
          <w:p w14:paraId="413E58AD" w14:textId="45B52E40" w:rsidR="00E67958" w:rsidRPr="0035187E" w:rsidRDefault="00E67958"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Zvolený soubor opatření byl zvolen záměrně jako celek, protože z hlediska politiky vlády jde o kroky, </w:t>
            </w:r>
            <w:r w:rsidRPr="0035187E">
              <w:rPr>
                <w:rFonts w:ascii="Times New Roman" w:hAnsi="Times New Roman" w:cs="Times New Roman"/>
                <w:sz w:val="20"/>
                <w:szCs w:val="20"/>
              </w:rPr>
              <w:lastRenderedPageBreak/>
              <w:t>které se vzájemně politicky podmiňují. To je ostatně jeden z důvodů, proč vznikají různé „legislativní balíčky“, které mohou obsahovat témata, která spolu nemusí nutně přímo souviset (a to ani tematicky), avšak je záměrem předkladatele, aby jejich schválení sdílelo stejný osud. Taková legislativní praxe je běžná</w:t>
            </w:r>
            <w:r w:rsidR="00D651A2" w:rsidRPr="0035187E">
              <w:rPr>
                <w:rFonts w:ascii="Times New Roman" w:hAnsi="Times New Roman" w:cs="Times New Roman"/>
                <w:sz w:val="20"/>
                <w:szCs w:val="20"/>
              </w:rPr>
              <w:t xml:space="preserve"> i</w:t>
            </w:r>
            <w:r w:rsidRPr="0035187E">
              <w:rPr>
                <w:rFonts w:ascii="Times New Roman" w:hAnsi="Times New Roman" w:cs="Times New Roman"/>
                <w:sz w:val="20"/>
                <w:szCs w:val="20"/>
              </w:rPr>
              <w:t xml:space="preserve"> v</w:t>
            </w:r>
            <w:r w:rsidR="00D651A2" w:rsidRPr="0035187E">
              <w:rPr>
                <w:rFonts w:ascii="Times New Roman" w:hAnsi="Times New Roman" w:cs="Times New Roman"/>
                <w:sz w:val="20"/>
                <w:szCs w:val="20"/>
              </w:rPr>
              <w:t> </w:t>
            </w:r>
            <w:r w:rsidRPr="0035187E">
              <w:rPr>
                <w:rFonts w:ascii="Times New Roman" w:hAnsi="Times New Roman" w:cs="Times New Roman"/>
                <w:sz w:val="20"/>
                <w:szCs w:val="20"/>
              </w:rPr>
              <w:t>zahraničí</w:t>
            </w:r>
            <w:r w:rsidR="00D651A2" w:rsidRPr="0035187E">
              <w:rPr>
                <w:rFonts w:ascii="Times New Roman" w:hAnsi="Times New Roman" w:cs="Times New Roman"/>
                <w:sz w:val="20"/>
                <w:szCs w:val="20"/>
              </w:rPr>
              <w:t>, a to</w:t>
            </w:r>
            <w:r w:rsidRPr="0035187E">
              <w:rPr>
                <w:rFonts w:ascii="Times New Roman" w:hAnsi="Times New Roman" w:cs="Times New Roman"/>
                <w:sz w:val="20"/>
                <w:szCs w:val="20"/>
              </w:rPr>
              <w:t xml:space="preserve"> právě pro oblast fiskální politiky státu.</w:t>
            </w:r>
          </w:p>
        </w:tc>
      </w:tr>
      <w:tr w:rsidR="0035187E" w:rsidRPr="0035187E" w14:paraId="6A170DE0"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F423AA4" w14:textId="2AF23241"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15.</w:t>
            </w:r>
          </w:p>
        </w:tc>
        <w:tc>
          <w:tcPr>
            <w:tcW w:w="583" w:type="pct"/>
            <w:tcBorders>
              <w:top w:val="single" w:sz="4" w:space="0" w:color="auto"/>
              <w:left w:val="single" w:sz="4" w:space="0" w:color="auto"/>
              <w:right w:val="single" w:sz="4" w:space="0" w:color="auto"/>
            </w:tcBorders>
            <w:shd w:val="clear" w:color="auto" w:fill="auto"/>
          </w:tcPr>
          <w:p w14:paraId="7AD0547B" w14:textId="287EC1AE"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Úřad vlády České </w:t>
            </w:r>
            <w:proofErr w:type="gramStart"/>
            <w:r w:rsidRPr="0035187E">
              <w:rPr>
                <w:rFonts w:ascii="Times New Roman" w:hAnsi="Times New Roman" w:cs="Times New Roman"/>
                <w:sz w:val="20"/>
                <w:szCs w:val="20"/>
              </w:rPr>
              <w:t>republiky - Ministr</w:t>
            </w:r>
            <w:proofErr w:type="gramEnd"/>
            <w:r w:rsidRPr="0035187E">
              <w:rPr>
                <w:rFonts w:ascii="Times New Roman" w:hAnsi="Times New Roman" w:cs="Times New Roman"/>
                <w:sz w:val="20"/>
                <w:szCs w:val="20"/>
              </w:rPr>
              <w:t xml:space="preserve"> a předseda Legislativní rady vlády</w:t>
            </w:r>
          </w:p>
        </w:tc>
        <w:tc>
          <w:tcPr>
            <w:tcW w:w="168" w:type="pct"/>
            <w:tcBorders>
              <w:top w:val="single" w:sz="4" w:space="0" w:color="auto"/>
              <w:left w:val="single" w:sz="4" w:space="0" w:color="auto"/>
              <w:right w:val="single" w:sz="4" w:space="0" w:color="auto"/>
            </w:tcBorders>
            <w:shd w:val="clear" w:color="auto" w:fill="auto"/>
          </w:tcPr>
          <w:p w14:paraId="2545E7A6" w14:textId="40492FA3"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2.</w:t>
            </w:r>
          </w:p>
        </w:tc>
        <w:tc>
          <w:tcPr>
            <w:tcW w:w="169" w:type="pct"/>
            <w:tcBorders>
              <w:top w:val="single" w:sz="4" w:space="0" w:color="auto"/>
              <w:left w:val="single" w:sz="4" w:space="0" w:color="auto"/>
              <w:right w:val="single" w:sz="4" w:space="0" w:color="auto"/>
            </w:tcBorders>
            <w:shd w:val="clear" w:color="auto" w:fill="auto"/>
          </w:tcPr>
          <w:p w14:paraId="05D4939D" w14:textId="52B562BF"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03D5440" w14:textId="77777777" w:rsidR="00BE73FF" w:rsidRPr="0035187E" w:rsidRDefault="00BE73FF" w:rsidP="0035187E">
            <w:pPr>
              <w:jc w:val="both"/>
              <w:rPr>
                <w:rFonts w:ascii="Times New Roman" w:hAnsi="Times New Roman" w:cs="Times New Roman"/>
                <w:b/>
                <w:sz w:val="20"/>
                <w:szCs w:val="20"/>
                <w:u w:val="single"/>
              </w:rPr>
            </w:pPr>
            <w:r w:rsidRPr="0035187E">
              <w:rPr>
                <w:rFonts w:ascii="Times New Roman" w:hAnsi="Times New Roman" w:cs="Times New Roman"/>
                <w:b/>
                <w:sz w:val="20"/>
                <w:szCs w:val="20"/>
                <w:u w:val="single"/>
              </w:rPr>
              <w:t>K části první:</w:t>
            </w:r>
          </w:p>
          <w:p w14:paraId="2BD60BA5" w14:textId="77777777" w:rsidR="00BE73FF" w:rsidRPr="0035187E" w:rsidRDefault="00BE73FF" w:rsidP="0035187E">
            <w:pPr>
              <w:widowControl w:val="0"/>
              <w:autoSpaceDE w:val="0"/>
              <w:autoSpaceDN w:val="0"/>
              <w:adjustRightInd w:val="0"/>
              <w:jc w:val="both"/>
              <w:rPr>
                <w:rFonts w:ascii="Times New Roman" w:hAnsi="Times New Roman" w:cs="Times New Roman"/>
                <w:b/>
                <w:sz w:val="20"/>
                <w:szCs w:val="20"/>
                <w:u w:val="single"/>
              </w:rPr>
            </w:pPr>
            <w:r w:rsidRPr="0035187E">
              <w:rPr>
                <w:rFonts w:ascii="Times New Roman" w:hAnsi="Times New Roman" w:cs="Times New Roman"/>
                <w:b/>
                <w:sz w:val="20"/>
                <w:szCs w:val="20"/>
                <w:u w:val="single"/>
              </w:rPr>
              <w:t>K § 1:</w:t>
            </w:r>
          </w:p>
          <w:p w14:paraId="472FAC60" w14:textId="66101872" w:rsidR="00BE73FF" w:rsidRPr="0035187E" w:rsidRDefault="00BE73FF" w:rsidP="0035187E">
            <w:pPr>
              <w:jc w:val="both"/>
              <w:rPr>
                <w:rFonts w:ascii="Times New Roman" w:hAnsi="Times New Roman" w:cs="Times New Roman"/>
                <w:b/>
                <w:bCs/>
                <w:sz w:val="20"/>
                <w:szCs w:val="20"/>
              </w:rPr>
            </w:pPr>
            <w:r w:rsidRPr="0035187E">
              <w:rPr>
                <w:rFonts w:ascii="Times New Roman" w:hAnsi="Times New Roman" w:cs="Times New Roman"/>
                <w:sz w:val="20"/>
                <w:szCs w:val="20"/>
              </w:rPr>
              <w:t>V § 1 odst. 2 se vymezuje účel zákona o evidenci tržeb. Domníváme se, že účel, cíl a důvody regulace mají být standardně obsaženy a podrobně vysvětleny v důvodové zprávě, nikoli přímo v normativním textu zákona, pokud to není nutné pro vymezení předmětu úpravy. Z uvedeného důvodu doporučujeme vypustit popis účelu ze zákona a ponechat jej výlučně v důvodové zprávě.</w:t>
            </w:r>
          </w:p>
        </w:tc>
        <w:tc>
          <w:tcPr>
            <w:tcW w:w="1453" w:type="pct"/>
            <w:tcBorders>
              <w:top w:val="single" w:sz="4" w:space="0" w:color="auto"/>
              <w:left w:val="single" w:sz="4" w:space="0" w:color="auto"/>
              <w:right w:val="single" w:sz="4" w:space="0" w:color="auto"/>
            </w:tcBorders>
            <w:shd w:val="clear" w:color="auto" w:fill="auto"/>
          </w:tcPr>
          <w:p w14:paraId="57409723" w14:textId="77777777" w:rsidR="00BE73FF" w:rsidRPr="0035187E" w:rsidRDefault="00D651A2" w:rsidP="0035187E">
            <w:pPr>
              <w:jc w:val="both"/>
              <w:rPr>
                <w:rFonts w:ascii="Times New Roman" w:hAnsi="Times New Roman" w:cs="Times New Roman"/>
                <w:b/>
                <w:sz w:val="20"/>
                <w:szCs w:val="20"/>
              </w:rPr>
            </w:pPr>
            <w:r w:rsidRPr="0035187E">
              <w:rPr>
                <w:rFonts w:ascii="Times New Roman" w:hAnsi="Times New Roman" w:cs="Times New Roman"/>
                <w:b/>
                <w:sz w:val="20"/>
                <w:szCs w:val="20"/>
              </w:rPr>
              <w:t>Nevyhověno.</w:t>
            </w:r>
          </w:p>
          <w:p w14:paraId="0AF4BD83" w14:textId="6220D2FC" w:rsidR="00AF423A" w:rsidRPr="0035187E" w:rsidRDefault="00D651A2"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Vymezení účelu zákona, nebo též cíle evidence tržeb </w:t>
            </w:r>
            <w:r w:rsidRPr="0035187E">
              <w:rPr>
                <w:rFonts w:ascii="Times New Roman" w:hAnsi="Times New Roman" w:cs="Times New Roman"/>
                <w:i/>
                <w:sz w:val="20"/>
                <w:szCs w:val="20"/>
              </w:rPr>
              <w:t xml:space="preserve">largo </w:t>
            </w:r>
            <w:proofErr w:type="spellStart"/>
            <w:r w:rsidRPr="0035187E">
              <w:rPr>
                <w:rFonts w:ascii="Times New Roman" w:hAnsi="Times New Roman" w:cs="Times New Roman"/>
                <w:i/>
                <w:sz w:val="20"/>
                <w:szCs w:val="20"/>
              </w:rPr>
              <w:t>sensu</w:t>
            </w:r>
            <w:proofErr w:type="spellEnd"/>
            <w:r w:rsidRPr="0035187E">
              <w:rPr>
                <w:rFonts w:ascii="Times New Roman" w:hAnsi="Times New Roman" w:cs="Times New Roman"/>
                <w:sz w:val="20"/>
                <w:szCs w:val="20"/>
              </w:rPr>
              <w:t xml:space="preserve">, je klíčovým pravidlem pro </w:t>
            </w:r>
            <w:r w:rsidR="00A554BA" w:rsidRPr="0035187E">
              <w:rPr>
                <w:rFonts w:ascii="Times New Roman" w:hAnsi="Times New Roman" w:cs="Times New Roman"/>
                <w:sz w:val="20"/>
                <w:szCs w:val="20"/>
              </w:rPr>
              <w:t xml:space="preserve">interpretaci a </w:t>
            </w:r>
            <w:r w:rsidRPr="0035187E">
              <w:rPr>
                <w:rFonts w:ascii="Times New Roman" w:hAnsi="Times New Roman" w:cs="Times New Roman"/>
                <w:sz w:val="20"/>
                <w:szCs w:val="20"/>
              </w:rPr>
              <w:t xml:space="preserve">aplikaci dalších ustanovení zákona. </w:t>
            </w:r>
            <w:r w:rsidR="00A554BA" w:rsidRPr="0035187E">
              <w:rPr>
                <w:rFonts w:ascii="Times New Roman" w:hAnsi="Times New Roman" w:cs="Times New Roman"/>
                <w:sz w:val="20"/>
                <w:szCs w:val="20"/>
              </w:rPr>
              <w:t xml:space="preserve">Jeho absence v původním zákoně o evidenci tržeb ostatně hrála roli i při abstraktním přezkumu ústavnosti tohoto zákona ze strany Ústavního soudu. </w:t>
            </w:r>
          </w:p>
        </w:tc>
      </w:tr>
      <w:tr w:rsidR="0035187E" w:rsidRPr="0035187E" w14:paraId="2CA6E2E6"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45A5CA93" w14:textId="21D8F06D"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15.</w:t>
            </w:r>
          </w:p>
        </w:tc>
        <w:tc>
          <w:tcPr>
            <w:tcW w:w="583" w:type="pct"/>
            <w:tcBorders>
              <w:top w:val="single" w:sz="4" w:space="0" w:color="auto"/>
              <w:left w:val="single" w:sz="4" w:space="0" w:color="auto"/>
              <w:right w:val="single" w:sz="4" w:space="0" w:color="auto"/>
            </w:tcBorders>
            <w:shd w:val="clear" w:color="auto" w:fill="auto"/>
          </w:tcPr>
          <w:p w14:paraId="04594C76" w14:textId="1A8C52A0"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Úřad vlády České </w:t>
            </w:r>
            <w:proofErr w:type="gramStart"/>
            <w:r w:rsidRPr="0035187E">
              <w:rPr>
                <w:rFonts w:ascii="Times New Roman" w:hAnsi="Times New Roman" w:cs="Times New Roman"/>
                <w:sz w:val="20"/>
                <w:szCs w:val="20"/>
              </w:rPr>
              <w:t>republiky - Ministr</w:t>
            </w:r>
            <w:proofErr w:type="gramEnd"/>
            <w:r w:rsidRPr="0035187E">
              <w:rPr>
                <w:rFonts w:ascii="Times New Roman" w:hAnsi="Times New Roman" w:cs="Times New Roman"/>
                <w:sz w:val="20"/>
                <w:szCs w:val="20"/>
              </w:rPr>
              <w:t xml:space="preserve"> a předseda Legislativní rady vlády</w:t>
            </w:r>
          </w:p>
        </w:tc>
        <w:tc>
          <w:tcPr>
            <w:tcW w:w="168" w:type="pct"/>
            <w:tcBorders>
              <w:top w:val="single" w:sz="4" w:space="0" w:color="auto"/>
              <w:left w:val="single" w:sz="4" w:space="0" w:color="auto"/>
              <w:right w:val="single" w:sz="4" w:space="0" w:color="auto"/>
            </w:tcBorders>
            <w:shd w:val="clear" w:color="auto" w:fill="auto"/>
          </w:tcPr>
          <w:p w14:paraId="70D70349" w14:textId="180E9330"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3.</w:t>
            </w:r>
          </w:p>
        </w:tc>
        <w:tc>
          <w:tcPr>
            <w:tcW w:w="169" w:type="pct"/>
            <w:tcBorders>
              <w:top w:val="single" w:sz="4" w:space="0" w:color="auto"/>
              <w:left w:val="single" w:sz="4" w:space="0" w:color="auto"/>
              <w:right w:val="single" w:sz="4" w:space="0" w:color="auto"/>
            </w:tcBorders>
            <w:shd w:val="clear" w:color="auto" w:fill="auto"/>
          </w:tcPr>
          <w:p w14:paraId="03A5FF1C" w14:textId="02314566" w:rsidR="00BE73FF" w:rsidRPr="0035187E" w:rsidRDefault="00BE73FF"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31F89BB5" w14:textId="77777777" w:rsidR="00BE73FF" w:rsidRPr="0035187E" w:rsidRDefault="00BE73FF" w:rsidP="0035187E">
            <w:pPr>
              <w:keepNext/>
              <w:keepLines/>
              <w:widowControl w:val="0"/>
              <w:autoSpaceDE w:val="0"/>
              <w:autoSpaceDN w:val="0"/>
              <w:adjustRightInd w:val="0"/>
              <w:jc w:val="both"/>
              <w:rPr>
                <w:rFonts w:ascii="Times New Roman" w:hAnsi="Times New Roman" w:cs="Times New Roman"/>
                <w:b/>
                <w:sz w:val="20"/>
                <w:szCs w:val="20"/>
                <w:u w:val="single"/>
              </w:rPr>
            </w:pPr>
            <w:r w:rsidRPr="0035187E">
              <w:rPr>
                <w:rFonts w:ascii="Times New Roman" w:hAnsi="Times New Roman" w:cs="Times New Roman"/>
                <w:b/>
                <w:sz w:val="20"/>
                <w:szCs w:val="20"/>
                <w:u w:val="single"/>
              </w:rPr>
              <w:t>K § 2:</w:t>
            </w:r>
          </w:p>
          <w:p w14:paraId="297A4AB1" w14:textId="77777777" w:rsidR="00BE73FF" w:rsidRPr="0035187E" w:rsidRDefault="00BE73FF" w:rsidP="0035187E">
            <w:pPr>
              <w:jc w:val="both"/>
              <w:rPr>
                <w:rFonts w:ascii="Times New Roman" w:hAnsi="Times New Roman" w:cs="Times New Roman"/>
                <w:sz w:val="20"/>
                <w:szCs w:val="20"/>
              </w:rPr>
            </w:pPr>
            <w:r w:rsidRPr="0035187E">
              <w:rPr>
                <w:rFonts w:ascii="Times New Roman" w:hAnsi="Times New Roman" w:cs="Times New Roman"/>
                <w:sz w:val="20"/>
                <w:szCs w:val="20"/>
              </w:rPr>
              <w:t>Orgány Celní správy České republiky mají působnost rovněž k projednání přestupku příkazem na místě podle § 26 odst. 1 písm. b). Bylo by vhodné tuto skutečnost promítnout i do ustanovení o výkonu působnosti v § 2 odst. 2.</w:t>
            </w:r>
          </w:p>
          <w:p w14:paraId="123884C1" w14:textId="07F623BF" w:rsidR="00BE73FF" w:rsidRPr="0035187E" w:rsidRDefault="00BE73FF" w:rsidP="0035187E">
            <w:pPr>
              <w:jc w:val="both"/>
              <w:rPr>
                <w:rFonts w:ascii="Times New Roman" w:hAnsi="Times New Roman" w:cs="Times New Roman"/>
                <w:b/>
                <w:bCs/>
                <w:sz w:val="20"/>
                <w:szCs w:val="20"/>
              </w:rPr>
            </w:pPr>
          </w:p>
        </w:tc>
        <w:tc>
          <w:tcPr>
            <w:tcW w:w="1453" w:type="pct"/>
            <w:tcBorders>
              <w:top w:val="single" w:sz="4" w:space="0" w:color="auto"/>
              <w:left w:val="single" w:sz="4" w:space="0" w:color="auto"/>
              <w:right w:val="single" w:sz="4" w:space="0" w:color="auto"/>
            </w:tcBorders>
            <w:shd w:val="clear" w:color="auto" w:fill="auto"/>
          </w:tcPr>
          <w:p w14:paraId="1EE3B890" w14:textId="6447D547" w:rsidR="00BE73FF"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t xml:space="preserve">Vyhověno. </w:t>
            </w:r>
          </w:p>
          <w:p w14:paraId="32CDE753" w14:textId="113FAFBD"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p w14:paraId="1D49A0B4" w14:textId="30008464" w:rsidR="00F35D82" w:rsidRPr="0035187E" w:rsidRDefault="00F35D82" w:rsidP="0035187E">
            <w:pPr>
              <w:jc w:val="both"/>
              <w:rPr>
                <w:rFonts w:ascii="Times New Roman" w:hAnsi="Times New Roman" w:cs="Times New Roman"/>
                <w:sz w:val="20"/>
                <w:szCs w:val="20"/>
              </w:rPr>
            </w:pPr>
          </w:p>
        </w:tc>
      </w:tr>
      <w:tr w:rsidR="0035187E" w:rsidRPr="0035187E" w14:paraId="64FC015D"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DBD3AF1" w14:textId="3062D64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15.</w:t>
            </w:r>
          </w:p>
        </w:tc>
        <w:tc>
          <w:tcPr>
            <w:tcW w:w="583" w:type="pct"/>
            <w:tcBorders>
              <w:top w:val="single" w:sz="4" w:space="0" w:color="auto"/>
              <w:left w:val="single" w:sz="4" w:space="0" w:color="auto"/>
              <w:right w:val="single" w:sz="4" w:space="0" w:color="auto"/>
            </w:tcBorders>
            <w:shd w:val="clear" w:color="auto" w:fill="auto"/>
          </w:tcPr>
          <w:p w14:paraId="0F8B26FD" w14:textId="5AC218E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Úřad vlády České </w:t>
            </w:r>
            <w:proofErr w:type="gramStart"/>
            <w:r w:rsidRPr="0035187E">
              <w:rPr>
                <w:rFonts w:ascii="Times New Roman" w:hAnsi="Times New Roman" w:cs="Times New Roman"/>
                <w:sz w:val="20"/>
                <w:szCs w:val="20"/>
              </w:rPr>
              <w:t>republiky - Ministr</w:t>
            </w:r>
            <w:proofErr w:type="gramEnd"/>
            <w:r w:rsidRPr="0035187E">
              <w:rPr>
                <w:rFonts w:ascii="Times New Roman" w:hAnsi="Times New Roman" w:cs="Times New Roman"/>
                <w:sz w:val="20"/>
                <w:szCs w:val="20"/>
              </w:rPr>
              <w:t xml:space="preserve"> a předseda Legislativní rady vlády</w:t>
            </w:r>
          </w:p>
        </w:tc>
        <w:tc>
          <w:tcPr>
            <w:tcW w:w="168" w:type="pct"/>
            <w:tcBorders>
              <w:top w:val="single" w:sz="4" w:space="0" w:color="auto"/>
              <w:left w:val="single" w:sz="4" w:space="0" w:color="auto"/>
              <w:right w:val="single" w:sz="4" w:space="0" w:color="auto"/>
            </w:tcBorders>
            <w:shd w:val="clear" w:color="auto" w:fill="auto"/>
          </w:tcPr>
          <w:p w14:paraId="68638010" w14:textId="5C60E86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w:t>
            </w:r>
          </w:p>
        </w:tc>
        <w:tc>
          <w:tcPr>
            <w:tcW w:w="169" w:type="pct"/>
            <w:tcBorders>
              <w:top w:val="single" w:sz="4" w:space="0" w:color="auto"/>
              <w:left w:val="single" w:sz="4" w:space="0" w:color="auto"/>
              <w:right w:val="single" w:sz="4" w:space="0" w:color="auto"/>
            </w:tcBorders>
            <w:shd w:val="clear" w:color="auto" w:fill="auto"/>
          </w:tcPr>
          <w:p w14:paraId="4C34E2F1" w14:textId="6DC9573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8C60D3D" w14:textId="77777777" w:rsidR="000B4BD4" w:rsidRPr="0035187E" w:rsidRDefault="000B4BD4" w:rsidP="0035187E">
            <w:pPr>
              <w:widowControl w:val="0"/>
              <w:autoSpaceDE w:val="0"/>
              <w:autoSpaceDN w:val="0"/>
              <w:adjustRightInd w:val="0"/>
              <w:jc w:val="both"/>
              <w:rPr>
                <w:rFonts w:ascii="Times New Roman" w:hAnsi="Times New Roman" w:cs="Times New Roman"/>
                <w:b/>
                <w:sz w:val="20"/>
                <w:szCs w:val="20"/>
                <w:u w:val="single"/>
              </w:rPr>
            </w:pPr>
            <w:r w:rsidRPr="0035187E">
              <w:rPr>
                <w:rFonts w:ascii="Times New Roman" w:hAnsi="Times New Roman" w:cs="Times New Roman"/>
                <w:b/>
                <w:sz w:val="20"/>
                <w:szCs w:val="20"/>
                <w:u w:val="single"/>
              </w:rPr>
              <w:t>K § 4, 16 a 18:</w:t>
            </w:r>
          </w:p>
          <w:p w14:paraId="30F68F23"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Pro účely evidence tržeb je zaveden pojem „evidenční jednotka“. Tento pojem se pak následně používá toliko v § 16 a 18, se kterými však není srozumitelně provázán. Podle § 16 odst. 1 je poplatník povinen oznámit údaje o všech svých evidenčních jednotkách, pokud v nejméně jedné z nich uskutečňuje evidované tržby. Není ale jasné, jak se postavit k oznámení evidenčních jednotek uvedených v § 4 písm. b) a c), pokud poplatník nemá provozovnu. Oznamuje tedy v takovém případě poplatník údaje sám o sobě a o internetových stránkách, na kterých nabízí zboží nebo služby? </w:t>
            </w:r>
          </w:p>
          <w:p w14:paraId="7DDE1178"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Podle § 18 odst. 1 písm. b) je údajem o evidované tržbě označení evidenční jednotky, ve které je tržba uskutečněna. Tedy zde je touto evidenční jednotkou myšlena pouze evidenční jednotka podle § 4 písm. a), resp. provozovna? Pokud poplatník vykonává činnost mimo provozovnu a je v tomto případě sám evidenční jednotkou podle § 4 písm. c), má toto ustanovení dopadnout i na něj?</w:t>
            </w:r>
          </w:p>
          <w:p w14:paraId="23F31E6E" w14:textId="4B512E0A" w:rsidR="000B4BD4" w:rsidRPr="0035187E" w:rsidRDefault="000B4BD4" w:rsidP="0035187E">
            <w:pPr>
              <w:keepNext/>
              <w:keepLines/>
              <w:widowControl w:val="0"/>
              <w:autoSpaceDE w:val="0"/>
              <w:autoSpaceDN w:val="0"/>
              <w:adjustRightInd w:val="0"/>
              <w:jc w:val="both"/>
              <w:rPr>
                <w:rFonts w:ascii="Times New Roman" w:hAnsi="Times New Roman" w:cs="Times New Roman"/>
                <w:b/>
                <w:sz w:val="20"/>
                <w:szCs w:val="20"/>
                <w:u w:val="single"/>
              </w:rPr>
            </w:pPr>
            <w:r w:rsidRPr="0035187E">
              <w:rPr>
                <w:rFonts w:ascii="Times New Roman" w:hAnsi="Times New Roman" w:cs="Times New Roman"/>
                <w:sz w:val="20"/>
                <w:szCs w:val="20"/>
              </w:rPr>
              <w:lastRenderedPageBreak/>
              <w:t>V případě § 16 odst. 2 písm. a) a § 18 odst. 1 písm. b) nám rovněž není jasný rozdíl mezi „označením evidenční jednotky“ a „identifikací evidenční jednotky“.</w:t>
            </w:r>
          </w:p>
        </w:tc>
        <w:tc>
          <w:tcPr>
            <w:tcW w:w="1453" w:type="pct"/>
            <w:tcBorders>
              <w:top w:val="single" w:sz="4" w:space="0" w:color="auto"/>
              <w:left w:val="single" w:sz="4" w:space="0" w:color="auto"/>
              <w:right w:val="single" w:sz="4" w:space="0" w:color="auto"/>
            </w:tcBorders>
            <w:shd w:val="clear" w:color="auto" w:fill="auto"/>
          </w:tcPr>
          <w:p w14:paraId="38744B52" w14:textId="446D05E8" w:rsidR="000B4BD4" w:rsidRPr="0035187E" w:rsidRDefault="00317D19"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Vyhověno částečně</w:t>
            </w:r>
            <w:r w:rsidR="000B4BD4" w:rsidRPr="0035187E">
              <w:rPr>
                <w:rFonts w:ascii="Times New Roman" w:hAnsi="Times New Roman" w:cs="Times New Roman"/>
                <w:b/>
                <w:sz w:val="20"/>
                <w:szCs w:val="20"/>
              </w:rPr>
              <w:t>.</w:t>
            </w:r>
          </w:p>
          <w:p w14:paraId="607A63C0" w14:textId="250EDEDA" w:rsidR="000B4BD4" w:rsidRPr="0035187E" w:rsidRDefault="0063315D" w:rsidP="0035187E">
            <w:pPr>
              <w:jc w:val="both"/>
              <w:rPr>
                <w:rFonts w:ascii="Times New Roman" w:hAnsi="Times New Roman" w:cs="Times New Roman"/>
                <w:sz w:val="20"/>
                <w:szCs w:val="20"/>
              </w:rPr>
            </w:pPr>
            <w:r w:rsidRPr="0035187E">
              <w:rPr>
                <w:rFonts w:ascii="Times New Roman" w:hAnsi="Times New Roman" w:cs="Times New Roman"/>
                <w:sz w:val="20"/>
                <w:szCs w:val="20"/>
              </w:rPr>
              <w:t>Účelem</w:t>
            </w:r>
            <w:r w:rsidR="000B4BD4" w:rsidRPr="0035187E">
              <w:rPr>
                <w:rFonts w:ascii="Times New Roman" w:hAnsi="Times New Roman" w:cs="Times New Roman"/>
                <w:sz w:val="20"/>
                <w:szCs w:val="20"/>
              </w:rPr>
              <w:t xml:space="preserve"> </w:t>
            </w:r>
            <w:r w:rsidRPr="0035187E">
              <w:rPr>
                <w:rFonts w:ascii="Times New Roman" w:hAnsi="Times New Roman" w:cs="Times New Roman"/>
                <w:sz w:val="20"/>
                <w:szCs w:val="20"/>
              </w:rPr>
              <w:t xml:space="preserve">§ 4 </w:t>
            </w:r>
            <w:r w:rsidR="000B4BD4" w:rsidRPr="0035187E">
              <w:rPr>
                <w:rFonts w:ascii="Times New Roman" w:hAnsi="Times New Roman" w:cs="Times New Roman"/>
                <w:sz w:val="20"/>
                <w:szCs w:val="20"/>
              </w:rPr>
              <w:t>je vymezit pojem, se kterými pracují další ustanovení zákona. Vymezení z povahy věci musí být nezávislé na tom, zda tržby dosažené prostřednictvím dané evidenční jednotky budou evidované, či nikoliv.</w:t>
            </w:r>
          </w:p>
          <w:p w14:paraId="5251AA38" w14:textId="1D4C145B"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Oznamovací povinnost ve vztahu k evidenčním jednotkám je upravena v § 16 návrhu. V tomto ohledu byla doplněna důvodová zpráva, která podrobněji vysvětluje důvody pro takto široce koncipovanou oznamovací povinnost</w:t>
            </w:r>
            <w:r w:rsidR="0063315D" w:rsidRPr="0035187E">
              <w:rPr>
                <w:rFonts w:ascii="Times New Roman" w:hAnsi="Times New Roman" w:cs="Times New Roman"/>
                <w:sz w:val="20"/>
                <w:szCs w:val="20"/>
              </w:rPr>
              <w:t>. Současně v § 16 došlo k zúžení oznamovací povinnosti pouze na „</w:t>
            </w:r>
            <w:r w:rsidR="0063315D" w:rsidRPr="0035187E">
              <w:rPr>
                <w:rFonts w:ascii="Times New Roman" w:hAnsi="Times New Roman" w:cs="Times New Roman"/>
                <w:i/>
                <w:sz w:val="20"/>
                <w:szCs w:val="20"/>
              </w:rPr>
              <w:t>evidenční jednotky, prostřednictvím nichž jsou uskutečňovány tržby</w:t>
            </w:r>
            <w:r w:rsidR="0063315D" w:rsidRPr="0035187E">
              <w:rPr>
                <w:rFonts w:ascii="Times New Roman" w:hAnsi="Times New Roman" w:cs="Times New Roman"/>
                <w:sz w:val="20"/>
                <w:szCs w:val="20"/>
              </w:rPr>
              <w:t>“.</w:t>
            </w:r>
          </w:p>
          <w:p w14:paraId="40E3247F" w14:textId="1BEFF21C" w:rsidR="000B4BD4" w:rsidRPr="0035187E" w:rsidRDefault="0063315D" w:rsidP="0035187E">
            <w:pPr>
              <w:jc w:val="both"/>
              <w:rPr>
                <w:rFonts w:ascii="Times New Roman" w:hAnsi="Times New Roman" w:cs="Times New Roman"/>
                <w:sz w:val="20"/>
                <w:szCs w:val="20"/>
              </w:rPr>
            </w:pPr>
            <w:r w:rsidRPr="0035187E">
              <w:rPr>
                <w:rFonts w:ascii="Times New Roman" w:hAnsi="Times New Roman" w:cs="Times New Roman"/>
                <w:sz w:val="20"/>
                <w:szCs w:val="20"/>
              </w:rPr>
              <w:lastRenderedPageBreak/>
              <w:t>V rámci oznamovací povinnosti je poplatník povinen evidenční jednotku náležitě identifikovat, což obnáší jednorázové poskytnutí zevrubnějšího okruhu informací. Naopak v rámci datové zprávy o každé provedené tržbě již nebude docházet k takovéto identifikaci evidenční jednotky, ale pouze k jejímu označení</w:t>
            </w:r>
            <w:r w:rsidR="000F0C37" w:rsidRPr="0035187E">
              <w:rPr>
                <w:rFonts w:ascii="Times New Roman" w:hAnsi="Times New Roman" w:cs="Times New Roman"/>
                <w:sz w:val="20"/>
                <w:szCs w:val="20"/>
              </w:rPr>
              <w:t xml:space="preserve"> (uvedení jejího čísla z množiny dříve ohlášených evidenčních jednotek). Materiál byl na základě připomínky upraven, aby byl rozdíl mezi oběma situacemi více patrný.</w:t>
            </w:r>
          </w:p>
        </w:tc>
      </w:tr>
      <w:tr w:rsidR="0035187E" w:rsidRPr="0035187E" w14:paraId="2DD81516"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95B4C4D" w14:textId="144A937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15.</w:t>
            </w:r>
          </w:p>
        </w:tc>
        <w:tc>
          <w:tcPr>
            <w:tcW w:w="583" w:type="pct"/>
            <w:tcBorders>
              <w:top w:val="single" w:sz="4" w:space="0" w:color="auto"/>
              <w:left w:val="single" w:sz="4" w:space="0" w:color="auto"/>
              <w:right w:val="single" w:sz="4" w:space="0" w:color="auto"/>
            </w:tcBorders>
            <w:shd w:val="clear" w:color="auto" w:fill="auto"/>
          </w:tcPr>
          <w:p w14:paraId="5E8AE908" w14:textId="0C08708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Úřad vlády České </w:t>
            </w:r>
            <w:proofErr w:type="gramStart"/>
            <w:r w:rsidRPr="0035187E">
              <w:rPr>
                <w:rFonts w:ascii="Times New Roman" w:hAnsi="Times New Roman" w:cs="Times New Roman"/>
                <w:sz w:val="20"/>
                <w:szCs w:val="20"/>
              </w:rPr>
              <w:t>republiky - Ministr</w:t>
            </w:r>
            <w:proofErr w:type="gramEnd"/>
            <w:r w:rsidRPr="0035187E">
              <w:rPr>
                <w:rFonts w:ascii="Times New Roman" w:hAnsi="Times New Roman" w:cs="Times New Roman"/>
                <w:sz w:val="20"/>
                <w:szCs w:val="20"/>
              </w:rPr>
              <w:t xml:space="preserve"> a předseda Legislativní rady vlády</w:t>
            </w:r>
          </w:p>
        </w:tc>
        <w:tc>
          <w:tcPr>
            <w:tcW w:w="168" w:type="pct"/>
            <w:tcBorders>
              <w:top w:val="single" w:sz="4" w:space="0" w:color="auto"/>
              <w:left w:val="single" w:sz="4" w:space="0" w:color="auto"/>
              <w:right w:val="single" w:sz="4" w:space="0" w:color="auto"/>
            </w:tcBorders>
            <w:shd w:val="clear" w:color="auto" w:fill="auto"/>
          </w:tcPr>
          <w:p w14:paraId="121AC78D" w14:textId="2D3DB9D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5.</w:t>
            </w:r>
          </w:p>
        </w:tc>
        <w:tc>
          <w:tcPr>
            <w:tcW w:w="169" w:type="pct"/>
            <w:tcBorders>
              <w:top w:val="single" w:sz="4" w:space="0" w:color="auto"/>
              <w:left w:val="single" w:sz="4" w:space="0" w:color="auto"/>
              <w:right w:val="single" w:sz="4" w:space="0" w:color="auto"/>
            </w:tcBorders>
            <w:shd w:val="clear" w:color="auto" w:fill="auto"/>
          </w:tcPr>
          <w:p w14:paraId="2866386D" w14:textId="4F615C8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42C7DA2" w14:textId="77777777" w:rsidR="000B4BD4" w:rsidRPr="0035187E" w:rsidRDefault="000B4BD4" w:rsidP="0035187E">
            <w:pPr>
              <w:widowControl w:val="0"/>
              <w:autoSpaceDE w:val="0"/>
              <w:autoSpaceDN w:val="0"/>
              <w:adjustRightInd w:val="0"/>
              <w:jc w:val="both"/>
              <w:rPr>
                <w:rFonts w:ascii="Times New Roman" w:hAnsi="Times New Roman" w:cs="Times New Roman"/>
                <w:b/>
                <w:sz w:val="20"/>
                <w:szCs w:val="20"/>
                <w:u w:val="single"/>
              </w:rPr>
            </w:pPr>
            <w:r w:rsidRPr="0035187E">
              <w:rPr>
                <w:rFonts w:ascii="Times New Roman" w:hAnsi="Times New Roman" w:cs="Times New Roman"/>
                <w:b/>
                <w:sz w:val="20"/>
                <w:szCs w:val="20"/>
                <w:u w:val="single"/>
              </w:rPr>
              <w:t>K § 10:</w:t>
            </w:r>
          </w:p>
          <w:p w14:paraId="748F7D05" w14:textId="07121BB1"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sz w:val="20"/>
                <w:szCs w:val="20"/>
              </w:rPr>
              <w:t>Je nezbytné vyjasnit, zda se uplatní u nepřímého zastoupení ustanovení § 8 o rozhodném příjmu ve vztahu k poplatníkovi, který jedná svým jménem na účet jiného, nebo ve vztahu k poplatníkovi, na jehož účet se jedná. Obdobně pak by bylo vhodné vyjasnit, jak se posoudí u nepřímého zastoupení evidovaná tržba ve vztahu k § 12.</w:t>
            </w:r>
          </w:p>
        </w:tc>
        <w:tc>
          <w:tcPr>
            <w:tcW w:w="1453" w:type="pct"/>
            <w:tcBorders>
              <w:top w:val="single" w:sz="4" w:space="0" w:color="auto"/>
              <w:left w:val="single" w:sz="4" w:space="0" w:color="auto"/>
              <w:right w:val="single" w:sz="4" w:space="0" w:color="auto"/>
            </w:tcBorders>
            <w:shd w:val="clear" w:color="auto" w:fill="auto"/>
          </w:tcPr>
          <w:p w14:paraId="62C130B8" w14:textId="77777777" w:rsidR="000B4BD4" w:rsidRPr="0035187E" w:rsidRDefault="00AF423A"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3FBC1756" w14:textId="3D5AD87E" w:rsidR="00AF423A" w:rsidRPr="0035187E" w:rsidRDefault="00AF423A" w:rsidP="0035187E">
            <w:pPr>
              <w:jc w:val="both"/>
              <w:rPr>
                <w:rFonts w:ascii="Times New Roman" w:hAnsi="Times New Roman" w:cs="Times New Roman"/>
                <w:sz w:val="20"/>
                <w:szCs w:val="20"/>
              </w:rPr>
            </w:pPr>
            <w:r w:rsidRPr="0035187E">
              <w:rPr>
                <w:rFonts w:ascii="Times New Roman" w:hAnsi="Times New Roman" w:cs="Times New Roman"/>
                <w:sz w:val="20"/>
                <w:szCs w:val="20"/>
              </w:rPr>
              <w:t>Rozhodný příjem vzniká primárně tomu, na jehož účet je jednáno, nicméně pokud je součástí tržby i marže pro zprostředkujícího zástupce, půjde o kombinaci.</w:t>
            </w:r>
            <w:r w:rsidR="00F91558" w:rsidRPr="0035187E">
              <w:rPr>
                <w:rFonts w:ascii="Times New Roman" w:hAnsi="Times New Roman" w:cs="Times New Roman"/>
                <w:sz w:val="20"/>
                <w:szCs w:val="20"/>
              </w:rPr>
              <w:t xml:space="preserve"> Tržba bude v takovém případě evidována v jedné datové větě (zaslána jednou datovou zprávou).</w:t>
            </w:r>
          </w:p>
        </w:tc>
      </w:tr>
      <w:tr w:rsidR="0035187E" w:rsidRPr="0035187E" w14:paraId="5C72215F"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92B5CF1" w14:textId="3AD1061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15.</w:t>
            </w:r>
          </w:p>
        </w:tc>
        <w:tc>
          <w:tcPr>
            <w:tcW w:w="583" w:type="pct"/>
            <w:tcBorders>
              <w:top w:val="single" w:sz="4" w:space="0" w:color="auto"/>
              <w:left w:val="single" w:sz="4" w:space="0" w:color="auto"/>
              <w:right w:val="single" w:sz="4" w:space="0" w:color="auto"/>
            </w:tcBorders>
            <w:shd w:val="clear" w:color="auto" w:fill="auto"/>
          </w:tcPr>
          <w:p w14:paraId="0F998D81" w14:textId="7FE46D0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Úřad vlády České </w:t>
            </w:r>
            <w:proofErr w:type="gramStart"/>
            <w:r w:rsidRPr="0035187E">
              <w:rPr>
                <w:rFonts w:ascii="Times New Roman" w:hAnsi="Times New Roman" w:cs="Times New Roman"/>
                <w:sz w:val="20"/>
                <w:szCs w:val="20"/>
              </w:rPr>
              <w:t>republiky - Ministr</w:t>
            </w:r>
            <w:proofErr w:type="gramEnd"/>
            <w:r w:rsidRPr="0035187E">
              <w:rPr>
                <w:rFonts w:ascii="Times New Roman" w:hAnsi="Times New Roman" w:cs="Times New Roman"/>
                <w:sz w:val="20"/>
                <w:szCs w:val="20"/>
              </w:rPr>
              <w:t xml:space="preserve"> a předseda Legislativní rady vlády</w:t>
            </w:r>
          </w:p>
        </w:tc>
        <w:tc>
          <w:tcPr>
            <w:tcW w:w="168" w:type="pct"/>
            <w:tcBorders>
              <w:top w:val="single" w:sz="4" w:space="0" w:color="auto"/>
              <w:left w:val="single" w:sz="4" w:space="0" w:color="auto"/>
              <w:right w:val="single" w:sz="4" w:space="0" w:color="auto"/>
            </w:tcBorders>
            <w:shd w:val="clear" w:color="auto" w:fill="auto"/>
          </w:tcPr>
          <w:p w14:paraId="10D63C66" w14:textId="6B4F79E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6.</w:t>
            </w:r>
          </w:p>
        </w:tc>
        <w:tc>
          <w:tcPr>
            <w:tcW w:w="169" w:type="pct"/>
            <w:tcBorders>
              <w:top w:val="single" w:sz="4" w:space="0" w:color="auto"/>
              <w:left w:val="single" w:sz="4" w:space="0" w:color="auto"/>
              <w:right w:val="single" w:sz="4" w:space="0" w:color="auto"/>
            </w:tcBorders>
            <w:shd w:val="clear" w:color="auto" w:fill="auto"/>
          </w:tcPr>
          <w:p w14:paraId="05D7C0D1" w14:textId="795A72E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88CFF10" w14:textId="77777777" w:rsidR="000B4BD4" w:rsidRPr="0035187E" w:rsidRDefault="000B4BD4" w:rsidP="0035187E">
            <w:pPr>
              <w:widowControl w:val="0"/>
              <w:autoSpaceDE w:val="0"/>
              <w:autoSpaceDN w:val="0"/>
              <w:adjustRightInd w:val="0"/>
              <w:jc w:val="both"/>
              <w:rPr>
                <w:rFonts w:ascii="Times New Roman" w:hAnsi="Times New Roman" w:cs="Times New Roman"/>
                <w:b/>
                <w:sz w:val="20"/>
                <w:szCs w:val="20"/>
                <w:u w:val="single"/>
              </w:rPr>
            </w:pPr>
            <w:r w:rsidRPr="0035187E">
              <w:rPr>
                <w:rFonts w:ascii="Times New Roman" w:hAnsi="Times New Roman" w:cs="Times New Roman"/>
                <w:b/>
                <w:sz w:val="20"/>
                <w:szCs w:val="20"/>
                <w:u w:val="single"/>
              </w:rPr>
              <w:t>K § 11:</w:t>
            </w:r>
          </w:p>
          <w:p w14:paraId="410CC866" w14:textId="1DEE8F0D"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sz w:val="20"/>
                <w:szCs w:val="20"/>
              </w:rPr>
              <w:t>Doporučujeme jednoznačně upravit, kdo odpovídá za přestupek související s povinností evidovat tržby, je-li tato povinnost přenesena na pověřeného poplatníka. Společná odpovědnost za přestupek není v českém právním řádu obvyklá, nejedná-li se spolupachatelství. Odpovídat by tedy podle našeho názoru měl ten, kdo pověřuje. Ten má povinnost kontrolovat dodržování povinnosti evidovat tržby.</w:t>
            </w:r>
          </w:p>
        </w:tc>
        <w:tc>
          <w:tcPr>
            <w:tcW w:w="1453" w:type="pct"/>
            <w:tcBorders>
              <w:top w:val="single" w:sz="4" w:space="0" w:color="auto"/>
              <w:left w:val="single" w:sz="4" w:space="0" w:color="auto"/>
              <w:right w:val="single" w:sz="4" w:space="0" w:color="auto"/>
            </w:tcBorders>
            <w:shd w:val="clear" w:color="auto" w:fill="auto"/>
          </w:tcPr>
          <w:p w14:paraId="2CAEFD57" w14:textId="5B107A64" w:rsidR="000B4BD4" w:rsidRPr="0035187E" w:rsidRDefault="0084330B"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22342EEA" w14:textId="7E18CBC3" w:rsidR="0084330B" w:rsidRPr="0035187E" w:rsidRDefault="0084330B" w:rsidP="0035187E">
            <w:pPr>
              <w:jc w:val="both"/>
              <w:rPr>
                <w:rFonts w:ascii="Times New Roman" w:hAnsi="Times New Roman" w:cs="Times New Roman"/>
                <w:sz w:val="20"/>
                <w:szCs w:val="20"/>
              </w:rPr>
            </w:pPr>
            <w:r w:rsidRPr="0035187E">
              <w:rPr>
                <w:rFonts w:ascii="Times New Roman" w:hAnsi="Times New Roman" w:cs="Times New Roman"/>
                <w:sz w:val="20"/>
                <w:szCs w:val="20"/>
              </w:rPr>
              <w:t>Záměrem není zúžit přestupkovou odpovědnost pouze na pověřujícího poplatníka, neboť by to v aplikační praxi vedlo k nežádoucím situacím, kdy by porušení povinnosti způsobené pověřeným poplatníkem (typicky pochybení technického či personálního rázu) odhalené kontrolujícím orgánem v místě, kde je evidováno, nemohlo být řešeno příkazem na místě s tím, kdo pochybení způsobil, ale muselo by být řešeno v rámci přestupkového řízení s pověřujícím poplatníkem.</w:t>
            </w:r>
          </w:p>
          <w:p w14:paraId="184DF978" w14:textId="6A02AC7E" w:rsidR="0084330B" w:rsidRPr="0035187E" w:rsidRDefault="0084330B" w:rsidP="0035187E">
            <w:pPr>
              <w:jc w:val="both"/>
              <w:rPr>
                <w:rFonts w:ascii="Times New Roman" w:hAnsi="Times New Roman" w:cs="Times New Roman"/>
                <w:sz w:val="20"/>
                <w:szCs w:val="20"/>
              </w:rPr>
            </w:pPr>
            <w:r w:rsidRPr="0035187E">
              <w:rPr>
                <w:rFonts w:ascii="Times New Roman" w:hAnsi="Times New Roman" w:cs="Times New Roman"/>
                <w:sz w:val="20"/>
                <w:szCs w:val="20"/>
              </w:rPr>
              <w:t>V aplikační praxi je proto třeba přihlédnout k obvyklým rolím obou stran:</w:t>
            </w:r>
          </w:p>
          <w:p w14:paraId="69EB7DA5" w14:textId="21C9AA04" w:rsidR="0084330B" w:rsidRPr="0035187E" w:rsidRDefault="0084330B" w:rsidP="0035187E">
            <w:pPr>
              <w:jc w:val="both"/>
              <w:rPr>
                <w:rFonts w:ascii="Times New Roman" w:hAnsi="Times New Roman" w:cs="Times New Roman"/>
                <w:sz w:val="20"/>
                <w:szCs w:val="20"/>
              </w:rPr>
            </w:pPr>
            <w:r w:rsidRPr="0035187E">
              <w:rPr>
                <w:rFonts w:ascii="Times New Roman" w:hAnsi="Times New Roman" w:cs="Times New Roman"/>
                <w:sz w:val="20"/>
                <w:szCs w:val="20"/>
              </w:rPr>
              <w:t>1) Pověřený poplatník</w:t>
            </w:r>
            <w:r w:rsidR="003C30C8" w:rsidRPr="0035187E">
              <w:rPr>
                <w:rFonts w:ascii="Times New Roman" w:hAnsi="Times New Roman" w:cs="Times New Roman"/>
                <w:sz w:val="20"/>
                <w:szCs w:val="20"/>
              </w:rPr>
              <w:t xml:space="preserve"> (evidující)</w:t>
            </w:r>
            <w:r w:rsidRPr="0035187E">
              <w:rPr>
                <w:rFonts w:ascii="Times New Roman" w:hAnsi="Times New Roman" w:cs="Times New Roman"/>
                <w:sz w:val="20"/>
                <w:szCs w:val="20"/>
              </w:rPr>
              <w:t>: odpovídá za technické provedení evidence, tj. včasné a správné odeslání údajů správci daně v rozsahu dat, které mu prodejce předá prostřednictvím platebního systému.</w:t>
            </w:r>
          </w:p>
          <w:p w14:paraId="3A85C044" w14:textId="77777777" w:rsidR="0084330B" w:rsidRPr="0035187E" w:rsidRDefault="0084330B" w:rsidP="0035187E">
            <w:pPr>
              <w:jc w:val="both"/>
              <w:rPr>
                <w:rFonts w:ascii="Times New Roman" w:hAnsi="Times New Roman" w:cs="Times New Roman"/>
                <w:sz w:val="20"/>
                <w:szCs w:val="20"/>
              </w:rPr>
            </w:pPr>
            <w:r w:rsidRPr="0035187E">
              <w:rPr>
                <w:rFonts w:ascii="Times New Roman" w:hAnsi="Times New Roman" w:cs="Times New Roman"/>
                <w:sz w:val="20"/>
                <w:szCs w:val="20"/>
              </w:rPr>
              <w:t>2) Pověřující</w:t>
            </w:r>
            <w:r w:rsidR="003C30C8" w:rsidRPr="0035187E">
              <w:rPr>
                <w:rFonts w:ascii="Times New Roman" w:hAnsi="Times New Roman" w:cs="Times New Roman"/>
                <w:sz w:val="20"/>
                <w:szCs w:val="20"/>
              </w:rPr>
              <w:t xml:space="preserve"> poplatník</w:t>
            </w:r>
            <w:r w:rsidRPr="0035187E">
              <w:rPr>
                <w:rFonts w:ascii="Times New Roman" w:hAnsi="Times New Roman" w:cs="Times New Roman"/>
                <w:sz w:val="20"/>
                <w:szCs w:val="20"/>
              </w:rPr>
              <w:t xml:space="preserve"> (prodejce): odpovídá za správnost a úplnost hlášených tržeb, tj. že veškeré tržby jsou realizovány prostřednictvím platebního systému a nejsou prováděny mimo něj.</w:t>
            </w:r>
            <w:r w:rsidR="003C30C8" w:rsidRPr="0035187E">
              <w:rPr>
                <w:rFonts w:ascii="Times New Roman" w:hAnsi="Times New Roman" w:cs="Times New Roman"/>
                <w:sz w:val="20"/>
                <w:szCs w:val="20"/>
              </w:rPr>
              <w:t xml:space="preserve"> Současně odpovídá za to, že pověřil poplatníka, který je způsobilý evidenci tržeb řádně zajišťovat (nejde tedy např. o nastrčeného bílého koně).</w:t>
            </w:r>
          </w:p>
          <w:p w14:paraId="2270CCEB" w14:textId="78E67077" w:rsidR="00645F69" w:rsidRPr="0035187E" w:rsidRDefault="003C30C8"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Lze tedy shrnout, že z pohledu přestupkové odpovědnosti nejde o klasickou solidární </w:t>
            </w:r>
            <w:r w:rsidRPr="0035187E">
              <w:rPr>
                <w:rFonts w:ascii="Times New Roman" w:hAnsi="Times New Roman" w:cs="Times New Roman"/>
                <w:sz w:val="20"/>
                <w:szCs w:val="20"/>
              </w:rPr>
              <w:lastRenderedPageBreak/>
              <w:t>odpovědnost, neboť každý participant odpovídá v rozsahu své role podle toho, kde lze dovodit příčinnou souvislost mezi konkrétním jednáním a vzniklým následkem.</w:t>
            </w:r>
          </w:p>
        </w:tc>
      </w:tr>
      <w:tr w:rsidR="0035187E" w:rsidRPr="0035187E" w14:paraId="1F2D7365"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17716BA" w14:textId="7937DEB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15.</w:t>
            </w:r>
          </w:p>
        </w:tc>
        <w:tc>
          <w:tcPr>
            <w:tcW w:w="583" w:type="pct"/>
            <w:tcBorders>
              <w:top w:val="single" w:sz="4" w:space="0" w:color="auto"/>
              <w:left w:val="single" w:sz="4" w:space="0" w:color="auto"/>
              <w:right w:val="single" w:sz="4" w:space="0" w:color="auto"/>
            </w:tcBorders>
            <w:shd w:val="clear" w:color="auto" w:fill="auto"/>
          </w:tcPr>
          <w:p w14:paraId="70AF8F8B" w14:textId="6F66FFD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Úřad vlády České </w:t>
            </w:r>
            <w:proofErr w:type="gramStart"/>
            <w:r w:rsidRPr="0035187E">
              <w:rPr>
                <w:rFonts w:ascii="Times New Roman" w:hAnsi="Times New Roman" w:cs="Times New Roman"/>
                <w:sz w:val="20"/>
                <w:szCs w:val="20"/>
              </w:rPr>
              <w:t>republiky - Ministr</w:t>
            </w:r>
            <w:proofErr w:type="gramEnd"/>
            <w:r w:rsidRPr="0035187E">
              <w:rPr>
                <w:rFonts w:ascii="Times New Roman" w:hAnsi="Times New Roman" w:cs="Times New Roman"/>
                <w:sz w:val="20"/>
                <w:szCs w:val="20"/>
              </w:rPr>
              <w:t xml:space="preserve"> a předseda Legislativní rady vlády</w:t>
            </w:r>
          </w:p>
        </w:tc>
        <w:tc>
          <w:tcPr>
            <w:tcW w:w="168" w:type="pct"/>
            <w:tcBorders>
              <w:top w:val="single" w:sz="4" w:space="0" w:color="auto"/>
              <w:left w:val="single" w:sz="4" w:space="0" w:color="auto"/>
              <w:right w:val="single" w:sz="4" w:space="0" w:color="auto"/>
            </w:tcBorders>
            <w:shd w:val="clear" w:color="auto" w:fill="auto"/>
          </w:tcPr>
          <w:p w14:paraId="1A22CD9F" w14:textId="52C6579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7.</w:t>
            </w:r>
          </w:p>
        </w:tc>
        <w:tc>
          <w:tcPr>
            <w:tcW w:w="169" w:type="pct"/>
            <w:tcBorders>
              <w:top w:val="single" w:sz="4" w:space="0" w:color="auto"/>
              <w:left w:val="single" w:sz="4" w:space="0" w:color="auto"/>
              <w:right w:val="single" w:sz="4" w:space="0" w:color="auto"/>
            </w:tcBorders>
            <w:shd w:val="clear" w:color="auto" w:fill="auto"/>
          </w:tcPr>
          <w:p w14:paraId="443705A2" w14:textId="3C0147F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14E4F8C" w14:textId="77777777" w:rsidR="000B4BD4" w:rsidRPr="0035187E" w:rsidRDefault="000B4BD4" w:rsidP="0035187E">
            <w:pPr>
              <w:keepNext/>
              <w:keepLines/>
              <w:widowControl w:val="0"/>
              <w:autoSpaceDE w:val="0"/>
              <w:autoSpaceDN w:val="0"/>
              <w:adjustRightInd w:val="0"/>
              <w:jc w:val="both"/>
              <w:rPr>
                <w:rFonts w:ascii="Times New Roman" w:hAnsi="Times New Roman" w:cs="Times New Roman"/>
                <w:b/>
                <w:sz w:val="20"/>
                <w:szCs w:val="20"/>
                <w:u w:val="single"/>
              </w:rPr>
            </w:pPr>
            <w:r w:rsidRPr="0035187E">
              <w:rPr>
                <w:rFonts w:ascii="Times New Roman" w:hAnsi="Times New Roman" w:cs="Times New Roman"/>
                <w:b/>
                <w:sz w:val="20"/>
                <w:szCs w:val="20"/>
                <w:u w:val="single"/>
              </w:rPr>
              <w:t>K § 12:</w:t>
            </w:r>
          </w:p>
          <w:p w14:paraId="0DDFEC86" w14:textId="2CC7422C" w:rsidR="000B4BD4" w:rsidRPr="0035187E" w:rsidRDefault="000B4BD4" w:rsidP="0035187E">
            <w:pPr>
              <w:keepNext/>
              <w:keepLines/>
              <w:widowControl w:val="0"/>
              <w:jc w:val="both"/>
              <w:rPr>
                <w:rFonts w:ascii="Times New Roman" w:hAnsi="Times New Roman" w:cs="Times New Roman"/>
                <w:b/>
                <w:bCs/>
                <w:sz w:val="20"/>
                <w:szCs w:val="20"/>
              </w:rPr>
            </w:pPr>
            <w:r w:rsidRPr="0035187E">
              <w:rPr>
                <w:rFonts w:ascii="Times New Roman" w:hAnsi="Times New Roman" w:cs="Times New Roman"/>
                <w:sz w:val="20"/>
                <w:szCs w:val="20"/>
              </w:rPr>
              <w:t>Upozorňujeme na možnou nerovnost subjektů s totožným předmětem a rozsahem činnosti, kdy například nemocnice, která je příspěvkovou organizací, nebude mít povinnost evidovat tržby, zatímco jiná nemocnice, která má právní formu obchodní korporace, tak činit bude muset. Totéž platí i ve vztahu ke školám, kulturním institucím a dalším. Současně je třeba upozornit na existenci řady dalších právních forem, např. veřejné výzkumné instituce, veřejné kulturní instituce nebo školské právnické osoby, jež navrhovaná úprava opomíjí.</w:t>
            </w:r>
          </w:p>
        </w:tc>
        <w:tc>
          <w:tcPr>
            <w:tcW w:w="1453" w:type="pct"/>
            <w:tcBorders>
              <w:top w:val="single" w:sz="4" w:space="0" w:color="auto"/>
              <w:left w:val="single" w:sz="4" w:space="0" w:color="auto"/>
              <w:right w:val="single" w:sz="4" w:space="0" w:color="auto"/>
            </w:tcBorders>
            <w:shd w:val="clear" w:color="auto" w:fill="auto"/>
          </w:tcPr>
          <w:p w14:paraId="4578AFD9" w14:textId="77777777" w:rsidR="000B4BD4" w:rsidRPr="0035187E" w:rsidRDefault="000922C8" w:rsidP="0035187E">
            <w:pPr>
              <w:jc w:val="both"/>
              <w:rPr>
                <w:rFonts w:ascii="Times New Roman" w:hAnsi="Times New Roman" w:cs="Times New Roman"/>
                <w:b/>
                <w:sz w:val="20"/>
                <w:szCs w:val="20"/>
              </w:rPr>
            </w:pPr>
            <w:r w:rsidRPr="0035187E">
              <w:rPr>
                <w:rFonts w:ascii="Times New Roman" w:hAnsi="Times New Roman" w:cs="Times New Roman"/>
                <w:b/>
                <w:sz w:val="20"/>
                <w:szCs w:val="20"/>
              </w:rPr>
              <w:t>Bere se na vědomí.</w:t>
            </w:r>
          </w:p>
          <w:p w14:paraId="62818DE5" w14:textId="2720C85B" w:rsidR="000922C8" w:rsidRPr="0035187E" w:rsidRDefault="000922C8" w:rsidP="0035187E">
            <w:pPr>
              <w:jc w:val="both"/>
              <w:rPr>
                <w:rFonts w:ascii="Times New Roman" w:hAnsi="Times New Roman" w:cs="Times New Roman"/>
                <w:sz w:val="20"/>
                <w:szCs w:val="20"/>
              </w:rPr>
            </w:pPr>
            <w:r w:rsidRPr="0035187E">
              <w:rPr>
                <w:rFonts w:ascii="Times New Roman" w:hAnsi="Times New Roman" w:cs="Times New Roman"/>
                <w:sz w:val="20"/>
                <w:szCs w:val="20"/>
              </w:rPr>
              <w:t>Jedná se o konstrukci, která není neobvyklá a kterou obsahoval i předchozí zákon o evidenci tržeb, který prošel mj. přezkumem ústavnosti. Uvedené vychází mj. z odlišného přístupu ke kontrolním mechanismům garantujícím, že nedochází k porušení daňových a souvisejících povinností, jakož i v samotné motivaci krátit daňové příjmy (nižší míra rizika).</w:t>
            </w:r>
          </w:p>
        </w:tc>
      </w:tr>
      <w:tr w:rsidR="0035187E" w:rsidRPr="0035187E" w14:paraId="5561A380"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DB09E11" w14:textId="5D71EFB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15.</w:t>
            </w:r>
          </w:p>
        </w:tc>
        <w:tc>
          <w:tcPr>
            <w:tcW w:w="583" w:type="pct"/>
            <w:tcBorders>
              <w:top w:val="single" w:sz="4" w:space="0" w:color="auto"/>
              <w:left w:val="single" w:sz="4" w:space="0" w:color="auto"/>
              <w:right w:val="single" w:sz="4" w:space="0" w:color="auto"/>
            </w:tcBorders>
            <w:shd w:val="clear" w:color="auto" w:fill="auto"/>
          </w:tcPr>
          <w:p w14:paraId="6BACCABD" w14:textId="7705144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Úřad vlády České </w:t>
            </w:r>
            <w:proofErr w:type="gramStart"/>
            <w:r w:rsidRPr="0035187E">
              <w:rPr>
                <w:rFonts w:ascii="Times New Roman" w:hAnsi="Times New Roman" w:cs="Times New Roman"/>
                <w:sz w:val="20"/>
                <w:szCs w:val="20"/>
              </w:rPr>
              <w:t>republiky - Ministr</w:t>
            </w:r>
            <w:proofErr w:type="gramEnd"/>
            <w:r w:rsidRPr="0035187E">
              <w:rPr>
                <w:rFonts w:ascii="Times New Roman" w:hAnsi="Times New Roman" w:cs="Times New Roman"/>
                <w:sz w:val="20"/>
                <w:szCs w:val="20"/>
              </w:rPr>
              <w:t xml:space="preserve"> a předseda Legislativní rady vlády</w:t>
            </w:r>
          </w:p>
        </w:tc>
        <w:tc>
          <w:tcPr>
            <w:tcW w:w="168" w:type="pct"/>
            <w:tcBorders>
              <w:top w:val="single" w:sz="4" w:space="0" w:color="auto"/>
              <w:left w:val="single" w:sz="4" w:space="0" w:color="auto"/>
              <w:right w:val="single" w:sz="4" w:space="0" w:color="auto"/>
            </w:tcBorders>
            <w:shd w:val="clear" w:color="auto" w:fill="auto"/>
          </w:tcPr>
          <w:p w14:paraId="5EEAA952" w14:textId="4050542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8.</w:t>
            </w:r>
          </w:p>
        </w:tc>
        <w:tc>
          <w:tcPr>
            <w:tcW w:w="169" w:type="pct"/>
            <w:tcBorders>
              <w:top w:val="single" w:sz="4" w:space="0" w:color="auto"/>
              <w:left w:val="single" w:sz="4" w:space="0" w:color="auto"/>
              <w:right w:val="single" w:sz="4" w:space="0" w:color="auto"/>
            </w:tcBorders>
            <w:shd w:val="clear" w:color="auto" w:fill="auto"/>
          </w:tcPr>
          <w:p w14:paraId="6B6EA7F2" w14:textId="6E1F0B6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DF185F0" w14:textId="77777777" w:rsidR="000B4BD4" w:rsidRPr="0035187E" w:rsidRDefault="000B4BD4" w:rsidP="0035187E">
            <w:pPr>
              <w:widowControl w:val="0"/>
              <w:autoSpaceDE w:val="0"/>
              <w:autoSpaceDN w:val="0"/>
              <w:adjustRightInd w:val="0"/>
              <w:jc w:val="both"/>
              <w:rPr>
                <w:rFonts w:ascii="Times New Roman" w:hAnsi="Times New Roman" w:cs="Times New Roman"/>
                <w:b/>
                <w:sz w:val="20"/>
                <w:szCs w:val="20"/>
                <w:u w:val="single"/>
              </w:rPr>
            </w:pPr>
            <w:r w:rsidRPr="0035187E">
              <w:rPr>
                <w:rFonts w:ascii="Times New Roman" w:hAnsi="Times New Roman" w:cs="Times New Roman"/>
                <w:b/>
                <w:sz w:val="20"/>
                <w:szCs w:val="20"/>
                <w:u w:val="single"/>
              </w:rPr>
              <w:t>K § 13:</w:t>
            </w:r>
          </w:p>
          <w:p w14:paraId="0F2DE41B" w14:textId="1FD14B0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sz w:val="20"/>
                <w:szCs w:val="20"/>
              </w:rPr>
              <w:t>Má-li ustanovení § 13 odst. 1 písm. c) směřovat i k mateřským školám, je třeba do výčtu „žáci a studenti“ doplnit ještě „děti“, neboť mateřská škola poskytuje vzdělávání dětem, nikoliv žákům (viz § 34 odst. 1 školského zákona).</w:t>
            </w:r>
          </w:p>
        </w:tc>
        <w:tc>
          <w:tcPr>
            <w:tcW w:w="1453" w:type="pct"/>
            <w:tcBorders>
              <w:top w:val="single" w:sz="4" w:space="0" w:color="auto"/>
              <w:left w:val="single" w:sz="4" w:space="0" w:color="auto"/>
              <w:right w:val="single" w:sz="4" w:space="0" w:color="auto"/>
            </w:tcBorders>
            <w:shd w:val="clear" w:color="auto" w:fill="auto"/>
          </w:tcPr>
          <w:p w14:paraId="4639D341" w14:textId="77777777" w:rsidR="00705FB4" w:rsidRPr="0035187E" w:rsidRDefault="00705FB4" w:rsidP="0035187E">
            <w:pPr>
              <w:jc w:val="both"/>
              <w:rPr>
                <w:rFonts w:ascii="Times New Roman" w:hAnsi="Times New Roman" w:cs="Times New Roman"/>
                <w:b/>
                <w:sz w:val="20"/>
                <w:szCs w:val="20"/>
              </w:rPr>
            </w:pPr>
            <w:r w:rsidRPr="0035187E">
              <w:rPr>
                <w:rFonts w:ascii="Times New Roman" w:hAnsi="Times New Roman" w:cs="Times New Roman"/>
                <w:b/>
                <w:sz w:val="20"/>
                <w:szCs w:val="20"/>
              </w:rPr>
              <w:t xml:space="preserve">Vyhověno. </w:t>
            </w:r>
          </w:p>
          <w:p w14:paraId="336A3A8F" w14:textId="77777777" w:rsidR="00705FB4" w:rsidRPr="0035187E" w:rsidRDefault="00705FB4"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p w14:paraId="6E949694" w14:textId="0DDBD9A9" w:rsidR="00705FB4" w:rsidRPr="0035187E" w:rsidRDefault="00705FB4" w:rsidP="0035187E">
            <w:pPr>
              <w:jc w:val="both"/>
              <w:rPr>
                <w:rFonts w:ascii="Times New Roman" w:hAnsi="Times New Roman" w:cs="Times New Roman"/>
                <w:sz w:val="20"/>
                <w:szCs w:val="20"/>
              </w:rPr>
            </w:pPr>
          </w:p>
        </w:tc>
      </w:tr>
      <w:tr w:rsidR="0035187E" w:rsidRPr="0035187E" w14:paraId="0A8F4CF4"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DCA4988" w14:textId="18E7730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15.</w:t>
            </w:r>
          </w:p>
        </w:tc>
        <w:tc>
          <w:tcPr>
            <w:tcW w:w="583" w:type="pct"/>
            <w:tcBorders>
              <w:top w:val="single" w:sz="4" w:space="0" w:color="auto"/>
              <w:left w:val="single" w:sz="4" w:space="0" w:color="auto"/>
              <w:right w:val="single" w:sz="4" w:space="0" w:color="auto"/>
            </w:tcBorders>
            <w:shd w:val="clear" w:color="auto" w:fill="auto"/>
          </w:tcPr>
          <w:p w14:paraId="7473ACB0" w14:textId="0234DD5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Úřad vlády České </w:t>
            </w:r>
            <w:proofErr w:type="gramStart"/>
            <w:r w:rsidRPr="0035187E">
              <w:rPr>
                <w:rFonts w:ascii="Times New Roman" w:hAnsi="Times New Roman" w:cs="Times New Roman"/>
                <w:sz w:val="20"/>
                <w:szCs w:val="20"/>
              </w:rPr>
              <w:t>republiky - Ministr</w:t>
            </w:r>
            <w:proofErr w:type="gramEnd"/>
            <w:r w:rsidRPr="0035187E">
              <w:rPr>
                <w:rFonts w:ascii="Times New Roman" w:hAnsi="Times New Roman" w:cs="Times New Roman"/>
                <w:sz w:val="20"/>
                <w:szCs w:val="20"/>
              </w:rPr>
              <w:t xml:space="preserve"> a předseda Legislativní rady vlády</w:t>
            </w:r>
          </w:p>
        </w:tc>
        <w:tc>
          <w:tcPr>
            <w:tcW w:w="168" w:type="pct"/>
            <w:tcBorders>
              <w:top w:val="single" w:sz="4" w:space="0" w:color="auto"/>
              <w:left w:val="single" w:sz="4" w:space="0" w:color="auto"/>
              <w:right w:val="single" w:sz="4" w:space="0" w:color="auto"/>
            </w:tcBorders>
            <w:shd w:val="clear" w:color="auto" w:fill="auto"/>
          </w:tcPr>
          <w:p w14:paraId="14B4C451" w14:textId="1E1AAE8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9.</w:t>
            </w:r>
          </w:p>
        </w:tc>
        <w:tc>
          <w:tcPr>
            <w:tcW w:w="169" w:type="pct"/>
            <w:tcBorders>
              <w:top w:val="single" w:sz="4" w:space="0" w:color="auto"/>
              <w:left w:val="single" w:sz="4" w:space="0" w:color="auto"/>
              <w:right w:val="single" w:sz="4" w:space="0" w:color="auto"/>
            </w:tcBorders>
            <w:shd w:val="clear" w:color="auto" w:fill="auto"/>
          </w:tcPr>
          <w:p w14:paraId="75DC0BF3" w14:textId="12A2BE6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3715921F" w14:textId="77777777" w:rsidR="000B4BD4" w:rsidRPr="0035187E" w:rsidRDefault="000B4BD4" w:rsidP="0035187E">
            <w:pPr>
              <w:widowControl w:val="0"/>
              <w:autoSpaceDE w:val="0"/>
              <w:autoSpaceDN w:val="0"/>
              <w:adjustRightInd w:val="0"/>
              <w:jc w:val="both"/>
              <w:rPr>
                <w:rFonts w:ascii="Times New Roman" w:hAnsi="Times New Roman" w:cs="Times New Roman"/>
                <w:b/>
                <w:sz w:val="20"/>
                <w:szCs w:val="20"/>
                <w:u w:val="single"/>
              </w:rPr>
            </w:pPr>
            <w:r w:rsidRPr="0035187E">
              <w:rPr>
                <w:rFonts w:ascii="Times New Roman" w:hAnsi="Times New Roman" w:cs="Times New Roman"/>
                <w:b/>
                <w:sz w:val="20"/>
                <w:szCs w:val="20"/>
                <w:u w:val="single"/>
              </w:rPr>
              <w:t>K § 14:</w:t>
            </w:r>
          </w:p>
          <w:p w14:paraId="51937625"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Podle § 14 odst. 1 nejsou evidovanou tržbou tržby </w:t>
            </w:r>
            <w:proofErr w:type="gramStart"/>
            <w:r w:rsidRPr="0035187E">
              <w:rPr>
                <w:rFonts w:ascii="Times New Roman" w:hAnsi="Times New Roman" w:cs="Times New Roman"/>
                <w:sz w:val="20"/>
                <w:szCs w:val="20"/>
              </w:rPr>
              <w:t>poplatníka - právnické</w:t>
            </w:r>
            <w:proofErr w:type="gramEnd"/>
            <w:r w:rsidRPr="0035187E">
              <w:rPr>
                <w:rFonts w:ascii="Times New Roman" w:hAnsi="Times New Roman" w:cs="Times New Roman"/>
                <w:sz w:val="20"/>
                <w:szCs w:val="20"/>
              </w:rPr>
              <w:t xml:space="preserve"> osoby během 10 dní následujících po přidělení daňového identifikačního čísla, a to z důvodu zachování dostatečné přípravné lhůty pro výkon evidence. V případě fyzických osob však žádné obdobné ustanovení zakotveno není. Není zřejmé, z jakého důvodu by fyzické osoby měly být schopny plnit všechny povinnosti spojené s evidencí tržeb bezprostředně od vzniku povinnosti, zatímco právnickým osobám je poskytnuta přiměřená lhůta k přípravě. Přitom lze předpokládat, že zejména fyzické osoby zahajující podnikání poprvé mohou čelit stejným, ne-li větším administrativním a technickým nárokům. Pokud předkladatel neuvádí žádné věcné důvody, nelze posoudit, zda je takové rozlišení legitimní.</w:t>
            </w:r>
          </w:p>
          <w:p w14:paraId="21283CD7"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Podle § 14 odst. 5 písm. c) nejsou evidovanou tržbou také tržby z provozování veřejných toalet. Podle důvodové zprávy je tomu tak z důvodu, že tento model podnikání je svou podstatou nízkopříjmovým poskytováním veřejné služby za účelem zisku. Nicméně obdobné parametry nízkopříjmové a veřejné služby by podle našeho názoru mohly splňovat například šatny provozované v kulturních nebo sportovních zařízeních, kde jsou rovněž běžné nízké tržby, nebo i některá další zařízení. Pokud pak je argument pro výjimku založen primárně na nízké výši příjmů a veřejném účelu, není zřejmé, proč by se výjimka neměla vztahovat i na tyto nebo další obdobné případy. Z tohoto důvodu doporučujeme upřesnit důvody pro výše uvedenou zvláštní výjimku.</w:t>
            </w:r>
          </w:p>
          <w:p w14:paraId="15C34FC8" w14:textId="02B96B69"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sz w:val="20"/>
                <w:szCs w:val="20"/>
              </w:rPr>
              <w:t xml:space="preserve">Totéž se týká i tržeb z prodeje sladkovodních ryb v předvánočním čase, kde důvody pro zavedení výjimky z evidence tržeb uvedené v důvodové zprávě nepředstavují jedinečné znaky výhradně pro tuto činnost a stejné důvody by mohly být uplatněny i na jiné sezónní nebo jednorázové provozy. Pokud by se mělo zohlednit kombinované působení sezónnosti, venkovních podmínek a náporu zákazníků, pak existují další podnikatelské </w:t>
            </w:r>
            <w:r w:rsidRPr="0035187E">
              <w:rPr>
                <w:rFonts w:ascii="Times New Roman" w:hAnsi="Times New Roman" w:cs="Times New Roman"/>
                <w:sz w:val="20"/>
                <w:szCs w:val="20"/>
              </w:rPr>
              <w:lastRenderedPageBreak/>
              <w:t>aktivity, které vykazují obdobné parametry, a jejich neřešení ve formě výjimky vytváří nerovnost mezi subjekty působícími za srovnatelných podmínek.</w:t>
            </w:r>
          </w:p>
        </w:tc>
        <w:tc>
          <w:tcPr>
            <w:tcW w:w="1453" w:type="pct"/>
            <w:tcBorders>
              <w:top w:val="single" w:sz="4" w:space="0" w:color="auto"/>
              <w:left w:val="single" w:sz="4" w:space="0" w:color="auto"/>
              <w:right w:val="single" w:sz="4" w:space="0" w:color="auto"/>
            </w:tcBorders>
            <w:shd w:val="clear" w:color="auto" w:fill="auto"/>
          </w:tcPr>
          <w:p w14:paraId="6F3C39C6" w14:textId="77777777"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Vysvětleno.</w:t>
            </w:r>
          </w:p>
          <w:p w14:paraId="4256F558" w14:textId="5A40F68F"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Důvody pro rozdílný přístup jsou vysvětleny v důvodové zprávě. Pro fyzické osoby platí, že vždy mají k dispozici evidenční číslo poplatníka (EIČ), takže nejsou závislé na tom, kdy jim bude přiděleno DIČ. Právnické osoby naopak musí na přidělení DIČ, pomocí něhož je určeno EIČ, vyčkat. To by ale nemělo být důvodem pro čekání s přijímáním tržeb z podnikatelské činnosti. Proto je v zákoně konstruováno dočasné vynětí z povinnosti evidovat tržby, pro které u fyzických osob není obdobný důvod.</w:t>
            </w:r>
          </w:p>
          <w:p w14:paraId="093FADA9" w14:textId="77777777" w:rsidR="000B4BD4" w:rsidRPr="0035187E" w:rsidRDefault="000B4BD4" w:rsidP="0035187E">
            <w:pPr>
              <w:jc w:val="both"/>
              <w:rPr>
                <w:rFonts w:ascii="Times New Roman" w:hAnsi="Times New Roman" w:cs="Times New Roman"/>
                <w:sz w:val="20"/>
                <w:szCs w:val="20"/>
              </w:rPr>
            </w:pPr>
          </w:p>
          <w:p w14:paraId="0ECDA79C" w14:textId="56ED205C"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Podmínky pro vynětí veřejných toalet a sezónního prodeje vánočních stromků jsou dány sadou podmínek tvořících unikátní celek. Jednou z nich je skutečnosti, že tyto výjimky již byly obsaženy v předchozím zákoně o evidenci tržeb, kde byly předmětem rozsáhlé politické diskuse. Lze proto usuzovat, že vyjadřují setrvalý postoj zákonodárců k danému tématu. Současně lze předpokládat i určité legitimní očekávání podnikatelů, kterým tato výjimka v minulosti svědčila. </w:t>
            </w:r>
          </w:p>
          <w:p w14:paraId="00D871B8" w14:textId="15F6FD92" w:rsidR="000B4BD4" w:rsidRPr="0035187E" w:rsidRDefault="000B4BD4" w:rsidP="0035187E">
            <w:pPr>
              <w:jc w:val="both"/>
              <w:rPr>
                <w:rFonts w:ascii="Times New Roman" w:hAnsi="Times New Roman" w:cs="Times New Roman"/>
                <w:sz w:val="20"/>
                <w:szCs w:val="20"/>
              </w:rPr>
            </w:pPr>
          </w:p>
        </w:tc>
      </w:tr>
      <w:tr w:rsidR="0035187E" w:rsidRPr="0035187E" w14:paraId="23C2D8AF" w14:textId="77777777" w:rsidTr="0035187E">
        <w:trPr>
          <w:trHeight w:val="125"/>
        </w:trPr>
        <w:tc>
          <w:tcPr>
            <w:tcW w:w="227" w:type="pct"/>
            <w:tcBorders>
              <w:top w:val="single" w:sz="4" w:space="0" w:color="auto"/>
              <w:left w:val="single" w:sz="4" w:space="0" w:color="auto"/>
              <w:right w:val="single" w:sz="4" w:space="0" w:color="auto"/>
            </w:tcBorders>
            <w:shd w:val="clear" w:color="auto" w:fill="auto"/>
          </w:tcPr>
          <w:p w14:paraId="257B0304" w14:textId="411C078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15.</w:t>
            </w:r>
          </w:p>
        </w:tc>
        <w:tc>
          <w:tcPr>
            <w:tcW w:w="583" w:type="pct"/>
            <w:tcBorders>
              <w:top w:val="single" w:sz="4" w:space="0" w:color="auto"/>
              <w:left w:val="single" w:sz="4" w:space="0" w:color="auto"/>
              <w:right w:val="single" w:sz="4" w:space="0" w:color="auto"/>
            </w:tcBorders>
            <w:shd w:val="clear" w:color="auto" w:fill="auto"/>
          </w:tcPr>
          <w:p w14:paraId="7B2F74A2" w14:textId="6B58C2D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Úřad vlády České </w:t>
            </w:r>
            <w:proofErr w:type="gramStart"/>
            <w:r w:rsidRPr="0035187E">
              <w:rPr>
                <w:rFonts w:ascii="Times New Roman" w:hAnsi="Times New Roman" w:cs="Times New Roman"/>
                <w:sz w:val="20"/>
                <w:szCs w:val="20"/>
              </w:rPr>
              <w:t>republiky - Ministr</w:t>
            </w:r>
            <w:proofErr w:type="gramEnd"/>
            <w:r w:rsidRPr="0035187E">
              <w:rPr>
                <w:rFonts w:ascii="Times New Roman" w:hAnsi="Times New Roman" w:cs="Times New Roman"/>
                <w:sz w:val="20"/>
                <w:szCs w:val="20"/>
              </w:rPr>
              <w:t xml:space="preserve"> a předseda Legislativní rady vlády</w:t>
            </w:r>
          </w:p>
        </w:tc>
        <w:tc>
          <w:tcPr>
            <w:tcW w:w="168" w:type="pct"/>
            <w:tcBorders>
              <w:top w:val="single" w:sz="4" w:space="0" w:color="auto"/>
              <w:left w:val="single" w:sz="4" w:space="0" w:color="auto"/>
              <w:right w:val="single" w:sz="4" w:space="0" w:color="auto"/>
            </w:tcBorders>
            <w:shd w:val="clear" w:color="auto" w:fill="auto"/>
          </w:tcPr>
          <w:p w14:paraId="669A764B" w14:textId="3E8D1DB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10.</w:t>
            </w:r>
          </w:p>
        </w:tc>
        <w:tc>
          <w:tcPr>
            <w:tcW w:w="169" w:type="pct"/>
            <w:tcBorders>
              <w:top w:val="single" w:sz="4" w:space="0" w:color="auto"/>
              <w:left w:val="single" w:sz="4" w:space="0" w:color="auto"/>
              <w:right w:val="single" w:sz="4" w:space="0" w:color="auto"/>
            </w:tcBorders>
            <w:shd w:val="clear" w:color="auto" w:fill="auto"/>
          </w:tcPr>
          <w:p w14:paraId="4EB8F66F" w14:textId="50FDB7E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404B38A"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b/>
                <w:sz w:val="20"/>
                <w:szCs w:val="20"/>
                <w:u w:val="single"/>
              </w:rPr>
              <w:t>K § 26:</w:t>
            </w:r>
          </w:p>
          <w:p w14:paraId="28D2DC57" w14:textId="27F0C5D5"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sz w:val="20"/>
                <w:szCs w:val="20"/>
              </w:rPr>
              <w:t>V § 26 odst. 3 je třeba vyjasnit, zda se při postoupení věci celním úřadem finančnímu úřadu uplatní obecná pravidla o místní příslušnosti v zákoně o odpovědností za přestupky a řízení o nich. Ze samotného ustanovení § 26 odst. 3 není zřejmé, kterému finančnímu úřadu má celní úřad věc předat.</w:t>
            </w:r>
          </w:p>
        </w:tc>
        <w:tc>
          <w:tcPr>
            <w:tcW w:w="1453" w:type="pct"/>
            <w:tcBorders>
              <w:top w:val="single" w:sz="4" w:space="0" w:color="auto"/>
              <w:left w:val="single" w:sz="4" w:space="0" w:color="auto"/>
              <w:right w:val="single" w:sz="4" w:space="0" w:color="auto"/>
            </w:tcBorders>
            <w:shd w:val="clear" w:color="auto" w:fill="auto"/>
          </w:tcPr>
          <w:p w14:paraId="4C106AF3" w14:textId="1182A1DC" w:rsidR="00705FB4" w:rsidRPr="0035187E" w:rsidRDefault="00705FB4" w:rsidP="0035187E">
            <w:pPr>
              <w:jc w:val="both"/>
              <w:rPr>
                <w:rFonts w:ascii="Times New Roman" w:hAnsi="Times New Roman" w:cs="Times New Roman"/>
                <w:b/>
                <w:sz w:val="20"/>
                <w:szCs w:val="20"/>
              </w:rPr>
            </w:pPr>
            <w:r w:rsidRPr="0035187E">
              <w:rPr>
                <w:rFonts w:ascii="Times New Roman" w:hAnsi="Times New Roman" w:cs="Times New Roman"/>
                <w:b/>
                <w:sz w:val="20"/>
                <w:szCs w:val="20"/>
              </w:rPr>
              <w:t xml:space="preserve">Vysvětleno. </w:t>
            </w:r>
          </w:p>
          <w:p w14:paraId="2CE3CB96" w14:textId="7D31803D" w:rsidR="00705FB4" w:rsidRPr="0035187E" w:rsidRDefault="00705FB4" w:rsidP="0035187E">
            <w:pPr>
              <w:jc w:val="both"/>
              <w:rPr>
                <w:rFonts w:ascii="Times New Roman" w:hAnsi="Times New Roman" w:cs="Times New Roman"/>
                <w:sz w:val="20"/>
                <w:szCs w:val="20"/>
              </w:rPr>
            </w:pPr>
            <w:r w:rsidRPr="0035187E">
              <w:rPr>
                <w:rFonts w:ascii="Times New Roman" w:hAnsi="Times New Roman" w:cs="Times New Roman"/>
                <w:sz w:val="20"/>
                <w:szCs w:val="20"/>
              </w:rPr>
              <w:t>Poptávaná informace je popsána v důvodové zprávě.</w:t>
            </w:r>
          </w:p>
          <w:p w14:paraId="3C5BAB2E" w14:textId="1A1C55B3" w:rsidR="000B4BD4" w:rsidRPr="0035187E" w:rsidRDefault="000B4BD4" w:rsidP="0035187E">
            <w:pPr>
              <w:jc w:val="both"/>
              <w:rPr>
                <w:rFonts w:ascii="Times New Roman" w:hAnsi="Times New Roman" w:cs="Times New Roman"/>
                <w:sz w:val="20"/>
                <w:szCs w:val="20"/>
              </w:rPr>
            </w:pPr>
          </w:p>
        </w:tc>
      </w:tr>
      <w:tr w:rsidR="0035187E" w:rsidRPr="0035187E" w14:paraId="37CFF4F9"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4FF644E" w14:textId="4737C74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15.</w:t>
            </w:r>
          </w:p>
        </w:tc>
        <w:tc>
          <w:tcPr>
            <w:tcW w:w="583" w:type="pct"/>
            <w:tcBorders>
              <w:top w:val="single" w:sz="4" w:space="0" w:color="auto"/>
              <w:left w:val="single" w:sz="4" w:space="0" w:color="auto"/>
              <w:right w:val="single" w:sz="4" w:space="0" w:color="auto"/>
            </w:tcBorders>
            <w:shd w:val="clear" w:color="auto" w:fill="auto"/>
          </w:tcPr>
          <w:p w14:paraId="54B7B6B0" w14:textId="41E52E3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Úřad vlády České </w:t>
            </w:r>
            <w:proofErr w:type="gramStart"/>
            <w:r w:rsidRPr="0035187E">
              <w:rPr>
                <w:rFonts w:ascii="Times New Roman" w:hAnsi="Times New Roman" w:cs="Times New Roman"/>
                <w:sz w:val="20"/>
                <w:szCs w:val="20"/>
              </w:rPr>
              <w:t>republiky - Ministr</w:t>
            </w:r>
            <w:proofErr w:type="gramEnd"/>
            <w:r w:rsidRPr="0035187E">
              <w:rPr>
                <w:rFonts w:ascii="Times New Roman" w:hAnsi="Times New Roman" w:cs="Times New Roman"/>
                <w:sz w:val="20"/>
                <w:szCs w:val="20"/>
              </w:rPr>
              <w:t xml:space="preserve"> a předseda Legislativní rady vlády</w:t>
            </w:r>
          </w:p>
        </w:tc>
        <w:tc>
          <w:tcPr>
            <w:tcW w:w="168" w:type="pct"/>
            <w:tcBorders>
              <w:top w:val="single" w:sz="4" w:space="0" w:color="auto"/>
              <w:left w:val="single" w:sz="4" w:space="0" w:color="auto"/>
              <w:right w:val="single" w:sz="4" w:space="0" w:color="auto"/>
            </w:tcBorders>
            <w:shd w:val="clear" w:color="auto" w:fill="auto"/>
          </w:tcPr>
          <w:p w14:paraId="26E85A2D" w14:textId="5FD66FA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11.</w:t>
            </w:r>
          </w:p>
        </w:tc>
        <w:tc>
          <w:tcPr>
            <w:tcW w:w="169" w:type="pct"/>
            <w:tcBorders>
              <w:top w:val="single" w:sz="4" w:space="0" w:color="auto"/>
              <w:left w:val="single" w:sz="4" w:space="0" w:color="auto"/>
              <w:right w:val="single" w:sz="4" w:space="0" w:color="auto"/>
            </w:tcBorders>
            <w:shd w:val="clear" w:color="auto" w:fill="auto"/>
          </w:tcPr>
          <w:p w14:paraId="3AD83AD4" w14:textId="33414BC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99E6417"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b/>
                <w:sz w:val="20"/>
                <w:szCs w:val="20"/>
                <w:u w:val="single"/>
              </w:rPr>
              <w:t>K části druhé (§ 30):</w:t>
            </w:r>
          </w:p>
          <w:p w14:paraId="4C72CE46" w14:textId="77777777" w:rsidR="000B4BD4" w:rsidRPr="0035187E" w:rsidRDefault="000B4BD4" w:rsidP="0035187E">
            <w:pPr>
              <w:widowControl w:val="0"/>
              <w:autoSpaceDE w:val="0"/>
              <w:autoSpaceDN w:val="0"/>
              <w:adjustRightInd w:val="0"/>
              <w:jc w:val="both"/>
              <w:rPr>
                <w:rFonts w:ascii="Times New Roman" w:hAnsi="Times New Roman" w:cs="Times New Roman"/>
                <w:b/>
                <w:sz w:val="20"/>
                <w:szCs w:val="20"/>
                <w:u w:val="single"/>
              </w:rPr>
            </w:pPr>
            <w:r w:rsidRPr="0035187E">
              <w:rPr>
                <w:rFonts w:ascii="Times New Roman" w:hAnsi="Times New Roman" w:cs="Times New Roman"/>
                <w:b/>
                <w:sz w:val="20"/>
                <w:szCs w:val="20"/>
                <w:u w:val="single"/>
              </w:rPr>
              <w:t>K bodu 1:</w:t>
            </w:r>
          </w:p>
          <w:p w14:paraId="14559FA0" w14:textId="37C696EF"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V § 2b odst. 1 zákona o daních z příjmů se pro „přirážku zprošťující povinnosti evidovat tržby podle zákona upravujícího evidenci tržeb“ zavádí legislativní zkratka „přirážka“. Jelikož se však v zákoně o daních z příjmů již používá pojem „přirážka k pojistnému“, není zvolená legislativní zkratka příliš vhodná a může vést k interpretační nejasnosti. Z tohoto důvodu lze doporučit, aby bylo zvoleno jiné vhodnější legislativně technické řešení.</w:t>
            </w:r>
          </w:p>
        </w:tc>
        <w:tc>
          <w:tcPr>
            <w:tcW w:w="1453" w:type="pct"/>
            <w:tcBorders>
              <w:top w:val="single" w:sz="4" w:space="0" w:color="auto"/>
              <w:left w:val="single" w:sz="4" w:space="0" w:color="auto"/>
              <w:right w:val="single" w:sz="4" w:space="0" w:color="auto"/>
            </w:tcBorders>
            <w:shd w:val="clear" w:color="auto" w:fill="auto"/>
          </w:tcPr>
          <w:p w14:paraId="4D519872" w14:textId="77777777" w:rsidR="002C4637" w:rsidRPr="0035187E" w:rsidRDefault="002C4637" w:rsidP="0035187E">
            <w:pPr>
              <w:jc w:val="both"/>
              <w:rPr>
                <w:rFonts w:ascii="Times New Roman" w:hAnsi="Times New Roman" w:cs="Times New Roman"/>
                <w:sz w:val="20"/>
                <w:szCs w:val="20"/>
              </w:rPr>
            </w:pPr>
            <w:r w:rsidRPr="0035187E">
              <w:rPr>
                <w:rFonts w:ascii="Times New Roman" w:hAnsi="Times New Roman" w:cs="Times New Roman"/>
                <w:b/>
                <w:bCs/>
                <w:sz w:val="20"/>
                <w:szCs w:val="20"/>
              </w:rPr>
              <w:t>Nevyhověno.</w:t>
            </w:r>
          </w:p>
          <w:p w14:paraId="4E521F16" w14:textId="77777777" w:rsidR="002C4637" w:rsidRPr="0035187E" w:rsidRDefault="002C4637" w:rsidP="0035187E">
            <w:pPr>
              <w:jc w:val="both"/>
              <w:rPr>
                <w:rFonts w:ascii="Times New Roman" w:hAnsi="Times New Roman" w:cs="Times New Roman"/>
                <w:sz w:val="20"/>
                <w:szCs w:val="20"/>
              </w:rPr>
            </w:pPr>
            <w:r w:rsidRPr="0035187E">
              <w:rPr>
                <w:rFonts w:ascii="Times New Roman" w:hAnsi="Times New Roman" w:cs="Times New Roman"/>
                <w:sz w:val="20"/>
                <w:szCs w:val="20"/>
              </w:rPr>
              <w:t>Pojem „přirážka k pojistnému“ se v zákoně o daních z příjmů vyskytuje pouze dvakrát a v obou případech se používá celý název, tedy buď „přirážka k pojistnému“ nebo „přirážka k pojistnému na sociální zabezpečení a příspěvku na státní politiku zaměstnanosti a k pojistnému na veřejné zdravotní pojištění“. V těchto případech je tedy zřejmé, že slovo „přirážka“ je součástí určitého pojmu (sousloví) a nemůže být vykládáno samostatně. Oba pojmy se navíc používají ve zcela odlišném kontextu, a tedy se jejich záměna jeví jako velice nepravděpodobná.</w:t>
            </w:r>
          </w:p>
          <w:p w14:paraId="33D970FA" w14:textId="3F7F6862" w:rsidR="000B4BD4" w:rsidRPr="0035187E" w:rsidRDefault="002C4637" w:rsidP="0035187E">
            <w:pPr>
              <w:jc w:val="both"/>
              <w:rPr>
                <w:rFonts w:ascii="Times New Roman" w:hAnsi="Times New Roman" w:cs="Times New Roman"/>
                <w:sz w:val="20"/>
                <w:szCs w:val="20"/>
              </w:rPr>
            </w:pPr>
            <w:r w:rsidRPr="0035187E">
              <w:rPr>
                <w:rFonts w:ascii="Times New Roman" w:hAnsi="Times New Roman" w:cs="Times New Roman"/>
                <w:sz w:val="20"/>
                <w:szCs w:val="20"/>
              </w:rPr>
              <w:t>Obdobné situace se navíc již v právním řádu nezřídka vyskytují, například zavádí-li se legislativní zkratka pro konkrétní ministerstvo a současně se v zákoně hovoří i o jiných ministerstvech, která tato zkratka nezahrnuje (viz např. § 1 odst. 1 zákona č. 3226/1999 Sb., o pobytu cizinců a o změně některých zákonů, ve znění pozdějších předpisů).</w:t>
            </w:r>
          </w:p>
        </w:tc>
      </w:tr>
      <w:tr w:rsidR="0035187E" w:rsidRPr="0035187E" w14:paraId="46270244"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FF5B93E" w14:textId="102B912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15.</w:t>
            </w:r>
          </w:p>
        </w:tc>
        <w:tc>
          <w:tcPr>
            <w:tcW w:w="583" w:type="pct"/>
            <w:tcBorders>
              <w:top w:val="single" w:sz="4" w:space="0" w:color="auto"/>
              <w:left w:val="single" w:sz="4" w:space="0" w:color="auto"/>
              <w:right w:val="single" w:sz="4" w:space="0" w:color="auto"/>
            </w:tcBorders>
            <w:shd w:val="clear" w:color="auto" w:fill="auto"/>
          </w:tcPr>
          <w:p w14:paraId="50D04F9F" w14:textId="726C91C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Úřad vlády České </w:t>
            </w:r>
            <w:proofErr w:type="gramStart"/>
            <w:r w:rsidRPr="0035187E">
              <w:rPr>
                <w:rFonts w:ascii="Times New Roman" w:hAnsi="Times New Roman" w:cs="Times New Roman"/>
                <w:sz w:val="20"/>
                <w:szCs w:val="20"/>
              </w:rPr>
              <w:t>republiky - Ministr</w:t>
            </w:r>
            <w:proofErr w:type="gramEnd"/>
            <w:r w:rsidRPr="0035187E">
              <w:rPr>
                <w:rFonts w:ascii="Times New Roman" w:hAnsi="Times New Roman" w:cs="Times New Roman"/>
                <w:sz w:val="20"/>
                <w:szCs w:val="20"/>
              </w:rPr>
              <w:t xml:space="preserve"> a předseda Legislativní rady vlády</w:t>
            </w:r>
          </w:p>
        </w:tc>
        <w:tc>
          <w:tcPr>
            <w:tcW w:w="168" w:type="pct"/>
            <w:tcBorders>
              <w:top w:val="single" w:sz="4" w:space="0" w:color="auto"/>
              <w:left w:val="single" w:sz="4" w:space="0" w:color="auto"/>
              <w:right w:val="single" w:sz="4" w:space="0" w:color="auto"/>
            </w:tcBorders>
            <w:shd w:val="clear" w:color="auto" w:fill="auto"/>
          </w:tcPr>
          <w:p w14:paraId="628B6744" w14:textId="5C800A4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12.</w:t>
            </w:r>
          </w:p>
        </w:tc>
        <w:tc>
          <w:tcPr>
            <w:tcW w:w="169" w:type="pct"/>
            <w:tcBorders>
              <w:top w:val="single" w:sz="4" w:space="0" w:color="auto"/>
              <w:left w:val="single" w:sz="4" w:space="0" w:color="auto"/>
              <w:right w:val="single" w:sz="4" w:space="0" w:color="auto"/>
            </w:tcBorders>
            <w:shd w:val="clear" w:color="auto" w:fill="auto"/>
          </w:tcPr>
          <w:p w14:paraId="19059A1C" w14:textId="54B3C48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9629B2B" w14:textId="77777777" w:rsidR="000B4BD4" w:rsidRPr="0035187E" w:rsidRDefault="000B4BD4" w:rsidP="0035187E">
            <w:pPr>
              <w:widowControl w:val="0"/>
              <w:autoSpaceDE w:val="0"/>
              <w:autoSpaceDN w:val="0"/>
              <w:adjustRightInd w:val="0"/>
              <w:jc w:val="both"/>
              <w:rPr>
                <w:rFonts w:ascii="Times New Roman" w:hAnsi="Times New Roman" w:cs="Times New Roman"/>
                <w:b/>
                <w:sz w:val="20"/>
                <w:szCs w:val="20"/>
                <w:u w:val="single"/>
              </w:rPr>
            </w:pPr>
            <w:r w:rsidRPr="0035187E">
              <w:rPr>
                <w:rFonts w:ascii="Times New Roman" w:hAnsi="Times New Roman" w:cs="Times New Roman"/>
                <w:b/>
                <w:sz w:val="20"/>
                <w:szCs w:val="20"/>
                <w:u w:val="single"/>
              </w:rPr>
              <w:t>K bodu 6:</w:t>
            </w:r>
          </w:p>
          <w:p w14:paraId="06F5E810" w14:textId="796E7C88"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spacing w:val="-4"/>
                <w:sz w:val="20"/>
                <w:szCs w:val="20"/>
              </w:rPr>
              <w:t>Navrhované ustanovení zavádí osvobození spropitného pro zaměstnance</w:t>
            </w:r>
            <w:r w:rsidRPr="0035187E">
              <w:rPr>
                <w:rFonts w:ascii="Times New Roman" w:hAnsi="Times New Roman" w:cs="Times New Roman"/>
                <w:sz w:val="20"/>
                <w:szCs w:val="20"/>
              </w:rPr>
              <w:t xml:space="preserve"> provozoven stravovacích služeb. Takto úzce vymezená úprava však nezohledňuje, že spropitné je běžnou, tradiční a obecně přijímanou formou dobrovolného ocenění práce i v některých dalších oblastech služeb. Omezení pouze na segment gastronomie působí nesystematicky a může vytvářet nerovné podmínky pro poplatníky </w:t>
            </w:r>
            <w:r w:rsidRPr="0035187E">
              <w:rPr>
                <w:rFonts w:ascii="Times New Roman" w:hAnsi="Times New Roman" w:cs="Times New Roman"/>
                <w:spacing w:val="-4"/>
                <w:sz w:val="20"/>
                <w:szCs w:val="20"/>
              </w:rPr>
              <w:t>v obdobných situacích. Pokud má být úprava koncepčně konzistentnější,</w:t>
            </w:r>
            <w:r w:rsidRPr="0035187E">
              <w:rPr>
                <w:rFonts w:ascii="Times New Roman" w:hAnsi="Times New Roman" w:cs="Times New Roman"/>
                <w:sz w:val="20"/>
                <w:szCs w:val="20"/>
              </w:rPr>
              <w:t xml:space="preserve"> pak lze doporučit buď její rozšíření i na další odvětví, nebo je třeba přesvědčivěji odůvodnit, proč je právě gastronomický sektor jediným, na který se osvobození spropitného vztahuje.</w:t>
            </w:r>
          </w:p>
        </w:tc>
        <w:tc>
          <w:tcPr>
            <w:tcW w:w="1453" w:type="pct"/>
            <w:tcBorders>
              <w:top w:val="single" w:sz="4" w:space="0" w:color="auto"/>
              <w:left w:val="single" w:sz="4" w:space="0" w:color="auto"/>
              <w:right w:val="single" w:sz="4" w:space="0" w:color="auto"/>
            </w:tcBorders>
            <w:shd w:val="clear" w:color="auto" w:fill="auto"/>
          </w:tcPr>
          <w:p w14:paraId="518E1B13" w14:textId="77777777" w:rsidR="002C4637" w:rsidRPr="0035187E" w:rsidRDefault="002C4637" w:rsidP="0035187E">
            <w:pPr>
              <w:jc w:val="both"/>
              <w:rPr>
                <w:rFonts w:ascii="Times New Roman" w:hAnsi="Times New Roman" w:cs="Times New Roman"/>
                <w:sz w:val="20"/>
                <w:szCs w:val="20"/>
              </w:rPr>
            </w:pPr>
            <w:r w:rsidRPr="0035187E">
              <w:rPr>
                <w:rFonts w:ascii="Times New Roman" w:hAnsi="Times New Roman" w:cs="Times New Roman"/>
                <w:b/>
                <w:sz w:val="20"/>
                <w:szCs w:val="20"/>
              </w:rPr>
              <w:t>Nevyhověno.</w:t>
            </w:r>
          </w:p>
          <w:p w14:paraId="53B17F91" w14:textId="77777777" w:rsidR="002C4637" w:rsidRPr="0035187E" w:rsidRDefault="002C4637" w:rsidP="0035187E">
            <w:pPr>
              <w:jc w:val="both"/>
              <w:rPr>
                <w:rFonts w:ascii="Times New Roman" w:hAnsi="Times New Roman" w:cs="Times New Roman"/>
                <w:sz w:val="20"/>
                <w:szCs w:val="20"/>
              </w:rPr>
            </w:pPr>
            <w:r w:rsidRPr="0035187E">
              <w:rPr>
                <w:rFonts w:ascii="Times New Roman" w:hAnsi="Times New Roman" w:cs="Times New Roman"/>
                <w:sz w:val="20"/>
                <w:szCs w:val="20"/>
              </w:rPr>
              <w:t>Navržené vymezení spropitného je záměrně formulováno užším způsobem s cílem cílit úpravu na oblast gastronomie, kde spropitné dlouhodobě představuje významnou a stabilní složku příjmů zaměstnanců a v některých případech může převyšovat mzdu. Tento specifický charakter odůvodňuje zavedení zvláštního daňového režimu, který při splnění stanovených podmínek umožňuje osvobození spropitného od daně až do zákonem stanoveného limitu.</w:t>
            </w:r>
          </w:p>
          <w:p w14:paraId="22D450A8" w14:textId="3D340F09" w:rsidR="000B4BD4" w:rsidRPr="0035187E" w:rsidRDefault="002C4637"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Rozšíření této úpravy na jiné oblasti služeb nebylo shledáno účelným, neboť v těchto sektorech spropitné zpravidla nepředstavuje významnou část příjmů zaměstnanců, a jeho daňové osvobození by tak nemělo výrazný dopad ani opodstatnění. Návrh proto </w:t>
            </w:r>
            <w:r w:rsidRPr="0035187E">
              <w:rPr>
                <w:rFonts w:ascii="Times New Roman" w:hAnsi="Times New Roman" w:cs="Times New Roman"/>
                <w:sz w:val="20"/>
                <w:szCs w:val="20"/>
              </w:rPr>
              <w:lastRenderedPageBreak/>
              <w:t>odráží specifika gastronomie a sleduje cílené, přiměřené a systematicky odůvodněné nastavení daňové podpory, aniž by rozšiřoval režim na odvětví, kde pro to nejsou dostatečné věcné důvody.</w:t>
            </w:r>
          </w:p>
        </w:tc>
      </w:tr>
      <w:tr w:rsidR="0035187E" w:rsidRPr="0035187E" w14:paraId="319658F5"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18EBE3F" w14:textId="4A2289B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15.</w:t>
            </w:r>
          </w:p>
        </w:tc>
        <w:tc>
          <w:tcPr>
            <w:tcW w:w="583" w:type="pct"/>
            <w:tcBorders>
              <w:top w:val="single" w:sz="4" w:space="0" w:color="auto"/>
              <w:left w:val="single" w:sz="4" w:space="0" w:color="auto"/>
              <w:right w:val="single" w:sz="4" w:space="0" w:color="auto"/>
            </w:tcBorders>
            <w:shd w:val="clear" w:color="auto" w:fill="auto"/>
          </w:tcPr>
          <w:p w14:paraId="3C256508" w14:textId="2A0A115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Úřad vlády České </w:t>
            </w:r>
            <w:proofErr w:type="gramStart"/>
            <w:r w:rsidRPr="0035187E">
              <w:rPr>
                <w:rFonts w:ascii="Times New Roman" w:hAnsi="Times New Roman" w:cs="Times New Roman"/>
                <w:sz w:val="20"/>
                <w:szCs w:val="20"/>
              </w:rPr>
              <w:t>republiky - Ministr</w:t>
            </w:r>
            <w:proofErr w:type="gramEnd"/>
            <w:r w:rsidRPr="0035187E">
              <w:rPr>
                <w:rFonts w:ascii="Times New Roman" w:hAnsi="Times New Roman" w:cs="Times New Roman"/>
                <w:sz w:val="20"/>
                <w:szCs w:val="20"/>
              </w:rPr>
              <w:t xml:space="preserve"> a předseda Legislativní rady vlády</w:t>
            </w:r>
          </w:p>
        </w:tc>
        <w:tc>
          <w:tcPr>
            <w:tcW w:w="168" w:type="pct"/>
            <w:tcBorders>
              <w:top w:val="single" w:sz="4" w:space="0" w:color="auto"/>
              <w:left w:val="single" w:sz="4" w:space="0" w:color="auto"/>
              <w:right w:val="single" w:sz="4" w:space="0" w:color="auto"/>
            </w:tcBorders>
            <w:shd w:val="clear" w:color="auto" w:fill="auto"/>
          </w:tcPr>
          <w:p w14:paraId="01A1BE33" w14:textId="11BFE68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13.</w:t>
            </w:r>
          </w:p>
        </w:tc>
        <w:tc>
          <w:tcPr>
            <w:tcW w:w="169" w:type="pct"/>
            <w:tcBorders>
              <w:top w:val="single" w:sz="4" w:space="0" w:color="auto"/>
              <w:left w:val="single" w:sz="4" w:space="0" w:color="auto"/>
              <w:right w:val="single" w:sz="4" w:space="0" w:color="auto"/>
            </w:tcBorders>
            <w:shd w:val="clear" w:color="auto" w:fill="auto"/>
          </w:tcPr>
          <w:p w14:paraId="350A5949" w14:textId="688ACC4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4915608" w14:textId="77777777" w:rsidR="000B4BD4" w:rsidRPr="0035187E" w:rsidRDefault="000B4BD4" w:rsidP="0035187E">
            <w:pPr>
              <w:widowControl w:val="0"/>
              <w:autoSpaceDE w:val="0"/>
              <w:autoSpaceDN w:val="0"/>
              <w:adjustRightInd w:val="0"/>
              <w:jc w:val="both"/>
              <w:rPr>
                <w:rFonts w:ascii="Times New Roman" w:hAnsi="Times New Roman" w:cs="Times New Roman"/>
                <w:b/>
                <w:sz w:val="20"/>
                <w:szCs w:val="20"/>
                <w:u w:val="single"/>
              </w:rPr>
            </w:pPr>
            <w:r w:rsidRPr="0035187E">
              <w:rPr>
                <w:rFonts w:ascii="Times New Roman" w:hAnsi="Times New Roman" w:cs="Times New Roman"/>
                <w:b/>
                <w:sz w:val="20"/>
                <w:szCs w:val="20"/>
                <w:u w:val="single"/>
              </w:rPr>
              <w:t>K bodu 14:</w:t>
            </w:r>
          </w:p>
          <w:p w14:paraId="6910062E" w14:textId="73E5A884"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Podle § 35be odst. 2 lze slevu na evidenci tržeb uplatnit v prvním zdaňovacím období „započatém od 1. ledna 2027“, ve kterém poplatník zaevidoval tržbu podle zákona o evidenci tržeb. Uvedení této časové působnosti považujeme za nadbytečné a doporučujeme je vypustit. Časová působnost jednotlivých ustanovení má být určena ustanovením o účinnosti zákona, případně přechodnými ustanoveními.</w:t>
            </w:r>
          </w:p>
        </w:tc>
        <w:tc>
          <w:tcPr>
            <w:tcW w:w="1453" w:type="pct"/>
            <w:tcBorders>
              <w:top w:val="single" w:sz="4" w:space="0" w:color="auto"/>
              <w:left w:val="single" w:sz="4" w:space="0" w:color="auto"/>
              <w:right w:val="single" w:sz="4" w:space="0" w:color="auto"/>
            </w:tcBorders>
            <w:shd w:val="clear" w:color="auto" w:fill="auto"/>
          </w:tcPr>
          <w:p w14:paraId="56B27205" w14:textId="77777777" w:rsidR="002C4637" w:rsidRPr="0035187E" w:rsidRDefault="002C4637" w:rsidP="0035187E">
            <w:pPr>
              <w:jc w:val="both"/>
              <w:rPr>
                <w:rFonts w:ascii="Times New Roman" w:hAnsi="Times New Roman" w:cs="Times New Roman"/>
                <w:sz w:val="20"/>
                <w:szCs w:val="20"/>
              </w:rPr>
            </w:pPr>
            <w:r w:rsidRPr="0035187E">
              <w:rPr>
                <w:rFonts w:ascii="Times New Roman" w:hAnsi="Times New Roman" w:cs="Times New Roman"/>
                <w:b/>
                <w:sz w:val="20"/>
                <w:szCs w:val="20"/>
              </w:rPr>
              <w:t>Nevyhověno.</w:t>
            </w:r>
          </w:p>
          <w:p w14:paraId="26CA150D" w14:textId="4B8D67C2" w:rsidR="000B4BD4" w:rsidRPr="0035187E" w:rsidRDefault="002C4637" w:rsidP="0035187E">
            <w:pPr>
              <w:jc w:val="both"/>
              <w:rPr>
                <w:rFonts w:ascii="Times New Roman" w:hAnsi="Times New Roman" w:cs="Times New Roman"/>
                <w:sz w:val="20"/>
                <w:szCs w:val="20"/>
              </w:rPr>
            </w:pPr>
            <w:r w:rsidRPr="0035187E">
              <w:rPr>
                <w:rFonts w:ascii="Times New Roman" w:hAnsi="Times New Roman" w:cs="Times New Roman"/>
                <w:sz w:val="20"/>
                <w:szCs w:val="20"/>
              </w:rPr>
              <w:t>Nejedná se o přechodné ustanovení. Smyslem přechodného ustanovení je upravit vztah nové právní úpravy k dosavadní právní úpravě, resp. právní vztahy vzniklé na základě dosavadní právní úpravy. Ačkoliv se navržené ustanovení může jevit jako přechodné ustanovení, jeho účel je odlišný – pomocí specifikace zdaňovacího období, ve kterém lze slevu na evidenci tržeb uplatnit poprvé, se vymezuje jedna z podmínek uplatnění této slevy. Slevu na evidenci tržeb může uplatnit poplatník, který skutečně zaevidoval tržbu podle navrhovaného zákona o evidenci tržeb, avšak tuto slevu může uplatnit pouze jednou, a to ve zdaňovacím období, ve kterém tak učinil vůbec poprvé. Vzhledem k tomu, že povinnost evidence tržeb již v minulosti existovala, absence vymezení zdaňovacího období jakožto jedné z podmínek uplatnění slevy by z této slevy fakticky vyloučila všechny poplatníky, kteří povinnost evidence tržeb splnili již v minulosti podle zákona č. 112/2016 Sb., což není záměrem. Slevu na evidenci tržeb naopak musí být umožněno uplatnit všem poplatníkům, kteří povinnost evidence tržeb splní podle nově navrhovaného zákona o evidenci tržeb, a to bez ohledu na to, zda tržby evidovaly již v minulosti. Ustanovení navíc není jednorázové, protože daná podmínka bude relevantní i pro poplatníky, kteří začnou evidovat tržby až po několika letech od nabytí účinností navrhovaného zákona.</w:t>
            </w:r>
          </w:p>
        </w:tc>
      </w:tr>
      <w:tr w:rsidR="0035187E" w:rsidRPr="0035187E" w14:paraId="1DD3970D"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FDF828C" w14:textId="5F47101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15.</w:t>
            </w:r>
          </w:p>
        </w:tc>
        <w:tc>
          <w:tcPr>
            <w:tcW w:w="583" w:type="pct"/>
            <w:tcBorders>
              <w:top w:val="single" w:sz="4" w:space="0" w:color="auto"/>
              <w:left w:val="single" w:sz="4" w:space="0" w:color="auto"/>
              <w:right w:val="single" w:sz="4" w:space="0" w:color="auto"/>
            </w:tcBorders>
            <w:shd w:val="clear" w:color="auto" w:fill="auto"/>
          </w:tcPr>
          <w:p w14:paraId="6CA02300" w14:textId="4442118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Úřad vlády České </w:t>
            </w:r>
            <w:proofErr w:type="gramStart"/>
            <w:r w:rsidRPr="0035187E">
              <w:rPr>
                <w:rFonts w:ascii="Times New Roman" w:hAnsi="Times New Roman" w:cs="Times New Roman"/>
                <w:sz w:val="20"/>
                <w:szCs w:val="20"/>
              </w:rPr>
              <w:t>republiky - Ministr</w:t>
            </w:r>
            <w:proofErr w:type="gramEnd"/>
            <w:r w:rsidRPr="0035187E">
              <w:rPr>
                <w:rFonts w:ascii="Times New Roman" w:hAnsi="Times New Roman" w:cs="Times New Roman"/>
                <w:sz w:val="20"/>
                <w:szCs w:val="20"/>
              </w:rPr>
              <w:t xml:space="preserve"> a předseda Legislativní rady vlády</w:t>
            </w:r>
          </w:p>
        </w:tc>
        <w:tc>
          <w:tcPr>
            <w:tcW w:w="168" w:type="pct"/>
            <w:tcBorders>
              <w:top w:val="single" w:sz="4" w:space="0" w:color="auto"/>
              <w:left w:val="single" w:sz="4" w:space="0" w:color="auto"/>
              <w:right w:val="single" w:sz="4" w:space="0" w:color="auto"/>
            </w:tcBorders>
            <w:shd w:val="clear" w:color="auto" w:fill="auto"/>
          </w:tcPr>
          <w:p w14:paraId="566BB7CD" w14:textId="6D15DCE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14.</w:t>
            </w:r>
          </w:p>
        </w:tc>
        <w:tc>
          <w:tcPr>
            <w:tcW w:w="169" w:type="pct"/>
            <w:tcBorders>
              <w:top w:val="single" w:sz="4" w:space="0" w:color="auto"/>
              <w:left w:val="single" w:sz="4" w:space="0" w:color="auto"/>
              <w:right w:val="single" w:sz="4" w:space="0" w:color="auto"/>
            </w:tcBorders>
            <w:shd w:val="clear" w:color="auto" w:fill="auto"/>
          </w:tcPr>
          <w:p w14:paraId="7D771699" w14:textId="64DA611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AEE6427" w14:textId="77777777" w:rsidR="000B4BD4" w:rsidRPr="0035187E" w:rsidRDefault="000B4BD4" w:rsidP="0035187E">
            <w:pPr>
              <w:widowControl w:val="0"/>
              <w:autoSpaceDE w:val="0"/>
              <w:autoSpaceDN w:val="0"/>
              <w:adjustRightInd w:val="0"/>
              <w:jc w:val="both"/>
              <w:rPr>
                <w:rFonts w:ascii="Times New Roman" w:hAnsi="Times New Roman" w:cs="Times New Roman"/>
                <w:b/>
                <w:sz w:val="20"/>
                <w:szCs w:val="20"/>
                <w:u w:val="single"/>
              </w:rPr>
            </w:pPr>
            <w:r w:rsidRPr="0035187E">
              <w:rPr>
                <w:rFonts w:ascii="Times New Roman" w:hAnsi="Times New Roman" w:cs="Times New Roman"/>
                <w:b/>
                <w:sz w:val="20"/>
                <w:szCs w:val="20"/>
                <w:u w:val="single"/>
              </w:rPr>
              <w:t>K bodu 26:</w:t>
            </w:r>
          </w:p>
          <w:p w14:paraId="5CAAF7B2" w14:textId="4684F646"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sz w:val="20"/>
                <w:szCs w:val="20"/>
              </w:rPr>
              <w:t>Navrhované označení paragrafu § 38ldaa tvořené čtyřmi písmeny představuje v českém právním řádu zcela ojedinělé řešení. Takový způsob označování ustanovení neodpovídá ustálené legislativně technické praxi a může zhoršovat už tak nízkou přehlednost a orientaci v zákoně o daních z příjmů. Z tohoto důvodu se předkladateli doporučuje zvolit jiné, legislativně technicky vhodnější a standardnější řešení.</w:t>
            </w:r>
          </w:p>
        </w:tc>
        <w:tc>
          <w:tcPr>
            <w:tcW w:w="1453" w:type="pct"/>
            <w:tcBorders>
              <w:top w:val="single" w:sz="4" w:space="0" w:color="auto"/>
              <w:left w:val="single" w:sz="4" w:space="0" w:color="auto"/>
              <w:right w:val="single" w:sz="4" w:space="0" w:color="auto"/>
            </w:tcBorders>
            <w:shd w:val="clear" w:color="auto" w:fill="auto"/>
          </w:tcPr>
          <w:p w14:paraId="31929A35" w14:textId="77777777" w:rsidR="002C4637" w:rsidRPr="0035187E" w:rsidRDefault="002C4637"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Nevyhověno.</w:t>
            </w:r>
          </w:p>
          <w:p w14:paraId="25ED5B48" w14:textId="6032BF57" w:rsidR="000B4BD4" w:rsidRPr="0035187E" w:rsidRDefault="002C4637"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Ačkoliv tuto legislativní techniku nelze považovat za zcela vyhovující, v kontextu zákona o daních z příjmů a z hlediska systematiky právní úpravy paušální daně v zákoně o daních z příjmů považujeme zvolené řešení za nejlepší možné, naopak jakékoliv jiné řešení by podle našeho názoru vedlo k ještě obtížnější orientaci. Správné zařazení ustanovení zohledňující systematiku zákona a </w:t>
            </w:r>
            <w:r w:rsidRPr="0035187E">
              <w:rPr>
                <w:rFonts w:ascii="Times New Roman" w:hAnsi="Times New Roman" w:cs="Times New Roman"/>
                <w:sz w:val="20"/>
                <w:szCs w:val="20"/>
              </w:rPr>
              <w:lastRenderedPageBreak/>
              <w:t>zajišťující jeho vnitřní soudržnost považujeme z hlediska orientace adresátů a přehlednosti právní úpravy za relevantnější než výsledné označení paragrafu.</w:t>
            </w:r>
          </w:p>
        </w:tc>
      </w:tr>
      <w:tr w:rsidR="0035187E" w:rsidRPr="0035187E" w14:paraId="1600F441"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64F4EB3" w14:textId="2D331B4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17.</w:t>
            </w:r>
          </w:p>
        </w:tc>
        <w:tc>
          <w:tcPr>
            <w:tcW w:w="583" w:type="pct"/>
            <w:tcBorders>
              <w:top w:val="single" w:sz="4" w:space="0" w:color="auto"/>
              <w:left w:val="single" w:sz="4" w:space="0" w:color="auto"/>
              <w:right w:val="single" w:sz="4" w:space="0" w:color="auto"/>
            </w:tcBorders>
            <w:shd w:val="clear" w:color="auto" w:fill="auto"/>
          </w:tcPr>
          <w:p w14:paraId="7B8AECFC" w14:textId="51C6C56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Úřad vlády České </w:t>
            </w:r>
            <w:proofErr w:type="gramStart"/>
            <w:r w:rsidRPr="0035187E">
              <w:rPr>
                <w:rFonts w:ascii="Times New Roman" w:hAnsi="Times New Roman" w:cs="Times New Roman"/>
                <w:sz w:val="20"/>
                <w:szCs w:val="20"/>
              </w:rPr>
              <w:t>republiky - Odbor</w:t>
            </w:r>
            <w:proofErr w:type="gramEnd"/>
            <w:r w:rsidRPr="0035187E">
              <w:rPr>
                <w:rFonts w:ascii="Times New Roman" w:hAnsi="Times New Roman" w:cs="Times New Roman"/>
                <w:sz w:val="20"/>
                <w:szCs w:val="20"/>
              </w:rPr>
              <w:t xml:space="preserve"> kompatibility</w:t>
            </w:r>
          </w:p>
        </w:tc>
        <w:tc>
          <w:tcPr>
            <w:tcW w:w="168" w:type="pct"/>
            <w:tcBorders>
              <w:top w:val="single" w:sz="4" w:space="0" w:color="auto"/>
              <w:left w:val="single" w:sz="4" w:space="0" w:color="auto"/>
              <w:right w:val="single" w:sz="4" w:space="0" w:color="auto"/>
            </w:tcBorders>
            <w:shd w:val="clear" w:color="auto" w:fill="auto"/>
          </w:tcPr>
          <w:p w14:paraId="1BB27616" w14:textId="062EB5A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2868EB42" w14:textId="48FBBBA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28837A2" w14:textId="002C3241" w:rsidR="000B4BD4" w:rsidRPr="0035187E" w:rsidRDefault="000B4BD4" w:rsidP="0035187E">
            <w:pPr>
              <w:jc w:val="both"/>
              <w:rPr>
                <w:rFonts w:ascii="Times New Roman" w:hAnsi="Times New Roman" w:cs="Times New Roman"/>
                <w:b/>
                <w:bCs/>
                <w:kern w:val="2"/>
                <w:sz w:val="20"/>
                <w:szCs w:val="20"/>
                <w:u w:val="single"/>
                <w:lang w:eastAsia="en-US"/>
              </w:rPr>
            </w:pPr>
            <w:r w:rsidRPr="0035187E">
              <w:rPr>
                <w:rFonts w:ascii="Times New Roman" w:hAnsi="Times New Roman" w:cs="Times New Roman"/>
                <w:b/>
                <w:bCs/>
                <w:kern w:val="2"/>
                <w:sz w:val="20"/>
                <w:szCs w:val="20"/>
                <w:u w:val="single"/>
                <w:lang w:eastAsia="en-US"/>
              </w:rPr>
              <w:t>Po stránce formální:</w:t>
            </w:r>
          </w:p>
          <w:p w14:paraId="3A90A13C" w14:textId="77777777" w:rsidR="000B4BD4" w:rsidRPr="0035187E" w:rsidRDefault="000B4BD4" w:rsidP="0035187E">
            <w:pPr>
              <w:jc w:val="both"/>
              <w:rPr>
                <w:rFonts w:ascii="Times New Roman" w:hAnsi="Times New Roman" w:cs="Times New Roman"/>
                <w:b/>
                <w:bCs/>
                <w:kern w:val="2"/>
                <w:sz w:val="20"/>
                <w:szCs w:val="20"/>
                <w:u w:val="single"/>
                <w:lang w:eastAsia="en-US"/>
              </w:rPr>
            </w:pPr>
          </w:p>
          <w:p w14:paraId="7ECB2760" w14:textId="5986486C" w:rsidR="000B4BD4" w:rsidRPr="0035187E" w:rsidRDefault="000B4BD4" w:rsidP="0035187E">
            <w:pPr>
              <w:jc w:val="both"/>
              <w:rPr>
                <w:rFonts w:ascii="Times New Roman" w:hAnsi="Times New Roman" w:cs="Times New Roman"/>
                <w:kern w:val="2"/>
                <w:sz w:val="20"/>
                <w:szCs w:val="20"/>
                <w:lang w:eastAsia="en-US"/>
              </w:rPr>
            </w:pPr>
            <w:r w:rsidRPr="0035187E">
              <w:rPr>
                <w:rFonts w:ascii="Times New Roman" w:hAnsi="Times New Roman" w:cs="Times New Roman"/>
                <w:kern w:val="2"/>
                <w:sz w:val="20"/>
                <w:szCs w:val="20"/>
                <w:lang w:eastAsia="en-US"/>
              </w:rPr>
              <w:t xml:space="preserve">Předkladatel </w:t>
            </w:r>
            <w:r w:rsidRPr="0035187E">
              <w:rPr>
                <w:rFonts w:ascii="Times New Roman" w:hAnsi="Times New Roman" w:cs="Times New Roman"/>
                <w:b/>
                <w:bCs/>
                <w:kern w:val="2"/>
                <w:sz w:val="20"/>
                <w:szCs w:val="20"/>
                <w:lang w:eastAsia="en-US"/>
              </w:rPr>
              <w:t>s níže uvedenými výhradami splnil</w:t>
            </w:r>
            <w:r w:rsidRPr="0035187E">
              <w:rPr>
                <w:rFonts w:ascii="Times New Roman" w:hAnsi="Times New Roman" w:cs="Times New Roman"/>
                <w:kern w:val="2"/>
                <w:sz w:val="20"/>
                <w:szCs w:val="20"/>
                <w:lang w:eastAsia="en-US"/>
              </w:rPr>
              <w:t xml:space="preserve"> formální náležitosti týkající se vykazování slučitelnosti s právem EU, jak vyplývají zejména z Legislativních pravidel vlády, v platném znění, a podle Metodických pokynů pro zajišťování prací při plnění legislativních závazků vyplývajících z členství České republiky v Evropské unii, v platném znění.</w:t>
            </w:r>
          </w:p>
          <w:p w14:paraId="52B292CC" w14:textId="6CB8D2D8" w:rsidR="000B4BD4" w:rsidRPr="0035187E" w:rsidRDefault="000B4BD4" w:rsidP="0035187E">
            <w:pPr>
              <w:jc w:val="both"/>
              <w:rPr>
                <w:rFonts w:ascii="Times New Roman" w:hAnsi="Times New Roman" w:cs="Times New Roman"/>
                <w:kern w:val="2"/>
                <w:sz w:val="20"/>
                <w:szCs w:val="20"/>
                <w:lang w:eastAsia="en-US"/>
              </w:rPr>
            </w:pPr>
            <w:r w:rsidRPr="0035187E">
              <w:rPr>
                <w:rFonts w:ascii="Times New Roman" w:hAnsi="Times New Roman" w:cs="Times New Roman"/>
                <w:kern w:val="2"/>
                <w:sz w:val="20"/>
                <w:szCs w:val="20"/>
                <w:lang w:eastAsia="en-US"/>
              </w:rPr>
              <w:t xml:space="preserve">V zájmu právní jistoty doporučujeme návrh zákona notifikovat jako technický předpis podle směrnice Evropského parlamentu a Rady (EU) 2015/1535 ze dne 9. září 2015 o postupu při poskytování informací v oblasti technických předpisů a předpisů pro služby informační společnosti (dále také „notifikační směrnice“). Směrnice 2015/1535 v čl. 1 odst. 1 písm. f) bodu </w:t>
            </w:r>
            <w:proofErr w:type="spellStart"/>
            <w:r w:rsidRPr="0035187E">
              <w:rPr>
                <w:rFonts w:ascii="Times New Roman" w:hAnsi="Times New Roman" w:cs="Times New Roman"/>
                <w:kern w:val="2"/>
                <w:sz w:val="20"/>
                <w:szCs w:val="20"/>
                <w:lang w:eastAsia="en-US"/>
              </w:rPr>
              <w:t>iii</w:t>
            </w:r>
            <w:proofErr w:type="spellEnd"/>
            <w:r w:rsidRPr="0035187E">
              <w:rPr>
                <w:rFonts w:ascii="Times New Roman" w:hAnsi="Times New Roman" w:cs="Times New Roman"/>
                <w:kern w:val="2"/>
                <w:sz w:val="20"/>
                <w:szCs w:val="20"/>
                <w:lang w:eastAsia="en-US"/>
              </w:rPr>
              <w:t xml:space="preserve">) definuje technické předpisy mj. jako požadavky pro výrobky a služby související s daňovými nebo finančními opatřeními ovlivňujícími spotřebu těchto služeb nebo výrobků, přičemž tato kategorie technických předpisů má v notifikační směrnici specifický režim oproti kategoriím ostatních technických předpisů (vyloučení použití čl. 6 notifikační směrnice). Nicméně i na ně dopadá čl. 5 notifikační směrnice (povinnost takový předpis notifikovat Evropské komisi). </w:t>
            </w:r>
          </w:p>
          <w:p w14:paraId="27B67EF1" w14:textId="31C002A2" w:rsidR="000B4BD4" w:rsidRPr="0035187E" w:rsidRDefault="000B4BD4" w:rsidP="0035187E">
            <w:pPr>
              <w:jc w:val="both"/>
              <w:rPr>
                <w:rFonts w:ascii="Times New Roman" w:hAnsi="Times New Roman" w:cs="Times New Roman"/>
                <w:kern w:val="2"/>
                <w:sz w:val="20"/>
                <w:szCs w:val="20"/>
                <w:lang w:eastAsia="en-US"/>
              </w:rPr>
            </w:pPr>
            <w:r w:rsidRPr="0035187E">
              <w:rPr>
                <w:rFonts w:ascii="Times New Roman" w:hAnsi="Times New Roman" w:cs="Times New Roman"/>
                <w:kern w:val="2"/>
                <w:sz w:val="20"/>
                <w:szCs w:val="20"/>
                <w:lang w:eastAsia="en-US"/>
              </w:rPr>
              <w:t xml:space="preserve">Máme za to, že opatření v návrhu zákona lze za tuto kategorii technických předpisů považovat a je tudíž nutné je notifikovat, neboť nelze s jistotou říci, jaký vliv na spotřebu výrobků nebo služeb bude mít přijetí předkládaného zákona. </w:t>
            </w:r>
          </w:p>
          <w:p w14:paraId="1F30AD6F" w14:textId="77777777" w:rsidR="000B4BD4" w:rsidRPr="0035187E" w:rsidRDefault="000B4BD4" w:rsidP="0035187E">
            <w:pPr>
              <w:jc w:val="both"/>
              <w:rPr>
                <w:rFonts w:ascii="Times New Roman" w:hAnsi="Times New Roman" w:cs="Times New Roman"/>
                <w:kern w:val="2"/>
                <w:sz w:val="20"/>
                <w:szCs w:val="20"/>
                <w:lang w:eastAsia="en-US"/>
              </w:rPr>
            </w:pPr>
            <w:r w:rsidRPr="0035187E">
              <w:rPr>
                <w:rFonts w:ascii="Times New Roman" w:hAnsi="Times New Roman" w:cs="Times New Roman"/>
                <w:kern w:val="2"/>
                <w:sz w:val="20"/>
                <w:szCs w:val="20"/>
                <w:lang w:eastAsia="en-US"/>
              </w:rPr>
              <w:t xml:space="preserve">V souvislosti s tím upozorňujeme i na nedávný rozsudek Soudního dvora C-353/24 </w:t>
            </w:r>
            <w:proofErr w:type="spellStart"/>
            <w:r w:rsidRPr="0035187E">
              <w:rPr>
                <w:rFonts w:ascii="Times New Roman" w:hAnsi="Times New Roman" w:cs="Times New Roman"/>
                <w:i/>
                <w:iCs/>
                <w:kern w:val="2"/>
                <w:sz w:val="20"/>
                <w:szCs w:val="20"/>
                <w:lang w:eastAsia="en-US"/>
              </w:rPr>
              <w:t>Europark</w:t>
            </w:r>
            <w:proofErr w:type="spellEnd"/>
            <w:r w:rsidRPr="0035187E">
              <w:rPr>
                <w:rFonts w:ascii="Times New Roman" w:hAnsi="Times New Roman" w:cs="Times New Roman"/>
                <w:i/>
                <w:iCs/>
                <w:kern w:val="2"/>
                <w:sz w:val="20"/>
                <w:szCs w:val="20"/>
                <w:lang w:eastAsia="en-US"/>
              </w:rPr>
              <w:t xml:space="preserve"> </w:t>
            </w:r>
            <w:proofErr w:type="spellStart"/>
            <w:r w:rsidRPr="0035187E">
              <w:rPr>
                <w:rFonts w:ascii="Times New Roman" w:hAnsi="Times New Roman" w:cs="Times New Roman"/>
                <w:i/>
                <w:iCs/>
                <w:kern w:val="2"/>
                <w:sz w:val="20"/>
                <w:szCs w:val="20"/>
                <w:lang w:eastAsia="en-US"/>
              </w:rPr>
              <w:t>Latvia</w:t>
            </w:r>
            <w:proofErr w:type="spellEnd"/>
            <w:r w:rsidRPr="0035187E">
              <w:rPr>
                <w:rFonts w:ascii="Times New Roman" w:hAnsi="Times New Roman" w:cs="Times New Roman"/>
                <w:i/>
                <w:iCs/>
                <w:kern w:val="2"/>
                <w:sz w:val="20"/>
                <w:szCs w:val="20"/>
                <w:lang w:eastAsia="en-US"/>
              </w:rPr>
              <w:t xml:space="preserve"> a </w:t>
            </w:r>
            <w:proofErr w:type="spellStart"/>
            <w:r w:rsidRPr="0035187E">
              <w:rPr>
                <w:rFonts w:ascii="Times New Roman" w:hAnsi="Times New Roman" w:cs="Times New Roman"/>
                <w:i/>
                <w:iCs/>
                <w:kern w:val="2"/>
                <w:sz w:val="20"/>
                <w:szCs w:val="20"/>
                <w:lang w:eastAsia="en-US"/>
              </w:rPr>
              <w:t>Skidata</w:t>
            </w:r>
            <w:proofErr w:type="spellEnd"/>
            <w:r w:rsidRPr="0035187E">
              <w:rPr>
                <w:rFonts w:ascii="Times New Roman" w:hAnsi="Times New Roman" w:cs="Times New Roman"/>
                <w:kern w:val="2"/>
                <w:sz w:val="20"/>
                <w:szCs w:val="20"/>
                <w:lang w:eastAsia="en-US"/>
              </w:rPr>
              <w:t>, který se týkal povinnosti provést technickou notifikaci v případě vnitrostátní právní úpravy, která ukládá poskytovateli služeb odpovědnému za údržbu zařízení pro automatickou platbu povinnost poskytnout subjektu pro posuzování shody těchto zařízení zdrojový kód registrovaného softwaru těchto zařízení. Je nutné i závěry tohoto rozsudku vzít v potaz.</w:t>
            </w:r>
          </w:p>
          <w:p w14:paraId="5C15FE78" w14:textId="4FD173A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kern w:val="2"/>
                <w:sz w:val="20"/>
                <w:szCs w:val="20"/>
                <w:lang w:eastAsia="en-US"/>
              </w:rPr>
              <w:t xml:space="preserve">Tato připomínka je zásadní. </w:t>
            </w:r>
          </w:p>
        </w:tc>
        <w:tc>
          <w:tcPr>
            <w:tcW w:w="1453" w:type="pct"/>
            <w:tcBorders>
              <w:top w:val="single" w:sz="4" w:space="0" w:color="auto"/>
              <w:left w:val="single" w:sz="4" w:space="0" w:color="auto"/>
              <w:right w:val="single" w:sz="4" w:space="0" w:color="auto"/>
            </w:tcBorders>
            <w:shd w:val="clear" w:color="auto" w:fill="auto"/>
          </w:tcPr>
          <w:p w14:paraId="04803AC6" w14:textId="4AAC782A" w:rsidR="000B3E8B" w:rsidRPr="0035187E" w:rsidRDefault="000B3E8B"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Vysvětleno.</w:t>
            </w:r>
          </w:p>
          <w:p w14:paraId="465B6E8F" w14:textId="77777777" w:rsidR="000B3E8B" w:rsidRPr="0035187E" w:rsidRDefault="000B3E8B" w:rsidP="0035187E">
            <w:pPr>
              <w:jc w:val="both"/>
              <w:rPr>
                <w:rFonts w:ascii="Times New Roman" w:hAnsi="Times New Roman" w:cs="Times New Roman"/>
                <w:sz w:val="20"/>
                <w:szCs w:val="20"/>
              </w:rPr>
            </w:pPr>
            <w:r w:rsidRPr="0035187E">
              <w:rPr>
                <w:rFonts w:ascii="Times New Roman" w:hAnsi="Times New Roman" w:cs="Times New Roman"/>
                <w:sz w:val="20"/>
                <w:szCs w:val="20"/>
              </w:rPr>
              <w:t>Notifikovat daný předpis pouze „pro jistotu“ nepovažujeme za efektivní, i s ohledem na další související konsekvence a zbytečné administrativní zatížení.</w:t>
            </w:r>
          </w:p>
          <w:p w14:paraId="5C7EA7AF" w14:textId="05ADCB8C" w:rsidR="000B3E8B" w:rsidRPr="0035187E" w:rsidRDefault="000B3E8B"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Ohledně potřeby technické notifikace se na rozdíl od ÚV, který odkazuje na čl. 1 odst. 1 písm. f bod </w:t>
            </w:r>
            <w:proofErr w:type="spellStart"/>
            <w:r w:rsidRPr="0035187E">
              <w:rPr>
                <w:rFonts w:ascii="Times New Roman" w:hAnsi="Times New Roman" w:cs="Times New Roman"/>
                <w:sz w:val="20"/>
                <w:szCs w:val="20"/>
              </w:rPr>
              <w:t>iii</w:t>
            </w:r>
            <w:proofErr w:type="spellEnd"/>
            <w:r w:rsidRPr="0035187E">
              <w:rPr>
                <w:rFonts w:ascii="Times New Roman" w:hAnsi="Times New Roman" w:cs="Times New Roman"/>
                <w:sz w:val="20"/>
                <w:szCs w:val="20"/>
              </w:rPr>
              <w:t>) dotčené směrnice (technické specifikace nebo jiné požadavky) nedomníváme, že se v případě navrhovaného zákona jedná o technický předpis, který by bylo třeba notifikovat, neboť ze samotného znění tohoto bodu plyne, že navrhovaná opatření by měla ovlivnit spotřebu výrobků nebo služeb tím, že budou vyzývat ke shodě se stanovenými technickými specifikacemi. Z navrhovaného znění však usuzujeme, že stanovení údajů, jež mají být správci daně sdělovány, nemá potenciál jakkoli ovlivnit spotřebu prodávaných výrobků či služeb. Navíc z judikatury SDEU (např. C-658/21, bod 24) vyplývá, že aby opatření spadalo pod pojem „technické specifikace“, musí se toto opatření nutně vztahovat na výrobek nebo jeho obal jako takové, a stanovit tudíž jednu z požadovaných charakteristik výrobku. Stejně tak Soudní dvůr rozhodl (C-353/24, bod 43), že aby mohla být dotčená vnitrostátní opatření kvalifikována jako „jiný požadavek“, musí představovat „podmínky“, které mohou významně ovlivnit složení dotčeného výrobku, jeho charakter nebo jeho uvedení na trh. Nemáme přitom za to, že by návrh zákona v dotčených ustanoveních tyto podmínky naplňoval.</w:t>
            </w:r>
          </w:p>
          <w:p w14:paraId="175F9272" w14:textId="77777777" w:rsidR="000B4BD4" w:rsidRPr="0035187E" w:rsidRDefault="000B3E8B"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Ani rozsudek SDEU ve věci C-353/24 </w:t>
            </w:r>
            <w:proofErr w:type="spellStart"/>
            <w:r w:rsidRPr="0035187E">
              <w:rPr>
                <w:rFonts w:ascii="Times New Roman" w:hAnsi="Times New Roman" w:cs="Times New Roman"/>
                <w:sz w:val="20"/>
                <w:szCs w:val="20"/>
              </w:rPr>
              <w:t>Europark</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Latvia</w:t>
            </w:r>
            <w:proofErr w:type="spellEnd"/>
            <w:r w:rsidRPr="0035187E">
              <w:rPr>
                <w:rFonts w:ascii="Times New Roman" w:hAnsi="Times New Roman" w:cs="Times New Roman"/>
                <w:sz w:val="20"/>
                <w:szCs w:val="20"/>
              </w:rPr>
              <w:t xml:space="preserve"> a </w:t>
            </w:r>
            <w:proofErr w:type="spellStart"/>
            <w:r w:rsidRPr="0035187E">
              <w:rPr>
                <w:rFonts w:ascii="Times New Roman" w:hAnsi="Times New Roman" w:cs="Times New Roman"/>
                <w:sz w:val="20"/>
                <w:szCs w:val="20"/>
              </w:rPr>
              <w:t>Skidata</w:t>
            </w:r>
            <w:proofErr w:type="spellEnd"/>
            <w:r w:rsidRPr="0035187E">
              <w:rPr>
                <w:rFonts w:ascii="Times New Roman" w:hAnsi="Times New Roman" w:cs="Times New Roman"/>
                <w:sz w:val="20"/>
                <w:szCs w:val="20"/>
              </w:rPr>
              <w:t xml:space="preserve">, který zmiňuje ÚV ve své připomínce, nelze na navrhovanou českou úpravu použít, protože v projednávané věci se jednalo o posuzování shody zařízení pro automatickou platbu vyrobeného v jiném členském státě a poskytnutí zdrojového kódu tohoto zařízení subjektu pro posuzování shody pokladen a automatických zařízení. Navrhovaná česká úprava nijak neupravuje </w:t>
            </w:r>
            <w:r w:rsidRPr="0035187E">
              <w:rPr>
                <w:rFonts w:ascii="Times New Roman" w:hAnsi="Times New Roman" w:cs="Times New Roman"/>
                <w:sz w:val="20"/>
                <w:szCs w:val="20"/>
              </w:rPr>
              <w:lastRenderedPageBreak/>
              <w:t>požadavky kladené na zařízení, která by měla požadované údaje schraňovat či odesílat.</w:t>
            </w:r>
          </w:p>
          <w:p w14:paraId="3775E726" w14:textId="77777777" w:rsidR="001A327E" w:rsidRPr="0035187E" w:rsidRDefault="001A327E" w:rsidP="0035187E">
            <w:pPr>
              <w:jc w:val="both"/>
              <w:rPr>
                <w:rFonts w:ascii="Times New Roman" w:hAnsi="Times New Roman" w:cs="Times New Roman"/>
                <w:sz w:val="20"/>
                <w:szCs w:val="20"/>
              </w:rPr>
            </w:pPr>
          </w:p>
          <w:p w14:paraId="52D023F9" w14:textId="3CC61705" w:rsidR="001A327E" w:rsidRPr="0035187E" w:rsidRDefault="006F29EA"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Připomínkové místo není s to se s materiálem v dané lhůtě zevrubně zaobírat nebo dorazit na avizované jednání. Prima facie rozpor ve vypořádání připomínek nespatřuje, ačkoli se kupř. k otázce notifikace návrhu jako technického předpisu nejspíše ještě vrátí v revizním stanovisku.</w:t>
            </w:r>
          </w:p>
        </w:tc>
      </w:tr>
      <w:tr w:rsidR="0035187E" w:rsidRPr="0035187E" w14:paraId="0A4E10B2"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6E40F53" w14:textId="57AC5A6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17.</w:t>
            </w:r>
          </w:p>
        </w:tc>
        <w:tc>
          <w:tcPr>
            <w:tcW w:w="583" w:type="pct"/>
            <w:tcBorders>
              <w:top w:val="single" w:sz="4" w:space="0" w:color="auto"/>
              <w:left w:val="single" w:sz="4" w:space="0" w:color="auto"/>
              <w:right w:val="single" w:sz="4" w:space="0" w:color="auto"/>
            </w:tcBorders>
            <w:shd w:val="clear" w:color="auto" w:fill="auto"/>
          </w:tcPr>
          <w:p w14:paraId="262CCF47" w14:textId="0A160F9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Úřad vlády České </w:t>
            </w:r>
            <w:proofErr w:type="gramStart"/>
            <w:r w:rsidRPr="0035187E">
              <w:rPr>
                <w:rFonts w:ascii="Times New Roman" w:hAnsi="Times New Roman" w:cs="Times New Roman"/>
                <w:sz w:val="20"/>
                <w:szCs w:val="20"/>
              </w:rPr>
              <w:t>republiky - Odbor</w:t>
            </w:r>
            <w:proofErr w:type="gramEnd"/>
            <w:r w:rsidRPr="0035187E">
              <w:rPr>
                <w:rFonts w:ascii="Times New Roman" w:hAnsi="Times New Roman" w:cs="Times New Roman"/>
                <w:sz w:val="20"/>
                <w:szCs w:val="20"/>
              </w:rPr>
              <w:t xml:space="preserve"> kompatibility</w:t>
            </w:r>
          </w:p>
        </w:tc>
        <w:tc>
          <w:tcPr>
            <w:tcW w:w="168" w:type="pct"/>
            <w:tcBorders>
              <w:top w:val="single" w:sz="4" w:space="0" w:color="auto"/>
              <w:left w:val="single" w:sz="4" w:space="0" w:color="auto"/>
              <w:right w:val="single" w:sz="4" w:space="0" w:color="auto"/>
            </w:tcBorders>
            <w:shd w:val="clear" w:color="auto" w:fill="auto"/>
          </w:tcPr>
          <w:p w14:paraId="20188E78" w14:textId="7ECC38A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w:t>
            </w:r>
          </w:p>
        </w:tc>
        <w:tc>
          <w:tcPr>
            <w:tcW w:w="169" w:type="pct"/>
            <w:tcBorders>
              <w:top w:val="single" w:sz="4" w:space="0" w:color="auto"/>
              <w:left w:val="single" w:sz="4" w:space="0" w:color="auto"/>
              <w:right w:val="single" w:sz="4" w:space="0" w:color="auto"/>
            </w:tcBorders>
            <w:shd w:val="clear" w:color="auto" w:fill="auto"/>
          </w:tcPr>
          <w:p w14:paraId="691E437E" w14:textId="7BA6B93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E744A0F" w14:textId="77777777" w:rsidR="000B4BD4" w:rsidRPr="0035187E" w:rsidRDefault="000B4BD4" w:rsidP="0035187E">
            <w:pPr>
              <w:jc w:val="both"/>
              <w:rPr>
                <w:rFonts w:ascii="Times New Roman" w:hAnsi="Times New Roman" w:cs="Times New Roman"/>
                <w:i/>
                <w:kern w:val="2"/>
                <w:sz w:val="20"/>
                <w:szCs w:val="20"/>
                <w:u w:val="single"/>
                <w:lang w:eastAsia="en-US"/>
              </w:rPr>
            </w:pPr>
            <w:r w:rsidRPr="0035187E">
              <w:rPr>
                <w:rFonts w:ascii="Times New Roman" w:hAnsi="Times New Roman" w:cs="Times New Roman"/>
                <w:i/>
                <w:kern w:val="2"/>
                <w:sz w:val="20"/>
                <w:szCs w:val="20"/>
                <w:u w:val="single"/>
                <w:lang w:eastAsia="en-US"/>
              </w:rPr>
              <w:t>Ke srovnávacím tabulkám</w:t>
            </w:r>
          </w:p>
          <w:p w14:paraId="1A74BF2C" w14:textId="77777777" w:rsidR="000B4BD4" w:rsidRPr="0035187E" w:rsidRDefault="000B4BD4" w:rsidP="0035187E">
            <w:pPr>
              <w:jc w:val="both"/>
              <w:rPr>
                <w:rFonts w:ascii="Times New Roman" w:hAnsi="Times New Roman" w:cs="Times New Roman"/>
                <w:kern w:val="2"/>
                <w:sz w:val="20"/>
                <w:szCs w:val="20"/>
                <w:lang w:eastAsia="en-US"/>
              </w:rPr>
            </w:pPr>
          </w:p>
          <w:p w14:paraId="491037ED" w14:textId="4826FAEA"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kern w:val="2"/>
                <w:sz w:val="20"/>
                <w:szCs w:val="20"/>
                <w:lang w:eastAsia="en-US"/>
              </w:rPr>
              <w:t xml:space="preserve">Upozorňujeme na to, že srovnávací tabulky ke směrnici 2006/112/ES a její novele 2009/47/ES byly k návrhu přiloženy, ale nejsou zaneseny v systému ISAP. Nutno napravit.  </w:t>
            </w:r>
          </w:p>
        </w:tc>
        <w:tc>
          <w:tcPr>
            <w:tcW w:w="1453" w:type="pct"/>
            <w:tcBorders>
              <w:top w:val="single" w:sz="4" w:space="0" w:color="auto"/>
              <w:left w:val="single" w:sz="4" w:space="0" w:color="auto"/>
              <w:right w:val="single" w:sz="4" w:space="0" w:color="auto"/>
            </w:tcBorders>
            <w:shd w:val="clear" w:color="auto" w:fill="auto"/>
          </w:tcPr>
          <w:p w14:paraId="4B400AAF"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Vyhověno.</w:t>
            </w:r>
          </w:p>
          <w:p w14:paraId="0E3E624E" w14:textId="6D6D0295"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Tabulky již byly v </w:t>
            </w:r>
            <w:proofErr w:type="spellStart"/>
            <w:r w:rsidRPr="0035187E">
              <w:rPr>
                <w:rFonts w:ascii="Times New Roman" w:hAnsi="Times New Roman" w:cs="Times New Roman"/>
                <w:sz w:val="20"/>
                <w:szCs w:val="20"/>
              </w:rPr>
              <w:t>ISAPu</w:t>
            </w:r>
            <w:proofErr w:type="spellEnd"/>
            <w:r w:rsidRPr="0035187E">
              <w:rPr>
                <w:rFonts w:ascii="Times New Roman" w:hAnsi="Times New Roman" w:cs="Times New Roman"/>
                <w:sz w:val="20"/>
                <w:szCs w:val="20"/>
              </w:rPr>
              <w:t xml:space="preserve"> aktualizovány.</w:t>
            </w:r>
          </w:p>
        </w:tc>
      </w:tr>
      <w:tr w:rsidR="0035187E" w:rsidRPr="0035187E" w14:paraId="3B654A6A"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9048FA9" w14:textId="0B6107B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17.</w:t>
            </w:r>
          </w:p>
        </w:tc>
        <w:tc>
          <w:tcPr>
            <w:tcW w:w="583" w:type="pct"/>
            <w:tcBorders>
              <w:top w:val="single" w:sz="4" w:space="0" w:color="auto"/>
              <w:left w:val="single" w:sz="4" w:space="0" w:color="auto"/>
              <w:right w:val="single" w:sz="4" w:space="0" w:color="auto"/>
            </w:tcBorders>
            <w:shd w:val="clear" w:color="auto" w:fill="auto"/>
          </w:tcPr>
          <w:p w14:paraId="6F083390" w14:textId="24710A7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Úřad vlády České </w:t>
            </w:r>
            <w:proofErr w:type="gramStart"/>
            <w:r w:rsidRPr="0035187E">
              <w:rPr>
                <w:rFonts w:ascii="Times New Roman" w:hAnsi="Times New Roman" w:cs="Times New Roman"/>
                <w:sz w:val="20"/>
                <w:szCs w:val="20"/>
              </w:rPr>
              <w:t>republiky - Odbor</w:t>
            </w:r>
            <w:proofErr w:type="gramEnd"/>
            <w:r w:rsidRPr="0035187E">
              <w:rPr>
                <w:rFonts w:ascii="Times New Roman" w:hAnsi="Times New Roman" w:cs="Times New Roman"/>
                <w:sz w:val="20"/>
                <w:szCs w:val="20"/>
              </w:rPr>
              <w:t xml:space="preserve"> kompatibility</w:t>
            </w:r>
          </w:p>
        </w:tc>
        <w:tc>
          <w:tcPr>
            <w:tcW w:w="168" w:type="pct"/>
            <w:tcBorders>
              <w:top w:val="single" w:sz="4" w:space="0" w:color="auto"/>
              <w:left w:val="single" w:sz="4" w:space="0" w:color="auto"/>
              <w:right w:val="single" w:sz="4" w:space="0" w:color="auto"/>
            </w:tcBorders>
            <w:shd w:val="clear" w:color="auto" w:fill="auto"/>
          </w:tcPr>
          <w:p w14:paraId="28AF0E1B" w14:textId="4508058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3.</w:t>
            </w:r>
          </w:p>
        </w:tc>
        <w:tc>
          <w:tcPr>
            <w:tcW w:w="169" w:type="pct"/>
            <w:tcBorders>
              <w:top w:val="single" w:sz="4" w:space="0" w:color="auto"/>
              <w:left w:val="single" w:sz="4" w:space="0" w:color="auto"/>
              <w:right w:val="single" w:sz="4" w:space="0" w:color="auto"/>
            </w:tcBorders>
            <w:shd w:val="clear" w:color="auto" w:fill="auto"/>
          </w:tcPr>
          <w:p w14:paraId="5EBCDFC6" w14:textId="5FC86C9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FDEF318" w14:textId="77777777" w:rsidR="000B4BD4" w:rsidRPr="0035187E" w:rsidRDefault="000B4BD4" w:rsidP="0035187E">
            <w:pPr>
              <w:jc w:val="both"/>
              <w:rPr>
                <w:rFonts w:ascii="Times New Roman" w:hAnsi="Times New Roman" w:cs="Times New Roman"/>
                <w:b/>
                <w:bCs/>
                <w:kern w:val="2"/>
                <w:sz w:val="20"/>
                <w:szCs w:val="20"/>
                <w:u w:val="single"/>
                <w:lang w:eastAsia="en-US"/>
              </w:rPr>
            </w:pPr>
            <w:r w:rsidRPr="0035187E">
              <w:rPr>
                <w:rFonts w:ascii="Times New Roman" w:hAnsi="Times New Roman" w:cs="Times New Roman"/>
                <w:b/>
                <w:bCs/>
                <w:kern w:val="2"/>
                <w:sz w:val="20"/>
                <w:szCs w:val="20"/>
                <w:u w:val="single"/>
                <w:lang w:eastAsia="en-US"/>
              </w:rPr>
              <w:t>Po stránce materiální:</w:t>
            </w:r>
          </w:p>
          <w:p w14:paraId="4856DADD" w14:textId="77777777" w:rsidR="000B4BD4" w:rsidRPr="0035187E" w:rsidRDefault="000B4BD4" w:rsidP="0035187E">
            <w:pPr>
              <w:jc w:val="both"/>
              <w:rPr>
                <w:rFonts w:ascii="Times New Roman" w:hAnsi="Times New Roman" w:cs="Times New Roman"/>
                <w:b/>
                <w:bCs/>
                <w:kern w:val="2"/>
                <w:sz w:val="20"/>
                <w:szCs w:val="20"/>
                <w:lang w:eastAsia="en-US"/>
              </w:rPr>
            </w:pPr>
          </w:p>
          <w:p w14:paraId="77209AFC" w14:textId="0BD6BE80" w:rsidR="000B4BD4" w:rsidRPr="0035187E" w:rsidRDefault="000B4BD4" w:rsidP="0035187E">
            <w:pPr>
              <w:jc w:val="both"/>
              <w:rPr>
                <w:rFonts w:ascii="Times New Roman" w:hAnsi="Times New Roman" w:cs="Times New Roman"/>
                <w:bCs/>
                <w:kern w:val="2"/>
                <w:sz w:val="20"/>
                <w:szCs w:val="20"/>
                <w:lang w:eastAsia="en-US"/>
              </w:rPr>
            </w:pPr>
            <w:r w:rsidRPr="0035187E">
              <w:rPr>
                <w:rFonts w:ascii="Times New Roman" w:hAnsi="Times New Roman" w:cs="Times New Roman"/>
                <w:b/>
                <w:bCs/>
                <w:kern w:val="2"/>
                <w:sz w:val="20"/>
                <w:szCs w:val="20"/>
                <w:lang w:eastAsia="en-US"/>
              </w:rPr>
              <w:t>Stav relevantní právní úpravy v právu EU:</w:t>
            </w:r>
            <w:r w:rsidRPr="0035187E">
              <w:rPr>
                <w:rFonts w:ascii="Times New Roman" w:hAnsi="Times New Roman" w:cs="Times New Roman"/>
                <w:bCs/>
                <w:kern w:val="2"/>
                <w:sz w:val="20"/>
                <w:szCs w:val="20"/>
                <w:lang w:eastAsia="en-US"/>
              </w:rPr>
              <w:t xml:space="preserve"> </w:t>
            </w:r>
          </w:p>
          <w:p w14:paraId="5EB7DF4C" w14:textId="77777777" w:rsidR="000B4BD4" w:rsidRPr="0035187E" w:rsidRDefault="000B4BD4" w:rsidP="0035187E">
            <w:pPr>
              <w:jc w:val="both"/>
              <w:rPr>
                <w:rFonts w:ascii="Times New Roman" w:hAnsi="Times New Roman" w:cs="Times New Roman"/>
                <w:kern w:val="2"/>
                <w:sz w:val="20"/>
                <w:szCs w:val="20"/>
                <w:lang w:eastAsia="en-US"/>
              </w:rPr>
            </w:pPr>
          </w:p>
          <w:p w14:paraId="38E6A963" w14:textId="47172A20" w:rsidR="000B4BD4" w:rsidRPr="0035187E" w:rsidRDefault="000B4BD4" w:rsidP="0035187E">
            <w:pPr>
              <w:jc w:val="both"/>
              <w:rPr>
                <w:rFonts w:ascii="Times New Roman" w:hAnsi="Times New Roman" w:cs="Times New Roman"/>
                <w:kern w:val="2"/>
                <w:sz w:val="20"/>
                <w:szCs w:val="20"/>
                <w:lang w:eastAsia="en-US"/>
              </w:rPr>
            </w:pPr>
            <w:r w:rsidRPr="0035187E">
              <w:rPr>
                <w:rFonts w:ascii="Times New Roman" w:hAnsi="Times New Roman" w:cs="Times New Roman"/>
                <w:kern w:val="2"/>
                <w:sz w:val="20"/>
                <w:szCs w:val="20"/>
                <w:lang w:eastAsia="en-US"/>
              </w:rPr>
              <w:t>Návrhem dochází k</w:t>
            </w:r>
            <w:r w:rsidRPr="0035187E">
              <w:rPr>
                <w:rFonts w:ascii="Times New Roman" w:hAnsi="Times New Roman" w:cs="Times New Roman"/>
                <w:b/>
                <w:bCs/>
                <w:kern w:val="2"/>
                <w:sz w:val="20"/>
                <w:szCs w:val="20"/>
                <w:lang w:eastAsia="en-US"/>
              </w:rPr>
              <w:t> </w:t>
            </w:r>
            <w:r w:rsidRPr="0035187E">
              <w:rPr>
                <w:rFonts w:ascii="Times New Roman" w:hAnsi="Times New Roman" w:cs="Times New Roman"/>
                <w:kern w:val="2"/>
                <w:sz w:val="20"/>
                <w:szCs w:val="20"/>
                <w:lang w:eastAsia="en-US"/>
              </w:rPr>
              <w:t xml:space="preserve">částečné </w:t>
            </w:r>
            <w:proofErr w:type="spellStart"/>
            <w:r w:rsidRPr="0035187E">
              <w:rPr>
                <w:rFonts w:ascii="Times New Roman" w:hAnsi="Times New Roman" w:cs="Times New Roman"/>
                <w:kern w:val="2"/>
                <w:sz w:val="20"/>
                <w:szCs w:val="20"/>
                <w:lang w:eastAsia="en-US"/>
              </w:rPr>
              <w:t>retranspozici</w:t>
            </w:r>
            <w:proofErr w:type="spellEnd"/>
            <w:r w:rsidRPr="0035187E">
              <w:rPr>
                <w:rFonts w:ascii="Times New Roman" w:hAnsi="Times New Roman" w:cs="Times New Roman"/>
                <w:b/>
                <w:bCs/>
                <w:kern w:val="2"/>
                <w:sz w:val="20"/>
                <w:szCs w:val="20"/>
                <w:lang w:eastAsia="en-US"/>
              </w:rPr>
              <w:t xml:space="preserve"> směrnice Rady 2006/112/ES</w:t>
            </w:r>
            <w:r w:rsidRPr="0035187E">
              <w:rPr>
                <w:rFonts w:ascii="Times New Roman" w:hAnsi="Times New Roman" w:cs="Times New Roman"/>
                <w:kern w:val="2"/>
                <w:sz w:val="20"/>
                <w:szCs w:val="20"/>
                <w:lang w:eastAsia="en-US"/>
              </w:rPr>
              <w:t xml:space="preserve"> ze dne 28. listopadu 2006 o společném systému daně z přidané hodnoty, v konsolidovaném znění. Konkrétně čl. 90, čl. 185 a přílohy III bodu </w:t>
            </w:r>
            <w:proofErr w:type="gramStart"/>
            <w:r w:rsidRPr="0035187E">
              <w:rPr>
                <w:rFonts w:ascii="Times New Roman" w:hAnsi="Times New Roman" w:cs="Times New Roman"/>
                <w:kern w:val="2"/>
                <w:sz w:val="20"/>
                <w:szCs w:val="20"/>
                <w:lang w:eastAsia="en-US"/>
              </w:rPr>
              <w:t>12a</w:t>
            </w:r>
            <w:proofErr w:type="gramEnd"/>
            <w:r w:rsidRPr="0035187E">
              <w:rPr>
                <w:rFonts w:ascii="Times New Roman" w:hAnsi="Times New Roman" w:cs="Times New Roman"/>
                <w:kern w:val="2"/>
                <w:sz w:val="20"/>
                <w:szCs w:val="20"/>
                <w:lang w:eastAsia="en-US"/>
              </w:rPr>
              <w:t xml:space="preserve">) směrnice. </w:t>
            </w:r>
          </w:p>
          <w:p w14:paraId="03FD0DEA" w14:textId="77777777" w:rsidR="000B4BD4" w:rsidRPr="0035187E" w:rsidRDefault="000B4BD4" w:rsidP="0035187E">
            <w:pPr>
              <w:jc w:val="both"/>
              <w:rPr>
                <w:rFonts w:ascii="Times New Roman" w:hAnsi="Times New Roman" w:cs="Times New Roman"/>
                <w:kern w:val="2"/>
                <w:sz w:val="20"/>
                <w:szCs w:val="20"/>
                <w:lang w:eastAsia="en-US"/>
              </w:rPr>
            </w:pPr>
            <w:r w:rsidRPr="0035187E">
              <w:rPr>
                <w:rFonts w:ascii="Times New Roman" w:hAnsi="Times New Roman" w:cs="Times New Roman"/>
                <w:kern w:val="2"/>
                <w:sz w:val="20"/>
                <w:szCs w:val="20"/>
                <w:lang w:eastAsia="en-US"/>
              </w:rPr>
              <w:t>Výklad čl. 90 směrnice, který je velmi obecný a týká se problematiky snížení základu daně v případě tzv. nedobytných pohledávek, je poměrně hojně judikován Soudním dvorem Evropské unie (SDEU). Namátkou lze zmínit např.  C-337/13 (</w:t>
            </w:r>
            <w:proofErr w:type="spellStart"/>
            <w:r w:rsidRPr="0035187E">
              <w:rPr>
                <w:rFonts w:ascii="Times New Roman" w:hAnsi="Times New Roman" w:cs="Times New Roman"/>
                <w:kern w:val="2"/>
                <w:sz w:val="20"/>
                <w:szCs w:val="20"/>
                <w:lang w:eastAsia="en-US"/>
              </w:rPr>
              <w:t>Almos</w:t>
            </w:r>
            <w:proofErr w:type="spellEnd"/>
            <w:r w:rsidRPr="0035187E">
              <w:rPr>
                <w:rFonts w:ascii="Times New Roman" w:hAnsi="Times New Roman" w:cs="Times New Roman"/>
                <w:kern w:val="2"/>
                <w:sz w:val="20"/>
                <w:szCs w:val="20"/>
                <w:lang w:eastAsia="en-US"/>
              </w:rPr>
              <w:t xml:space="preserve">), C-246/16 (Enzo Di Maura), C-127/18 (A-PACK CZ), C-335/19 (E. </w:t>
            </w:r>
            <w:proofErr w:type="spellStart"/>
            <w:r w:rsidRPr="0035187E">
              <w:rPr>
                <w:rFonts w:ascii="Times New Roman" w:hAnsi="Times New Roman" w:cs="Times New Roman"/>
                <w:kern w:val="2"/>
                <w:sz w:val="20"/>
                <w:szCs w:val="20"/>
                <w:lang w:eastAsia="en-US"/>
              </w:rPr>
              <w:t>Spzoo</w:t>
            </w:r>
            <w:proofErr w:type="spellEnd"/>
            <w:r w:rsidRPr="0035187E">
              <w:rPr>
                <w:rFonts w:ascii="Times New Roman" w:hAnsi="Times New Roman" w:cs="Times New Roman"/>
                <w:kern w:val="2"/>
                <w:sz w:val="20"/>
                <w:szCs w:val="20"/>
                <w:lang w:eastAsia="en-US"/>
              </w:rPr>
              <w:t xml:space="preserve">) či C-398/20 (ELVOSPOL).  Judikatura SDEU dlouhodobě a konzistentně poukazuje na skutečnost, že národní úprava členských států nesmí odporovat zásadám daňové neutrality, navržená opatření musí být proporcionální, nesmí být příliš formalistická a musí odrážet ekonomickou realitu. </w:t>
            </w:r>
          </w:p>
          <w:p w14:paraId="1E0B8068" w14:textId="4EFE4000" w:rsidR="000B4BD4" w:rsidRPr="0035187E" w:rsidRDefault="000B4BD4" w:rsidP="0035187E">
            <w:pPr>
              <w:jc w:val="both"/>
              <w:rPr>
                <w:rFonts w:ascii="Times New Roman" w:hAnsi="Times New Roman" w:cs="Times New Roman"/>
                <w:bCs/>
                <w:kern w:val="2"/>
                <w:sz w:val="20"/>
                <w:szCs w:val="20"/>
                <w:lang w:eastAsia="en-US"/>
              </w:rPr>
            </w:pPr>
            <w:r w:rsidRPr="0035187E">
              <w:rPr>
                <w:rFonts w:ascii="Times New Roman" w:hAnsi="Times New Roman" w:cs="Times New Roman"/>
                <w:bCs/>
                <w:kern w:val="2"/>
                <w:sz w:val="20"/>
                <w:szCs w:val="20"/>
                <w:lang w:eastAsia="en-US"/>
              </w:rPr>
              <w:t xml:space="preserve">Předmětu navrhované úpravy se šířeji dotýkají zejm. </w:t>
            </w:r>
            <w:r w:rsidRPr="0035187E">
              <w:rPr>
                <w:rFonts w:ascii="Times New Roman" w:hAnsi="Times New Roman" w:cs="Times New Roman"/>
                <w:b/>
                <w:kern w:val="2"/>
                <w:sz w:val="20"/>
                <w:szCs w:val="20"/>
                <w:lang w:eastAsia="en-US"/>
              </w:rPr>
              <w:t>čl. 34 a násl. Smlouvy o fungování Evropské unie</w:t>
            </w:r>
            <w:r w:rsidRPr="0035187E">
              <w:rPr>
                <w:rFonts w:ascii="Times New Roman" w:hAnsi="Times New Roman" w:cs="Times New Roman"/>
                <w:bCs/>
                <w:kern w:val="2"/>
                <w:sz w:val="20"/>
                <w:szCs w:val="20"/>
                <w:lang w:eastAsia="en-US"/>
              </w:rPr>
              <w:t xml:space="preserve"> upravující volný pohyb zboží </w:t>
            </w:r>
            <w:r w:rsidRPr="0035187E">
              <w:rPr>
                <w:rFonts w:ascii="Times New Roman" w:hAnsi="Times New Roman" w:cs="Times New Roman"/>
                <w:b/>
                <w:kern w:val="2"/>
                <w:sz w:val="20"/>
                <w:szCs w:val="20"/>
                <w:lang w:eastAsia="en-US"/>
              </w:rPr>
              <w:t>a čl. 56 a násl. Smlouvy o fungování Evropské unie</w:t>
            </w:r>
            <w:r w:rsidRPr="0035187E">
              <w:rPr>
                <w:rFonts w:ascii="Times New Roman" w:hAnsi="Times New Roman" w:cs="Times New Roman"/>
                <w:bCs/>
                <w:kern w:val="2"/>
                <w:sz w:val="20"/>
                <w:szCs w:val="20"/>
                <w:lang w:eastAsia="en-US"/>
              </w:rPr>
              <w:t xml:space="preserve"> upravující volný pohyb služeb.</w:t>
            </w:r>
          </w:p>
          <w:p w14:paraId="3A49EAAD" w14:textId="503092D2" w:rsidR="000B4BD4" w:rsidRPr="0035187E" w:rsidRDefault="000B4BD4" w:rsidP="0035187E">
            <w:pPr>
              <w:jc w:val="both"/>
              <w:rPr>
                <w:rFonts w:ascii="Times New Roman" w:hAnsi="Times New Roman" w:cs="Times New Roman"/>
                <w:bCs/>
                <w:kern w:val="2"/>
                <w:sz w:val="20"/>
                <w:szCs w:val="20"/>
                <w:lang w:eastAsia="en-US"/>
              </w:rPr>
            </w:pPr>
            <w:r w:rsidRPr="0035187E">
              <w:rPr>
                <w:rFonts w:ascii="Times New Roman" w:hAnsi="Times New Roman" w:cs="Times New Roman"/>
                <w:bCs/>
                <w:kern w:val="2"/>
                <w:sz w:val="20"/>
                <w:szCs w:val="20"/>
                <w:lang w:eastAsia="en-US"/>
              </w:rPr>
              <w:t xml:space="preserve">Problematika ochrany osobních údajů je upravena </w:t>
            </w:r>
            <w:r w:rsidRPr="0035187E">
              <w:rPr>
                <w:rFonts w:ascii="Times New Roman" w:hAnsi="Times New Roman" w:cs="Times New Roman"/>
                <w:b/>
                <w:kern w:val="2"/>
                <w:sz w:val="20"/>
                <w:szCs w:val="20"/>
                <w:lang w:eastAsia="en-US"/>
              </w:rPr>
              <w:t>nařízením Evropského parlamentu a Rady (EU) 2016/679</w:t>
            </w:r>
            <w:r w:rsidRPr="0035187E">
              <w:rPr>
                <w:rFonts w:ascii="Times New Roman" w:hAnsi="Times New Roman" w:cs="Times New Roman"/>
                <w:bCs/>
                <w:kern w:val="2"/>
                <w:sz w:val="20"/>
                <w:szCs w:val="20"/>
                <w:lang w:eastAsia="en-US"/>
              </w:rPr>
              <w:t xml:space="preserve"> ze dne 27. dubna 2016 o ochraně fyzických osob </w:t>
            </w:r>
            <w:r w:rsidRPr="0035187E">
              <w:rPr>
                <w:rFonts w:ascii="Times New Roman" w:hAnsi="Times New Roman" w:cs="Times New Roman"/>
                <w:kern w:val="2"/>
                <w:sz w:val="20"/>
                <w:szCs w:val="20"/>
                <w:lang w:eastAsia="en-US"/>
              </w:rPr>
              <w:t>v souvislosti</w:t>
            </w:r>
            <w:r w:rsidRPr="0035187E">
              <w:rPr>
                <w:rFonts w:ascii="Times New Roman" w:hAnsi="Times New Roman" w:cs="Times New Roman"/>
                <w:bCs/>
                <w:kern w:val="2"/>
                <w:sz w:val="20"/>
                <w:szCs w:val="20"/>
                <w:lang w:eastAsia="en-US"/>
              </w:rPr>
              <w:t xml:space="preserve"> se zpracováním osobních údajů a o volném pohybu těchto údajů a o zrušení směrnice 95/46/ES</w:t>
            </w:r>
            <w:r w:rsidRPr="0035187E">
              <w:rPr>
                <w:rFonts w:ascii="Times New Roman" w:hAnsi="Times New Roman" w:cs="Times New Roman"/>
                <w:kern w:val="2"/>
                <w:sz w:val="20"/>
                <w:szCs w:val="20"/>
                <w:lang w:eastAsia="en-US"/>
              </w:rPr>
              <w:t xml:space="preserve"> (dále jen „GDPR“). </w:t>
            </w:r>
          </w:p>
          <w:p w14:paraId="0EE19117" w14:textId="51F0255F"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kern w:val="2"/>
                <w:sz w:val="20"/>
                <w:szCs w:val="20"/>
                <w:lang w:eastAsia="en-US"/>
              </w:rPr>
              <w:t xml:space="preserve">Návrhu zákona se dále dle připomínky uvedené výše dotýká také </w:t>
            </w:r>
            <w:r w:rsidRPr="0035187E">
              <w:rPr>
                <w:rFonts w:ascii="Times New Roman" w:hAnsi="Times New Roman" w:cs="Times New Roman"/>
                <w:b/>
                <w:bCs/>
                <w:kern w:val="2"/>
                <w:sz w:val="20"/>
                <w:szCs w:val="20"/>
                <w:lang w:eastAsia="en-US"/>
              </w:rPr>
              <w:t>směrnice Evropského parlamentu a Rady (EU) 2015/1535</w:t>
            </w:r>
            <w:r w:rsidRPr="0035187E">
              <w:rPr>
                <w:rFonts w:ascii="Times New Roman" w:hAnsi="Times New Roman" w:cs="Times New Roman"/>
                <w:kern w:val="2"/>
                <w:sz w:val="20"/>
                <w:szCs w:val="20"/>
                <w:lang w:eastAsia="en-US"/>
              </w:rPr>
              <w:t xml:space="preserve"> ze dne 9. září 2015 o postupu při poskytování informací v oblasti technických předpisů a předpisů pro služby informační společnosti (kodifikované znění).</w:t>
            </w:r>
          </w:p>
        </w:tc>
        <w:tc>
          <w:tcPr>
            <w:tcW w:w="1453" w:type="pct"/>
            <w:tcBorders>
              <w:top w:val="single" w:sz="4" w:space="0" w:color="auto"/>
              <w:left w:val="single" w:sz="4" w:space="0" w:color="auto"/>
              <w:right w:val="single" w:sz="4" w:space="0" w:color="auto"/>
            </w:tcBorders>
            <w:shd w:val="clear" w:color="auto" w:fill="auto"/>
          </w:tcPr>
          <w:p w14:paraId="7E87D0E1" w14:textId="6828D554"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Bere se na vědomí.</w:t>
            </w:r>
          </w:p>
        </w:tc>
      </w:tr>
      <w:tr w:rsidR="0035187E" w:rsidRPr="0035187E" w14:paraId="020C4827"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8F7BDA3" w14:textId="1FAB1FB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17.</w:t>
            </w:r>
          </w:p>
        </w:tc>
        <w:tc>
          <w:tcPr>
            <w:tcW w:w="583" w:type="pct"/>
            <w:tcBorders>
              <w:top w:val="single" w:sz="4" w:space="0" w:color="auto"/>
              <w:left w:val="single" w:sz="4" w:space="0" w:color="auto"/>
              <w:right w:val="single" w:sz="4" w:space="0" w:color="auto"/>
            </w:tcBorders>
            <w:shd w:val="clear" w:color="auto" w:fill="auto"/>
          </w:tcPr>
          <w:p w14:paraId="1332FA52" w14:textId="02EBA67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Úřad vlády České </w:t>
            </w:r>
            <w:proofErr w:type="gramStart"/>
            <w:r w:rsidRPr="0035187E">
              <w:rPr>
                <w:rFonts w:ascii="Times New Roman" w:hAnsi="Times New Roman" w:cs="Times New Roman"/>
                <w:sz w:val="20"/>
                <w:szCs w:val="20"/>
              </w:rPr>
              <w:t>republiky - Odbor</w:t>
            </w:r>
            <w:proofErr w:type="gramEnd"/>
            <w:r w:rsidRPr="0035187E">
              <w:rPr>
                <w:rFonts w:ascii="Times New Roman" w:hAnsi="Times New Roman" w:cs="Times New Roman"/>
                <w:sz w:val="20"/>
                <w:szCs w:val="20"/>
              </w:rPr>
              <w:t xml:space="preserve"> kompatibility</w:t>
            </w:r>
          </w:p>
        </w:tc>
        <w:tc>
          <w:tcPr>
            <w:tcW w:w="168" w:type="pct"/>
            <w:tcBorders>
              <w:top w:val="single" w:sz="4" w:space="0" w:color="auto"/>
              <w:left w:val="single" w:sz="4" w:space="0" w:color="auto"/>
              <w:right w:val="single" w:sz="4" w:space="0" w:color="auto"/>
            </w:tcBorders>
            <w:shd w:val="clear" w:color="auto" w:fill="auto"/>
          </w:tcPr>
          <w:p w14:paraId="25B9E90B" w14:textId="6297385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w:t>
            </w:r>
          </w:p>
        </w:tc>
        <w:tc>
          <w:tcPr>
            <w:tcW w:w="169" w:type="pct"/>
            <w:tcBorders>
              <w:top w:val="single" w:sz="4" w:space="0" w:color="auto"/>
              <w:left w:val="single" w:sz="4" w:space="0" w:color="auto"/>
              <w:right w:val="single" w:sz="4" w:space="0" w:color="auto"/>
            </w:tcBorders>
            <w:shd w:val="clear" w:color="auto" w:fill="auto"/>
          </w:tcPr>
          <w:p w14:paraId="682E08E2" w14:textId="5E5910B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C42B5CD" w14:textId="77777777" w:rsidR="000B4BD4" w:rsidRPr="0035187E" w:rsidRDefault="000B4BD4" w:rsidP="0035187E">
            <w:pPr>
              <w:jc w:val="both"/>
              <w:rPr>
                <w:rFonts w:ascii="Times New Roman" w:hAnsi="Times New Roman" w:cs="Times New Roman"/>
                <w:b/>
                <w:bCs/>
                <w:kern w:val="2"/>
                <w:sz w:val="20"/>
                <w:szCs w:val="20"/>
                <w:lang w:eastAsia="en-US"/>
              </w:rPr>
            </w:pPr>
            <w:r w:rsidRPr="0035187E">
              <w:rPr>
                <w:rFonts w:ascii="Times New Roman" w:hAnsi="Times New Roman" w:cs="Times New Roman"/>
                <w:b/>
                <w:bCs/>
                <w:kern w:val="2"/>
                <w:sz w:val="20"/>
                <w:szCs w:val="20"/>
                <w:lang w:eastAsia="en-US"/>
              </w:rPr>
              <w:t>Připomínky a případné návrhy změn:</w:t>
            </w:r>
          </w:p>
          <w:p w14:paraId="1B175032" w14:textId="77777777" w:rsidR="000B4BD4" w:rsidRPr="0035187E" w:rsidRDefault="000B4BD4" w:rsidP="0035187E">
            <w:pPr>
              <w:jc w:val="both"/>
              <w:rPr>
                <w:rFonts w:ascii="Times New Roman" w:hAnsi="Times New Roman" w:cs="Times New Roman"/>
                <w:bCs/>
                <w:kern w:val="2"/>
                <w:sz w:val="20"/>
                <w:szCs w:val="20"/>
                <w:u w:val="single"/>
                <w:lang w:eastAsia="en-US"/>
              </w:rPr>
            </w:pPr>
          </w:p>
          <w:p w14:paraId="16455497" w14:textId="344A226C" w:rsidR="000B4BD4" w:rsidRPr="0035187E" w:rsidRDefault="000B4BD4" w:rsidP="0035187E">
            <w:pPr>
              <w:jc w:val="both"/>
              <w:rPr>
                <w:rFonts w:ascii="Times New Roman" w:hAnsi="Times New Roman" w:cs="Times New Roman"/>
                <w:bCs/>
                <w:kern w:val="2"/>
                <w:sz w:val="20"/>
                <w:szCs w:val="20"/>
                <w:u w:val="single"/>
                <w:lang w:eastAsia="en-US"/>
              </w:rPr>
            </w:pPr>
            <w:r w:rsidRPr="0035187E">
              <w:rPr>
                <w:rFonts w:ascii="Times New Roman" w:hAnsi="Times New Roman" w:cs="Times New Roman"/>
                <w:bCs/>
                <w:kern w:val="2"/>
                <w:sz w:val="20"/>
                <w:szCs w:val="20"/>
                <w:u w:val="single"/>
                <w:lang w:eastAsia="en-US"/>
              </w:rPr>
              <w:t>K části první, hlavě II, § 6 odst. 1 písm. b):</w:t>
            </w:r>
          </w:p>
          <w:p w14:paraId="4917C7A7" w14:textId="0D7BE14C"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kern w:val="2"/>
                <w:sz w:val="20"/>
                <w:szCs w:val="20"/>
                <w:lang w:eastAsia="en-US"/>
              </w:rPr>
              <w:lastRenderedPageBreak/>
              <w:t>Navrhuje se sledovat také bezhotovostní platby. Jak si je předkladatel vědom, obdobná úprava byla v původním zákoně o evidenci tržeb zrušena nálezem Ústavního soudu</w:t>
            </w:r>
            <w:r w:rsidRPr="0035187E">
              <w:rPr>
                <w:rFonts w:ascii="Times New Roman" w:hAnsi="Times New Roman" w:cs="Times New Roman"/>
                <w:kern w:val="2"/>
                <w:sz w:val="20"/>
                <w:szCs w:val="20"/>
                <w:vertAlign w:val="superscript"/>
                <w:lang w:eastAsia="en-US"/>
              </w:rPr>
              <w:footnoteReference w:id="1"/>
            </w:r>
            <w:r w:rsidRPr="0035187E">
              <w:rPr>
                <w:rFonts w:ascii="Times New Roman" w:hAnsi="Times New Roman" w:cs="Times New Roman"/>
                <w:kern w:val="2"/>
                <w:sz w:val="20"/>
                <w:szCs w:val="20"/>
                <w:lang w:eastAsia="en-US"/>
              </w:rPr>
              <w:t>. Nyní je dle vyjádření předkladatele v materiálu zřejmě situace částečně odlišná díky novým technologickým možnostem, a i důvodová zpráva v tomto ohledu obsahuje širší pasáž věnující se zhodnocení navrhované úpravy z hlediska splnění požadavků testu proporcionality (str. 17 a n.)</w:t>
            </w:r>
            <w:r w:rsidRPr="0035187E">
              <w:rPr>
                <w:rFonts w:ascii="Times New Roman" w:hAnsi="Times New Roman" w:cs="Times New Roman"/>
                <w:bCs/>
                <w:kern w:val="2"/>
                <w:sz w:val="20"/>
                <w:szCs w:val="20"/>
                <w:lang w:eastAsia="en-US"/>
              </w:rPr>
              <w:t xml:space="preserve">. </w:t>
            </w:r>
            <w:r w:rsidRPr="0035187E">
              <w:rPr>
                <w:rFonts w:ascii="Times New Roman" w:hAnsi="Times New Roman" w:cs="Times New Roman"/>
                <w:kern w:val="2"/>
                <w:sz w:val="20"/>
                <w:szCs w:val="20"/>
                <w:lang w:eastAsia="en-US"/>
              </w:rPr>
              <w:t xml:space="preserve">Přesto upozorňujeme, že navržené řešení bude s vysokou pravděpodobností opět podrobeno soudnímu přezkumu a bude potřeba prokázat, že navrhovaný způsob řešení je dostatečně proporcionální. Nicméně, vzhledem k tomu, že aktuálně navrhovaná úprava </w:t>
            </w:r>
            <w:proofErr w:type="gramStart"/>
            <w:r w:rsidRPr="0035187E">
              <w:rPr>
                <w:rFonts w:ascii="Times New Roman" w:hAnsi="Times New Roman" w:cs="Times New Roman"/>
                <w:kern w:val="2"/>
                <w:sz w:val="20"/>
                <w:szCs w:val="20"/>
                <w:lang w:eastAsia="en-US"/>
              </w:rPr>
              <w:t>nezasahuje - oproti</w:t>
            </w:r>
            <w:proofErr w:type="gramEnd"/>
            <w:r w:rsidRPr="0035187E">
              <w:rPr>
                <w:rFonts w:ascii="Times New Roman" w:hAnsi="Times New Roman" w:cs="Times New Roman"/>
                <w:kern w:val="2"/>
                <w:sz w:val="20"/>
                <w:szCs w:val="20"/>
                <w:lang w:eastAsia="en-US"/>
              </w:rPr>
              <w:t xml:space="preserve"> původnímu zákonu o elektronické evidenci tržeb - výrazněji do práv malých a středních podnikatelů, nespatřujeme v</w:t>
            </w:r>
            <w:r w:rsidRPr="0035187E">
              <w:rPr>
                <w:rFonts w:ascii="Times New Roman" w:hAnsi="Times New Roman" w:cs="Times New Roman"/>
                <w:bCs/>
                <w:kern w:val="2"/>
                <w:sz w:val="20"/>
                <w:szCs w:val="20"/>
                <w:lang w:eastAsia="en-US"/>
              </w:rPr>
              <w:t> </w:t>
            </w:r>
            <w:r w:rsidRPr="0035187E">
              <w:rPr>
                <w:rFonts w:ascii="Times New Roman" w:hAnsi="Times New Roman" w:cs="Times New Roman"/>
                <w:kern w:val="2"/>
                <w:sz w:val="20"/>
                <w:szCs w:val="20"/>
                <w:lang w:eastAsia="en-US"/>
              </w:rPr>
              <w:t>navrhovaném ustanovení</w:t>
            </w:r>
            <w:r w:rsidRPr="0035187E">
              <w:rPr>
                <w:rFonts w:ascii="Times New Roman" w:hAnsi="Times New Roman" w:cs="Times New Roman"/>
                <w:bCs/>
                <w:kern w:val="2"/>
                <w:sz w:val="20"/>
                <w:szCs w:val="20"/>
                <w:lang w:eastAsia="en-US"/>
              </w:rPr>
              <w:t xml:space="preserve"> </w:t>
            </w:r>
            <w:r w:rsidRPr="0035187E">
              <w:rPr>
                <w:rFonts w:ascii="Times New Roman" w:hAnsi="Times New Roman" w:cs="Times New Roman"/>
                <w:kern w:val="2"/>
                <w:sz w:val="20"/>
                <w:szCs w:val="20"/>
                <w:lang w:eastAsia="en-US"/>
              </w:rPr>
              <w:t>z hlediska slučitelnosti s právem EU konflikt.</w:t>
            </w:r>
          </w:p>
        </w:tc>
        <w:tc>
          <w:tcPr>
            <w:tcW w:w="1453" w:type="pct"/>
            <w:tcBorders>
              <w:top w:val="single" w:sz="4" w:space="0" w:color="auto"/>
              <w:left w:val="single" w:sz="4" w:space="0" w:color="auto"/>
              <w:right w:val="single" w:sz="4" w:space="0" w:color="auto"/>
            </w:tcBorders>
            <w:shd w:val="clear" w:color="auto" w:fill="auto"/>
          </w:tcPr>
          <w:p w14:paraId="30532DAE" w14:textId="4AA00D1C"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Bere se na vědomí.</w:t>
            </w:r>
          </w:p>
        </w:tc>
      </w:tr>
      <w:tr w:rsidR="0035187E" w:rsidRPr="0035187E" w14:paraId="12ABFF79"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C38AEC6" w14:textId="255CE81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17.</w:t>
            </w:r>
          </w:p>
        </w:tc>
        <w:tc>
          <w:tcPr>
            <w:tcW w:w="583" w:type="pct"/>
            <w:tcBorders>
              <w:top w:val="single" w:sz="4" w:space="0" w:color="auto"/>
              <w:left w:val="single" w:sz="4" w:space="0" w:color="auto"/>
              <w:right w:val="single" w:sz="4" w:space="0" w:color="auto"/>
            </w:tcBorders>
            <w:shd w:val="clear" w:color="auto" w:fill="auto"/>
          </w:tcPr>
          <w:p w14:paraId="1595BB06" w14:textId="783F6B5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Úřad vlády České </w:t>
            </w:r>
            <w:proofErr w:type="gramStart"/>
            <w:r w:rsidRPr="0035187E">
              <w:rPr>
                <w:rFonts w:ascii="Times New Roman" w:hAnsi="Times New Roman" w:cs="Times New Roman"/>
                <w:sz w:val="20"/>
                <w:szCs w:val="20"/>
              </w:rPr>
              <w:t>republiky - Odbor</w:t>
            </w:r>
            <w:proofErr w:type="gramEnd"/>
            <w:r w:rsidRPr="0035187E">
              <w:rPr>
                <w:rFonts w:ascii="Times New Roman" w:hAnsi="Times New Roman" w:cs="Times New Roman"/>
                <w:sz w:val="20"/>
                <w:szCs w:val="20"/>
              </w:rPr>
              <w:t xml:space="preserve"> kompatibility</w:t>
            </w:r>
          </w:p>
        </w:tc>
        <w:tc>
          <w:tcPr>
            <w:tcW w:w="168" w:type="pct"/>
            <w:tcBorders>
              <w:top w:val="single" w:sz="4" w:space="0" w:color="auto"/>
              <w:left w:val="single" w:sz="4" w:space="0" w:color="auto"/>
              <w:right w:val="single" w:sz="4" w:space="0" w:color="auto"/>
            </w:tcBorders>
            <w:shd w:val="clear" w:color="auto" w:fill="auto"/>
          </w:tcPr>
          <w:p w14:paraId="2C349E89" w14:textId="2B95ED5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5.</w:t>
            </w:r>
          </w:p>
        </w:tc>
        <w:tc>
          <w:tcPr>
            <w:tcW w:w="169" w:type="pct"/>
            <w:tcBorders>
              <w:top w:val="single" w:sz="4" w:space="0" w:color="auto"/>
              <w:left w:val="single" w:sz="4" w:space="0" w:color="auto"/>
              <w:right w:val="single" w:sz="4" w:space="0" w:color="auto"/>
            </w:tcBorders>
            <w:shd w:val="clear" w:color="auto" w:fill="auto"/>
          </w:tcPr>
          <w:p w14:paraId="79B2C0F0" w14:textId="31BE732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9E3DFCE" w14:textId="77777777" w:rsidR="000B4BD4" w:rsidRPr="0035187E" w:rsidRDefault="000B4BD4" w:rsidP="0035187E">
            <w:pPr>
              <w:jc w:val="both"/>
              <w:rPr>
                <w:rFonts w:ascii="Times New Roman" w:hAnsi="Times New Roman" w:cs="Times New Roman"/>
                <w:kern w:val="2"/>
                <w:sz w:val="20"/>
                <w:szCs w:val="20"/>
                <w:u w:val="single"/>
                <w:lang w:eastAsia="en-US"/>
              </w:rPr>
            </w:pPr>
            <w:r w:rsidRPr="0035187E">
              <w:rPr>
                <w:rFonts w:ascii="Times New Roman" w:hAnsi="Times New Roman" w:cs="Times New Roman"/>
                <w:kern w:val="2"/>
                <w:sz w:val="20"/>
                <w:szCs w:val="20"/>
                <w:u w:val="single"/>
                <w:lang w:eastAsia="en-US"/>
              </w:rPr>
              <w:t>K části první, hlavě II, § 12 odst. 5:</w:t>
            </w:r>
          </w:p>
          <w:p w14:paraId="560D9DB4" w14:textId="77777777" w:rsidR="000B4BD4" w:rsidRPr="0035187E" w:rsidRDefault="000B4BD4" w:rsidP="0035187E">
            <w:pPr>
              <w:jc w:val="both"/>
              <w:rPr>
                <w:rFonts w:ascii="Times New Roman" w:hAnsi="Times New Roman" w:cs="Times New Roman"/>
                <w:kern w:val="2"/>
                <w:sz w:val="20"/>
                <w:szCs w:val="20"/>
                <w:u w:val="single"/>
                <w:lang w:eastAsia="en-US"/>
              </w:rPr>
            </w:pPr>
            <w:r w:rsidRPr="0035187E">
              <w:rPr>
                <w:rFonts w:ascii="Times New Roman" w:hAnsi="Times New Roman" w:cs="Times New Roman"/>
                <w:kern w:val="2"/>
                <w:sz w:val="20"/>
                <w:szCs w:val="20"/>
                <w:lang w:eastAsia="en-US"/>
              </w:rPr>
              <w:t>Kvitujeme zahrnutí nevidomých nebo hluchoslepých osob z jiných členských států EU do výjimky pro evidenci tržeb. Navrhujeme však vynechání podmínky hlášení k pobytu takové osoby na území ČR, neboť v příhraničních regionech může docházet k situacím, kdy poplatníkem daně z příjmů fyzických osob bude občan sousedícího státu obchodující v ČR cyklicky kupř. na trzích. Taková osoba nebude mít důvod hlásit se k pobytu v ČR, avšak jako daňový nerezident by poplatníkem z příjmů fyzických osob být mohla.</w:t>
            </w:r>
          </w:p>
          <w:p w14:paraId="6367E13F" w14:textId="686C422A" w:rsidR="000B4BD4" w:rsidRPr="0035187E" w:rsidRDefault="000B4BD4" w:rsidP="0035187E">
            <w:pPr>
              <w:jc w:val="both"/>
              <w:rPr>
                <w:rFonts w:ascii="Times New Roman" w:hAnsi="Times New Roman" w:cs="Times New Roman"/>
                <w:kern w:val="2"/>
                <w:sz w:val="20"/>
                <w:szCs w:val="20"/>
                <w:lang w:eastAsia="en-US"/>
              </w:rPr>
            </w:pPr>
            <w:r w:rsidRPr="0035187E">
              <w:rPr>
                <w:rFonts w:ascii="Times New Roman" w:hAnsi="Times New Roman" w:cs="Times New Roman"/>
                <w:kern w:val="2"/>
                <w:sz w:val="20"/>
                <w:szCs w:val="20"/>
                <w:lang w:eastAsia="en-US"/>
              </w:rPr>
              <w:t>Upozorňujeme v této věci také na existenci směrnice Evropského parlamentu a Rady (EU) 2024/2841 ze dne 23. října 2024, kterou se zavádí evropský průkaz osoby se zdravotním postižením a evropský parkovací průkaz pro osoby se zdravotním postižením, na jejímž základě bude zaveden evropský průkaz osoby se zdravotním postižením (</w:t>
            </w:r>
            <w:proofErr w:type="spellStart"/>
            <w:r w:rsidRPr="0035187E">
              <w:rPr>
                <w:rFonts w:ascii="Times New Roman" w:hAnsi="Times New Roman" w:cs="Times New Roman"/>
                <w:kern w:val="2"/>
                <w:sz w:val="20"/>
                <w:szCs w:val="20"/>
                <w:lang w:eastAsia="en-US"/>
              </w:rPr>
              <w:t>European</w:t>
            </w:r>
            <w:proofErr w:type="spellEnd"/>
            <w:r w:rsidRPr="0035187E">
              <w:rPr>
                <w:rFonts w:ascii="Times New Roman" w:hAnsi="Times New Roman" w:cs="Times New Roman"/>
                <w:kern w:val="2"/>
                <w:sz w:val="20"/>
                <w:szCs w:val="20"/>
                <w:lang w:eastAsia="en-US"/>
              </w:rPr>
              <w:t xml:space="preserve"> Disability </w:t>
            </w:r>
            <w:proofErr w:type="spellStart"/>
            <w:r w:rsidRPr="0035187E">
              <w:rPr>
                <w:rFonts w:ascii="Times New Roman" w:hAnsi="Times New Roman" w:cs="Times New Roman"/>
                <w:kern w:val="2"/>
                <w:sz w:val="20"/>
                <w:szCs w:val="20"/>
                <w:lang w:eastAsia="en-US"/>
              </w:rPr>
              <w:t>Card</w:t>
            </w:r>
            <w:proofErr w:type="spellEnd"/>
            <w:r w:rsidRPr="0035187E">
              <w:rPr>
                <w:rFonts w:ascii="Times New Roman" w:hAnsi="Times New Roman" w:cs="Times New Roman"/>
                <w:kern w:val="2"/>
                <w:sz w:val="20"/>
                <w:szCs w:val="20"/>
                <w:lang w:eastAsia="en-US"/>
              </w:rPr>
              <w:t xml:space="preserve">). Směrnice 2024/2841 požaduje použitelnost, resp. účinnost vnitrostátních transpozičních předpisů od 5. 6. 2028. S vědomím, že navrhovaný zákon má dle předkladatele nabýt plné účinnosti 1. 1. 2027, doporučujeme již reagovat na evropský průkaz v textu zákona pro </w:t>
            </w:r>
            <w:proofErr w:type="spellStart"/>
            <w:r w:rsidRPr="0035187E">
              <w:rPr>
                <w:rFonts w:ascii="Times New Roman" w:hAnsi="Times New Roman" w:cs="Times New Roman"/>
                <w:kern w:val="2"/>
                <w:sz w:val="20"/>
                <w:szCs w:val="20"/>
                <w:lang w:eastAsia="en-US"/>
              </w:rPr>
              <w:t>futuro</w:t>
            </w:r>
            <w:proofErr w:type="spellEnd"/>
            <w:r w:rsidRPr="0035187E">
              <w:rPr>
                <w:rFonts w:ascii="Times New Roman" w:hAnsi="Times New Roman" w:cs="Times New Roman"/>
                <w:kern w:val="2"/>
                <w:sz w:val="20"/>
                <w:szCs w:val="20"/>
                <w:lang w:eastAsia="en-US"/>
              </w:rPr>
              <w:t>.</w:t>
            </w:r>
          </w:p>
          <w:p w14:paraId="59A0A8DA" w14:textId="778D2D5F"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kern w:val="2"/>
                <w:sz w:val="20"/>
                <w:szCs w:val="20"/>
                <w:lang w:eastAsia="en-US"/>
              </w:rPr>
              <w:t xml:space="preserve">Tato připomínka je zásadní. </w:t>
            </w:r>
          </w:p>
        </w:tc>
        <w:tc>
          <w:tcPr>
            <w:tcW w:w="1453" w:type="pct"/>
            <w:tcBorders>
              <w:top w:val="single" w:sz="4" w:space="0" w:color="auto"/>
              <w:left w:val="single" w:sz="4" w:space="0" w:color="auto"/>
              <w:right w:val="single" w:sz="4" w:space="0" w:color="auto"/>
            </w:tcBorders>
            <w:shd w:val="clear" w:color="auto" w:fill="auto"/>
          </w:tcPr>
          <w:p w14:paraId="1AD7AF72" w14:textId="29930120"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t>Vyhověno jinak.</w:t>
            </w:r>
          </w:p>
          <w:p w14:paraId="037AA22B" w14:textId="1D4C2C0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V § 12 odst. 4 písm. a) bylo doplněno: „nebo obdobný průkaz platný pro celé území Evropské unie“.</w:t>
            </w:r>
          </w:p>
        </w:tc>
      </w:tr>
      <w:tr w:rsidR="0035187E" w:rsidRPr="0035187E" w14:paraId="0B26F0D5"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B74931B" w14:textId="34056B3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17.</w:t>
            </w:r>
          </w:p>
        </w:tc>
        <w:tc>
          <w:tcPr>
            <w:tcW w:w="583" w:type="pct"/>
            <w:tcBorders>
              <w:top w:val="single" w:sz="4" w:space="0" w:color="auto"/>
              <w:left w:val="single" w:sz="4" w:space="0" w:color="auto"/>
              <w:right w:val="single" w:sz="4" w:space="0" w:color="auto"/>
            </w:tcBorders>
            <w:shd w:val="clear" w:color="auto" w:fill="auto"/>
          </w:tcPr>
          <w:p w14:paraId="723C5DF4" w14:textId="4EEF77B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Úřad vlády České </w:t>
            </w:r>
            <w:proofErr w:type="gramStart"/>
            <w:r w:rsidRPr="0035187E">
              <w:rPr>
                <w:rFonts w:ascii="Times New Roman" w:hAnsi="Times New Roman" w:cs="Times New Roman"/>
                <w:sz w:val="20"/>
                <w:szCs w:val="20"/>
              </w:rPr>
              <w:t>republiky - Odbor</w:t>
            </w:r>
            <w:proofErr w:type="gramEnd"/>
            <w:r w:rsidRPr="0035187E">
              <w:rPr>
                <w:rFonts w:ascii="Times New Roman" w:hAnsi="Times New Roman" w:cs="Times New Roman"/>
                <w:sz w:val="20"/>
                <w:szCs w:val="20"/>
              </w:rPr>
              <w:t xml:space="preserve"> kompatibility</w:t>
            </w:r>
          </w:p>
        </w:tc>
        <w:tc>
          <w:tcPr>
            <w:tcW w:w="168" w:type="pct"/>
            <w:tcBorders>
              <w:top w:val="single" w:sz="4" w:space="0" w:color="auto"/>
              <w:left w:val="single" w:sz="4" w:space="0" w:color="auto"/>
              <w:right w:val="single" w:sz="4" w:space="0" w:color="auto"/>
            </w:tcBorders>
            <w:shd w:val="clear" w:color="auto" w:fill="auto"/>
          </w:tcPr>
          <w:p w14:paraId="10ED5041" w14:textId="67139E6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6.</w:t>
            </w:r>
          </w:p>
        </w:tc>
        <w:tc>
          <w:tcPr>
            <w:tcW w:w="169" w:type="pct"/>
            <w:tcBorders>
              <w:top w:val="single" w:sz="4" w:space="0" w:color="auto"/>
              <w:left w:val="single" w:sz="4" w:space="0" w:color="auto"/>
              <w:right w:val="single" w:sz="4" w:space="0" w:color="auto"/>
            </w:tcBorders>
            <w:shd w:val="clear" w:color="auto" w:fill="auto"/>
          </w:tcPr>
          <w:p w14:paraId="7B2C95C4" w14:textId="76B0304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3F9466F" w14:textId="77777777" w:rsidR="000B4BD4" w:rsidRPr="0035187E" w:rsidRDefault="000B4BD4" w:rsidP="0035187E">
            <w:pPr>
              <w:jc w:val="both"/>
              <w:rPr>
                <w:rFonts w:ascii="Times New Roman" w:hAnsi="Times New Roman" w:cs="Times New Roman"/>
                <w:kern w:val="2"/>
                <w:sz w:val="20"/>
                <w:szCs w:val="20"/>
                <w:u w:val="single"/>
                <w:lang w:eastAsia="en-US"/>
              </w:rPr>
            </w:pPr>
            <w:r w:rsidRPr="0035187E">
              <w:rPr>
                <w:rFonts w:ascii="Times New Roman" w:hAnsi="Times New Roman" w:cs="Times New Roman"/>
                <w:kern w:val="2"/>
                <w:sz w:val="20"/>
                <w:szCs w:val="20"/>
                <w:u w:val="single"/>
                <w:lang w:eastAsia="en-US"/>
              </w:rPr>
              <w:t>K části první, hlavě II, § 15 odst. 1:</w:t>
            </w:r>
          </w:p>
          <w:p w14:paraId="787A7D55" w14:textId="4CCEC18B"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kern w:val="2"/>
                <w:sz w:val="20"/>
                <w:szCs w:val="20"/>
                <w:lang w:eastAsia="en-US"/>
              </w:rPr>
              <w:t>Ustanovení ukládá poplatníkovi povinnost zajistit si „</w:t>
            </w:r>
            <w:r w:rsidRPr="0035187E">
              <w:rPr>
                <w:rFonts w:ascii="Times New Roman" w:hAnsi="Times New Roman" w:cs="Times New Roman"/>
                <w:i/>
                <w:iCs/>
                <w:kern w:val="2"/>
                <w:sz w:val="20"/>
                <w:szCs w:val="20"/>
                <w:lang w:eastAsia="en-US"/>
              </w:rPr>
              <w:t>potřebný</w:t>
            </w:r>
            <w:r w:rsidRPr="0035187E">
              <w:rPr>
                <w:rFonts w:ascii="Times New Roman" w:hAnsi="Times New Roman" w:cs="Times New Roman"/>
                <w:kern w:val="2"/>
                <w:sz w:val="20"/>
                <w:szCs w:val="20"/>
                <w:lang w:eastAsia="en-US"/>
              </w:rPr>
              <w:t xml:space="preserve">“ počet certifikátů pro evidenci tržeb. Až z důvodové zprávy je </w:t>
            </w:r>
            <w:proofErr w:type="spellStart"/>
            <w:r w:rsidRPr="0035187E">
              <w:rPr>
                <w:rFonts w:ascii="Times New Roman" w:hAnsi="Times New Roman" w:cs="Times New Roman"/>
                <w:kern w:val="2"/>
                <w:sz w:val="20"/>
                <w:szCs w:val="20"/>
                <w:lang w:eastAsia="en-US"/>
              </w:rPr>
              <w:t>seznatelné</w:t>
            </w:r>
            <w:proofErr w:type="spellEnd"/>
            <w:r w:rsidRPr="0035187E">
              <w:rPr>
                <w:rFonts w:ascii="Times New Roman" w:hAnsi="Times New Roman" w:cs="Times New Roman"/>
                <w:kern w:val="2"/>
                <w:sz w:val="20"/>
                <w:szCs w:val="20"/>
                <w:lang w:eastAsia="en-US"/>
              </w:rPr>
              <w:t>, že tento počet se odvíjí zpravidla od počtu provozoven, nicméně, jak je zřejmé ze slova „zpravidla“, ani toto pravidlo neplatí bez výjimky, když důvodová zpráva ve zvláštní části k § 15 dále uvádí, že je možné využít pouze jednoho certifikátu k odbavení více evidenčních jednotek. Tudíž počet certifikátů je arbitrární a bude záviset na rozhodnutí poplatníka. Doporučujeme v tomto ohledu zpřesnit textaci zákona tak, aby bylo zřejmé, že povinností poplatníka je tedy zajistit si minimálně jeden certifikát.</w:t>
            </w:r>
          </w:p>
        </w:tc>
        <w:tc>
          <w:tcPr>
            <w:tcW w:w="1453" w:type="pct"/>
            <w:tcBorders>
              <w:top w:val="single" w:sz="4" w:space="0" w:color="auto"/>
              <w:left w:val="single" w:sz="4" w:space="0" w:color="auto"/>
              <w:right w:val="single" w:sz="4" w:space="0" w:color="auto"/>
            </w:tcBorders>
            <w:shd w:val="clear" w:color="auto" w:fill="auto"/>
          </w:tcPr>
          <w:p w14:paraId="6A3B7C1E" w14:textId="77777777" w:rsidR="000B4BD4" w:rsidRPr="0035187E" w:rsidRDefault="00705FB4"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0E270CE9" w14:textId="5E3C53A6" w:rsidR="00113459" w:rsidRPr="0035187E" w:rsidRDefault="00705FB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Uvedené vyplývá implicitně </w:t>
            </w:r>
            <w:r w:rsidR="00113459" w:rsidRPr="0035187E">
              <w:rPr>
                <w:rFonts w:ascii="Times New Roman" w:hAnsi="Times New Roman" w:cs="Times New Roman"/>
                <w:sz w:val="20"/>
                <w:szCs w:val="20"/>
              </w:rPr>
              <w:t xml:space="preserve">(nikoli však absolutně) </w:t>
            </w:r>
            <w:r w:rsidRPr="0035187E">
              <w:rPr>
                <w:rFonts w:ascii="Times New Roman" w:hAnsi="Times New Roman" w:cs="Times New Roman"/>
                <w:sz w:val="20"/>
                <w:szCs w:val="20"/>
              </w:rPr>
              <w:t>z povinnosti zajistit potřebnou infrastrukturu pro evidování tržeb. Pokud bude tržby evidovat svépomocí, tak bez alespoň jednoho certifikátu pro evidenci tržeb to možné nebude. Pokud ovšem pověří v souladu s § 11 evidováním tržeb jiného poplatníka, obejde se i bez certifikátu.</w:t>
            </w:r>
          </w:p>
        </w:tc>
      </w:tr>
      <w:tr w:rsidR="0035187E" w:rsidRPr="0035187E" w14:paraId="7C1BED55"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CDE37B8" w14:textId="53CFC98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17.</w:t>
            </w:r>
          </w:p>
        </w:tc>
        <w:tc>
          <w:tcPr>
            <w:tcW w:w="583" w:type="pct"/>
            <w:tcBorders>
              <w:top w:val="single" w:sz="4" w:space="0" w:color="auto"/>
              <w:left w:val="single" w:sz="4" w:space="0" w:color="auto"/>
              <w:right w:val="single" w:sz="4" w:space="0" w:color="auto"/>
            </w:tcBorders>
            <w:shd w:val="clear" w:color="auto" w:fill="auto"/>
          </w:tcPr>
          <w:p w14:paraId="740C97EF" w14:textId="6572D5B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Úřad vlády České </w:t>
            </w:r>
            <w:proofErr w:type="gramStart"/>
            <w:r w:rsidRPr="0035187E">
              <w:rPr>
                <w:rFonts w:ascii="Times New Roman" w:hAnsi="Times New Roman" w:cs="Times New Roman"/>
                <w:sz w:val="20"/>
                <w:szCs w:val="20"/>
              </w:rPr>
              <w:t>republiky - Odbor</w:t>
            </w:r>
            <w:proofErr w:type="gramEnd"/>
            <w:r w:rsidRPr="0035187E">
              <w:rPr>
                <w:rFonts w:ascii="Times New Roman" w:hAnsi="Times New Roman" w:cs="Times New Roman"/>
                <w:sz w:val="20"/>
                <w:szCs w:val="20"/>
              </w:rPr>
              <w:t xml:space="preserve"> kompatibility</w:t>
            </w:r>
          </w:p>
        </w:tc>
        <w:tc>
          <w:tcPr>
            <w:tcW w:w="168" w:type="pct"/>
            <w:tcBorders>
              <w:top w:val="single" w:sz="4" w:space="0" w:color="auto"/>
              <w:left w:val="single" w:sz="4" w:space="0" w:color="auto"/>
              <w:right w:val="single" w:sz="4" w:space="0" w:color="auto"/>
            </w:tcBorders>
            <w:shd w:val="clear" w:color="auto" w:fill="auto"/>
          </w:tcPr>
          <w:p w14:paraId="222DA30A" w14:textId="5CB504A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7.</w:t>
            </w:r>
          </w:p>
        </w:tc>
        <w:tc>
          <w:tcPr>
            <w:tcW w:w="169" w:type="pct"/>
            <w:tcBorders>
              <w:top w:val="single" w:sz="4" w:space="0" w:color="auto"/>
              <w:left w:val="single" w:sz="4" w:space="0" w:color="auto"/>
              <w:right w:val="single" w:sz="4" w:space="0" w:color="auto"/>
            </w:tcBorders>
            <w:shd w:val="clear" w:color="auto" w:fill="auto"/>
          </w:tcPr>
          <w:p w14:paraId="4BD469CF" w14:textId="278053C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31F6D881" w14:textId="77777777" w:rsidR="000B4BD4" w:rsidRPr="0035187E" w:rsidRDefault="000B4BD4" w:rsidP="0035187E">
            <w:pPr>
              <w:jc w:val="both"/>
              <w:rPr>
                <w:rFonts w:ascii="Times New Roman" w:eastAsia="Arial" w:hAnsi="Times New Roman" w:cs="Times New Roman"/>
                <w:kern w:val="2"/>
                <w:sz w:val="20"/>
                <w:szCs w:val="20"/>
                <w:u w:val="single"/>
                <w:lang w:eastAsia="en-US"/>
              </w:rPr>
            </w:pPr>
            <w:r w:rsidRPr="0035187E">
              <w:rPr>
                <w:rFonts w:ascii="Times New Roman" w:eastAsia="Arial" w:hAnsi="Times New Roman" w:cs="Times New Roman"/>
                <w:kern w:val="2"/>
                <w:sz w:val="20"/>
                <w:szCs w:val="20"/>
                <w:u w:val="single"/>
                <w:lang w:eastAsia="en-US"/>
              </w:rPr>
              <w:t>K</w:t>
            </w:r>
            <w:r w:rsidRPr="0035187E">
              <w:rPr>
                <w:rFonts w:ascii="Times New Roman" w:hAnsi="Times New Roman" w:cs="Times New Roman"/>
                <w:kern w:val="2"/>
                <w:sz w:val="20"/>
                <w:szCs w:val="20"/>
                <w:u w:val="single"/>
                <w:lang w:eastAsia="en-US"/>
              </w:rPr>
              <w:t xml:space="preserve"> části první, hlavě II,</w:t>
            </w:r>
            <w:r w:rsidRPr="0035187E">
              <w:rPr>
                <w:rFonts w:ascii="Times New Roman" w:eastAsia="Arial" w:hAnsi="Times New Roman" w:cs="Times New Roman"/>
                <w:kern w:val="2"/>
                <w:sz w:val="20"/>
                <w:szCs w:val="20"/>
                <w:u w:val="single"/>
                <w:lang w:eastAsia="en-US"/>
              </w:rPr>
              <w:t xml:space="preserve"> § 18 odst. 3 návrhu:</w:t>
            </w:r>
          </w:p>
          <w:p w14:paraId="65DC9218" w14:textId="77777777" w:rsidR="000B4BD4" w:rsidRPr="0035187E" w:rsidRDefault="000B4BD4" w:rsidP="0035187E">
            <w:pPr>
              <w:jc w:val="both"/>
              <w:rPr>
                <w:rFonts w:ascii="Times New Roman" w:eastAsia="Arial" w:hAnsi="Times New Roman" w:cs="Times New Roman"/>
                <w:kern w:val="2"/>
                <w:sz w:val="20"/>
                <w:szCs w:val="20"/>
                <w:lang w:eastAsia="en-US"/>
              </w:rPr>
            </w:pPr>
            <w:r w:rsidRPr="0035187E">
              <w:rPr>
                <w:rFonts w:ascii="Times New Roman" w:eastAsia="Arial" w:hAnsi="Times New Roman" w:cs="Times New Roman"/>
                <w:kern w:val="2"/>
                <w:sz w:val="20"/>
                <w:szCs w:val="20"/>
                <w:lang w:eastAsia="en-US"/>
              </w:rPr>
              <w:t xml:space="preserve">Paragraf 18 upravuje rozsah údajů, které bude poplatník zasílat datovou zprávou správci daně. V odst. 1 a 2 jsou uvedeny konkrétní údaje, které budou posílány. V odst. 3 je dále navrhováno oprávnění správce daně určit a zveřejnit způsobem umožňující dálkový </w:t>
            </w:r>
            <w:r w:rsidRPr="0035187E">
              <w:rPr>
                <w:rFonts w:ascii="Times New Roman" w:eastAsia="Arial" w:hAnsi="Times New Roman" w:cs="Times New Roman"/>
                <w:kern w:val="2"/>
                <w:sz w:val="20"/>
                <w:szCs w:val="20"/>
                <w:lang w:eastAsia="en-US"/>
              </w:rPr>
              <w:lastRenderedPageBreak/>
              <w:t xml:space="preserve">přístup </w:t>
            </w:r>
            <w:r w:rsidRPr="0035187E">
              <w:rPr>
                <w:rFonts w:ascii="Times New Roman" w:eastAsia="Arial" w:hAnsi="Times New Roman" w:cs="Times New Roman"/>
                <w:kern w:val="2"/>
                <w:sz w:val="20"/>
                <w:szCs w:val="20"/>
                <w:u w:val="single"/>
                <w:lang w:eastAsia="en-US"/>
              </w:rPr>
              <w:t>další údaje</w:t>
            </w:r>
            <w:r w:rsidRPr="0035187E">
              <w:rPr>
                <w:rFonts w:ascii="Times New Roman" w:eastAsia="Arial" w:hAnsi="Times New Roman" w:cs="Times New Roman"/>
                <w:kern w:val="2"/>
                <w:sz w:val="20"/>
                <w:szCs w:val="20"/>
                <w:lang w:eastAsia="en-US"/>
              </w:rPr>
              <w:t xml:space="preserve">, které </w:t>
            </w:r>
            <w:r w:rsidRPr="0035187E">
              <w:rPr>
                <w:rFonts w:ascii="Times New Roman" w:eastAsia="Arial" w:hAnsi="Times New Roman" w:cs="Times New Roman"/>
                <w:kern w:val="2"/>
                <w:sz w:val="20"/>
                <w:szCs w:val="20"/>
                <w:u w:val="single"/>
                <w:lang w:eastAsia="en-US"/>
              </w:rPr>
              <w:t>může</w:t>
            </w:r>
            <w:r w:rsidRPr="0035187E">
              <w:rPr>
                <w:rFonts w:ascii="Times New Roman" w:eastAsia="Arial" w:hAnsi="Times New Roman" w:cs="Times New Roman"/>
                <w:kern w:val="2"/>
                <w:sz w:val="20"/>
                <w:szCs w:val="20"/>
                <w:lang w:eastAsia="en-US"/>
              </w:rPr>
              <w:t xml:space="preserve"> poplatník v datové zprávě zasílat, přičemž v návrhu nejsou blíže specifikovány. Důvodová zpráva uvádí demonstrativní výčet – má se jednat </w:t>
            </w:r>
            <w:r w:rsidRPr="0035187E">
              <w:rPr>
                <w:rFonts w:ascii="Times New Roman" w:eastAsia="Arial" w:hAnsi="Times New Roman" w:cs="Times New Roman"/>
                <w:kern w:val="2"/>
                <w:sz w:val="20"/>
                <w:szCs w:val="20"/>
                <w:u w:val="single"/>
                <w:lang w:eastAsia="en-US"/>
              </w:rPr>
              <w:t xml:space="preserve">zejména </w:t>
            </w:r>
            <w:r w:rsidRPr="0035187E">
              <w:rPr>
                <w:rFonts w:ascii="Times New Roman" w:eastAsia="Arial" w:hAnsi="Times New Roman" w:cs="Times New Roman"/>
                <w:kern w:val="2"/>
                <w:sz w:val="20"/>
                <w:szCs w:val="20"/>
                <w:lang w:eastAsia="en-US"/>
              </w:rPr>
              <w:t xml:space="preserve">o informace ohledně: </w:t>
            </w:r>
            <w:r w:rsidRPr="0035187E">
              <w:rPr>
                <w:rFonts w:ascii="Times New Roman" w:eastAsia="Arial" w:hAnsi="Times New Roman" w:cs="Times New Roman"/>
                <w:i/>
                <w:iCs/>
                <w:kern w:val="2"/>
                <w:sz w:val="20"/>
                <w:szCs w:val="20"/>
                <w:lang w:eastAsia="en-US"/>
              </w:rPr>
              <w:t xml:space="preserve">i) základu DPH   a daně podle sazeb DPH uvedené v české měně, </w:t>
            </w:r>
            <w:proofErr w:type="spellStart"/>
            <w:r w:rsidRPr="0035187E">
              <w:rPr>
                <w:rFonts w:ascii="Times New Roman" w:eastAsia="Arial" w:hAnsi="Times New Roman" w:cs="Times New Roman"/>
                <w:i/>
                <w:iCs/>
                <w:kern w:val="2"/>
                <w:sz w:val="20"/>
                <w:szCs w:val="20"/>
                <w:lang w:eastAsia="en-US"/>
              </w:rPr>
              <w:t>ii</w:t>
            </w:r>
            <w:proofErr w:type="spellEnd"/>
            <w:r w:rsidRPr="0035187E">
              <w:rPr>
                <w:rFonts w:ascii="Times New Roman" w:eastAsia="Arial" w:hAnsi="Times New Roman" w:cs="Times New Roman"/>
                <w:i/>
                <w:iCs/>
                <w:kern w:val="2"/>
                <w:sz w:val="20"/>
                <w:szCs w:val="20"/>
                <w:lang w:eastAsia="en-US"/>
              </w:rPr>
              <w:t xml:space="preserve">) celkové částky v režimu DPH pro cestovní službu uvedené v české měně </w:t>
            </w:r>
            <w:r w:rsidRPr="0035187E">
              <w:rPr>
                <w:rFonts w:ascii="Times New Roman" w:eastAsia="Arial" w:hAnsi="Times New Roman" w:cs="Times New Roman"/>
                <w:kern w:val="2"/>
                <w:sz w:val="20"/>
                <w:szCs w:val="20"/>
                <w:lang w:eastAsia="en-US"/>
              </w:rPr>
              <w:t>a</w:t>
            </w:r>
            <w:r w:rsidRPr="0035187E">
              <w:rPr>
                <w:rFonts w:ascii="Times New Roman" w:eastAsia="Arial" w:hAnsi="Times New Roman" w:cs="Times New Roman"/>
                <w:i/>
                <w:iCs/>
                <w:kern w:val="2"/>
                <w:sz w:val="20"/>
                <w:szCs w:val="20"/>
                <w:lang w:eastAsia="en-US"/>
              </w:rPr>
              <w:t xml:space="preserve"> </w:t>
            </w:r>
            <w:proofErr w:type="spellStart"/>
            <w:r w:rsidRPr="0035187E">
              <w:rPr>
                <w:rFonts w:ascii="Times New Roman" w:eastAsia="Arial" w:hAnsi="Times New Roman" w:cs="Times New Roman"/>
                <w:i/>
                <w:iCs/>
                <w:kern w:val="2"/>
                <w:sz w:val="20"/>
                <w:szCs w:val="20"/>
                <w:lang w:eastAsia="en-US"/>
              </w:rPr>
              <w:t>iii</w:t>
            </w:r>
            <w:proofErr w:type="spellEnd"/>
            <w:r w:rsidRPr="0035187E">
              <w:rPr>
                <w:rFonts w:ascii="Times New Roman" w:eastAsia="Arial" w:hAnsi="Times New Roman" w:cs="Times New Roman"/>
                <w:i/>
                <w:iCs/>
                <w:kern w:val="2"/>
                <w:sz w:val="20"/>
                <w:szCs w:val="20"/>
                <w:lang w:eastAsia="en-US"/>
              </w:rPr>
              <w:t>) celkové částky DPH pro prodej použitého zboží uvedené v K části první, hlavě II, české měně.</w:t>
            </w:r>
            <w:r w:rsidRPr="0035187E">
              <w:rPr>
                <w:rFonts w:ascii="Times New Roman" w:eastAsia="Arial" w:hAnsi="Times New Roman" w:cs="Times New Roman"/>
                <w:kern w:val="2"/>
                <w:sz w:val="20"/>
                <w:szCs w:val="20"/>
                <w:lang w:eastAsia="en-US"/>
              </w:rPr>
              <w:t xml:space="preserve"> Předkladatel uvádí, že tyto údaje byly sdělovány správci daně již podle dřívější právní úpravy – zákona č.  112/2016 Sb., o evidenci tržeb. Navrhované znění § 18 (mimo odst. 3) tedy rozsah povinných informací nyní zužuje. Důvodem opětovného rozšíření evidovaných údajů v odst. 3 je snaha umožnit podnikatelům, kteří již využívají technickou infrastrukturu původního systému EET, aby nemuseli upravovat rozsah předávaných informací (viz. strana 78 důvodové zprávy). „Motivací“, proč zachovat původní rozsah hlášených údajů a poskytnout tak správci daně vhled do svých kontrolních mechanismů a procesů, má být zvýšení kredibility podniku a snížení počtu následných daňových kontrol. </w:t>
            </w:r>
          </w:p>
          <w:p w14:paraId="59DD9CA0" w14:textId="77777777" w:rsidR="000B4BD4" w:rsidRPr="0035187E" w:rsidRDefault="000B4BD4" w:rsidP="0035187E">
            <w:pPr>
              <w:jc w:val="both"/>
              <w:rPr>
                <w:rFonts w:ascii="Times New Roman" w:eastAsia="Arial" w:hAnsi="Times New Roman" w:cs="Times New Roman"/>
                <w:kern w:val="2"/>
                <w:sz w:val="20"/>
                <w:szCs w:val="20"/>
                <w:lang w:eastAsia="en-US"/>
              </w:rPr>
            </w:pPr>
            <w:r w:rsidRPr="0035187E">
              <w:rPr>
                <w:rFonts w:ascii="Times New Roman" w:eastAsia="Arial" w:hAnsi="Times New Roman" w:cs="Times New Roman"/>
                <w:kern w:val="2"/>
                <w:sz w:val="20"/>
                <w:szCs w:val="20"/>
                <w:lang w:eastAsia="en-US"/>
              </w:rPr>
              <w:t xml:space="preserve">Textaci i samotné odůvodnění odst. 3 považujeme za nedostatečné a v konečném důsledku i diskutabilní z hlediska práva EU. Zákon č. 112/2016 Sb. obsahoval širší okruh údajů, než je tomu nyní (např. podpisový kód poplatníka, údaj o běžném či zjednodušeném režimu). Proto se domníváme, že podnikatelé budou nuceni upravit své pokladní systémy tak či tak. Další otázkou je, jak velká množina podnikatelů si původní evidenční systémy zanechala. Dřívější zákon o EET byl zrušen v roce 2023. Nelze očekávat, že podnikatelé těmito systémy stále disponují. Na základě znění odst. 3 nelze vůbec odhadovat, jaké údaje bude správce daně evidovat, což je v rozporu s principem právní jistoty, ochranou osobních údajů dotčených osob a současně to oslabuje rovné postavení mezi jednotlivými podnikateli. Formulace odst. 3 musí být jasná a přesná, aby nebylo pochyb, které údaje budou moci podnikatelé správci daně dobrovolně nahlašovat. Současně není z textace odst. 3 jasné, jaké „výhody“ evidence nad rámec povinných údajů podnikatelům přinese. </w:t>
            </w:r>
          </w:p>
          <w:p w14:paraId="25CE9446" w14:textId="77777777" w:rsidR="000B4BD4" w:rsidRPr="0035187E" w:rsidRDefault="000B4BD4" w:rsidP="0035187E">
            <w:pPr>
              <w:jc w:val="both"/>
              <w:rPr>
                <w:rFonts w:ascii="Times New Roman" w:eastAsia="Arial" w:hAnsi="Times New Roman" w:cs="Times New Roman"/>
                <w:kern w:val="2"/>
                <w:sz w:val="20"/>
                <w:szCs w:val="20"/>
                <w:lang w:eastAsia="en-US"/>
              </w:rPr>
            </w:pPr>
            <w:r w:rsidRPr="0035187E">
              <w:rPr>
                <w:rFonts w:ascii="Times New Roman" w:eastAsia="Arial" w:hAnsi="Times New Roman" w:cs="Times New Roman"/>
                <w:kern w:val="2"/>
                <w:sz w:val="20"/>
                <w:szCs w:val="20"/>
                <w:lang w:eastAsia="en-US"/>
              </w:rPr>
              <w:t>Domníváme se, že navrhované znění je problematické z hlediska čl. 273</w:t>
            </w:r>
            <w:r w:rsidRPr="0035187E">
              <w:rPr>
                <w:rFonts w:ascii="Times New Roman" w:eastAsia="Arial" w:hAnsi="Times New Roman" w:cs="Times New Roman"/>
                <w:kern w:val="2"/>
                <w:sz w:val="20"/>
                <w:szCs w:val="20"/>
                <w:vertAlign w:val="superscript"/>
                <w:lang w:eastAsia="en-US"/>
              </w:rPr>
              <w:footnoteReference w:id="2"/>
            </w:r>
            <w:r w:rsidRPr="0035187E">
              <w:rPr>
                <w:rFonts w:ascii="Times New Roman" w:eastAsia="Arial" w:hAnsi="Times New Roman" w:cs="Times New Roman"/>
                <w:kern w:val="2"/>
                <w:sz w:val="20"/>
                <w:szCs w:val="20"/>
                <w:lang w:eastAsia="en-US"/>
              </w:rPr>
              <w:t xml:space="preserve"> směrnice 2006/112/ES, který představuje obecné zmocnění pro členské státy k ukládání povinností nezbytných pro správný výběr daně a prevenci daňových úniků. Toto ustanovení se vztahuje na veškerá plnění v systému DPH, tedy i na plnění čistě tuzemská, bez jakéhokoli přeshraničního prvku. SDEU ve své ustálené judikatuře (např. C‑285/11 </w:t>
            </w:r>
            <w:proofErr w:type="spellStart"/>
            <w:r w:rsidRPr="0035187E">
              <w:rPr>
                <w:rFonts w:ascii="Times New Roman" w:eastAsia="Arial" w:hAnsi="Times New Roman" w:cs="Times New Roman"/>
                <w:kern w:val="2"/>
                <w:sz w:val="20"/>
                <w:szCs w:val="20"/>
                <w:lang w:eastAsia="en-US"/>
              </w:rPr>
              <w:t>Bonik</w:t>
            </w:r>
            <w:proofErr w:type="spellEnd"/>
            <w:r w:rsidRPr="0035187E">
              <w:rPr>
                <w:rFonts w:ascii="Times New Roman" w:eastAsia="Arial" w:hAnsi="Times New Roman" w:cs="Times New Roman"/>
                <w:kern w:val="2"/>
                <w:sz w:val="20"/>
                <w:szCs w:val="20"/>
                <w:lang w:eastAsia="en-US"/>
              </w:rPr>
              <w:t xml:space="preserve">, C‑271/12 </w:t>
            </w:r>
            <w:proofErr w:type="spellStart"/>
            <w:r w:rsidRPr="0035187E">
              <w:rPr>
                <w:rFonts w:ascii="Times New Roman" w:eastAsia="Arial" w:hAnsi="Times New Roman" w:cs="Times New Roman"/>
                <w:kern w:val="2"/>
                <w:sz w:val="20"/>
                <w:szCs w:val="20"/>
                <w:lang w:eastAsia="en-US"/>
              </w:rPr>
              <w:t>Petroma</w:t>
            </w:r>
            <w:proofErr w:type="spellEnd"/>
            <w:r w:rsidRPr="0035187E">
              <w:rPr>
                <w:rFonts w:ascii="Times New Roman" w:eastAsia="Arial" w:hAnsi="Times New Roman" w:cs="Times New Roman"/>
                <w:kern w:val="2"/>
                <w:sz w:val="20"/>
                <w:szCs w:val="20"/>
                <w:lang w:eastAsia="en-US"/>
              </w:rPr>
              <w:t xml:space="preserve"> </w:t>
            </w:r>
            <w:proofErr w:type="spellStart"/>
            <w:r w:rsidRPr="0035187E">
              <w:rPr>
                <w:rFonts w:ascii="Times New Roman" w:eastAsia="Arial" w:hAnsi="Times New Roman" w:cs="Times New Roman"/>
                <w:kern w:val="2"/>
                <w:sz w:val="20"/>
                <w:szCs w:val="20"/>
                <w:lang w:eastAsia="en-US"/>
              </w:rPr>
              <w:t>Transports</w:t>
            </w:r>
            <w:proofErr w:type="spellEnd"/>
            <w:r w:rsidRPr="0035187E">
              <w:rPr>
                <w:rFonts w:ascii="Times New Roman" w:eastAsia="Arial" w:hAnsi="Times New Roman" w:cs="Times New Roman"/>
                <w:kern w:val="2"/>
                <w:sz w:val="20"/>
                <w:szCs w:val="20"/>
                <w:lang w:eastAsia="en-US"/>
              </w:rPr>
              <w:t xml:space="preserve">) opakovaně potvrdil, že čl. 273 se uplatní na vnitrostátní situace, a zároveň stanovil limity, které musí členské státy respektovat. Opatření činěná členskými státy musí být mimo jiné proporcionální, nesmí narušovat daňovou neutralitu, a musí být legitimní. </w:t>
            </w:r>
          </w:p>
          <w:p w14:paraId="011AF55C" w14:textId="77777777" w:rsidR="000B4BD4" w:rsidRPr="0035187E" w:rsidRDefault="000B4BD4" w:rsidP="0035187E">
            <w:pPr>
              <w:jc w:val="both"/>
              <w:rPr>
                <w:rFonts w:ascii="Times New Roman" w:eastAsia="Arial" w:hAnsi="Times New Roman" w:cs="Times New Roman"/>
                <w:kern w:val="2"/>
                <w:sz w:val="20"/>
                <w:szCs w:val="20"/>
                <w:lang w:eastAsia="en-US"/>
              </w:rPr>
            </w:pPr>
            <w:proofErr w:type="spellStart"/>
            <w:r w:rsidRPr="0035187E">
              <w:rPr>
                <w:rFonts w:ascii="Times New Roman" w:eastAsia="Arial" w:hAnsi="Times New Roman" w:cs="Times New Roman"/>
                <w:kern w:val="2"/>
                <w:sz w:val="20"/>
                <w:szCs w:val="20"/>
                <w:lang w:eastAsia="en-US"/>
              </w:rPr>
              <w:t>Blanketní</w:t>
            </w:r>
            <w:proofErr w:type="spellEnd"/>
            <w:r w:rsidRPr="0035187E">
              <w:rPr>
                <w:rFonts w:ascii="Times New Roman" w:eastAsia="Arial" w:hAnsi="Times New Roman" w:cs="Times New Roman"/>
                <w:kern w:val="2"/>
                <w:sz w:val="20"/>
                <w:szCs w:val="20"/>
                <w:lang w:eastAsia="en-US"/>
              </w:rPr>
              <w:t xml:space="preserve"> a zároveň neomezené zmocnění v návrhu překračuje rámec čl. 273, neboť umožňuje správci daně rozšiřovat evidenční údaje (byť na dobrovolné bázi), a to dokonce mimo rámec zákona, tj. způsobem umožňujícím dálkový přístup (např. na webových stránkách Finanční správy, úřední desce atp.). </w:t>
            </w:r>
          </w:p>
          <w:p w14:paraId="2EEC065D" w14:textId="5A1D310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kern w:val="2"/>
                <w:sz w:val="20"/>
                <w:szCs w:val="20"/>
                <w:lang w:eastAsia="en-US"/>
              </w:rPr>
              <w:lastRenderedPageBreak/>
              <w:t xml:space="preserve">Tato připomínka je zásadní. </w:t>
            </w:r>
          </w:p>
        </w:tc>
        <w:tc>
          <w:tcPr>
            <w:tcW w:w="1453" w:type="pct"/>
            <w:tcBorders>
              <w:top w:val="single" w:sz="4" w:space="0" w:color="auto"/>
              <w:left w:val="single" w:sz="4" w:space="0" w:color="auto"/>
              <w:right w:val="single" w:sz="4" w:space="0" w:color="auto"/>
            </w:tcBorders>
            <w:shd w:val="clear" w:color="auto" w:fill="auto"/>
          </w:tcPr>
          <w:p w14:paraId="33CBD96E" w14:textId="32CBDE95"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Vyhověno.</w:t>
            </w:r>
          </w:p>
          <w:p w14:paraId="2FBCE14C" w14:textId="7C6647C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r w:rsidR="003F5C64" w:rsidRPr="0035187E">
              <w:rPr>
                <w:rFonts w:ascii="Times New Roman" w:hAnsi="Times New Roman" w:cs="Times New Roman"/>
                <w:sz w:val="20"/>
                <w:szCs w:val="20"/>
              </w:rPr>
              <w:t>.</w:t>
            </w:r>
            <w:r w:rsidRPr="0035187E">
              <w:rPr>
                <w:rFonts w:ascii="Times New Roman" w:hAnsi="Times New Roman" w:cs="Times New Roman"/>
                <w:sz w:val="20"/>
                <w:szCs w:val="20"/>
              </w:rPr>
              <w:t xml:space="preserve"> </w:t>
            </w:r>
          </w:p>
        </w:tc>
      </w:tr>
      <w:tr w:rsidR="0035187E" w:rsidRPr="0035187E" w14:paraId="47B44334"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66CD615" w14:textId="017CFA7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17.</w:t>
            </w:r>
          </w:p>
        </w:tc>
        <w:tc>
          <w:tcPr>
            <w:tcW w:w="583" w:type="pct"/>
            <w:tcBorders>
              <w:top w:val="single" w:sz="4" w:space="0" w:color="auto"/>
              <w:left w:val="single" w:sz="4" w:space="0" w:color="auto"/>
              <w:right w:val="single" w:sz="4" w:space="0" w:color="auto"/>
            </w:tcBorders>
            <w:shd w:val="clear" w:color="auto" w:fill="auto"/>
          </w:tcPr>
          <w:p w14:paraId="285DB561" w14:textId="32A150D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Úřad vlády České </w:t>
            </w:r>
            <w:proofErr w:type="gramStart"/>
            <w:r w:rsidRPr="0035187E">
              <w:rPr>
                <w:rFonts w:ascii="Times New Roman" w:hAnsi="Times New Roman" w:cs="Times New Roman"/>
                <w:sz w:val="20"/>
                <w:szCs w:val="20"/>
              </w:rPr>
              <w:t>republiky - Odbor</w:t>
            </w:r>
            <w:proofErr w:type="gramEnd"/>
            <w:r w:rsidRPr="0035187E">
              <w:rPr>
                <w:rFonts w:ascii="Times New Roman" w:hAnsi="Times New Roman" w:cs="Times New Roman"/>
                <w:sz w:val="20"/>
                <w:szCs w:val="20"/>
              </w:rPr>
              <w:t xml:space="preserve"> kompatibility</w:t>
            </w:r>
          </w:p>
        </w:tc>
        <w:tc>
          <w:tcPr>
            <w:tcW w:w="168" w:type="pct"/>
            <w:tcBorders>
              <w:top w:val="single" w:sz="4" w:space="0" w:color="auto"/>
              <w:left w:val="single" w:sz="4" w:space="0" w:color="auto"/>
              <w:right w:val="single" w:sz="4" w:space="0" w:color="auto"/>
            </w:tcBorders>
            <w:shd w:val="clear" w:color="auto" w:fill="auto"/>
          </w:tcPr>
          <w:p w14:paraId="2E04043C" w14:textId="0AD476D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8.</w:t>
            </w:r>
          </w:p>
        </w:tc>
        <w:tc>
          <w:tcPr>
            <w:tcW w:w="169" w:type="pct"/>
            <w:tcBorders>
              <w:top w:val="single" w:sz="4" w:space="0" w:color="auto"/>
              <w:left w:val="single" w:sz="4" w:space="0" w:color="auto"/>
              <w:right w:val="single" w:sz="4" w:space="0" w:color="auto"/>
            </w:tcBorders>
            <w:shd w:val="clear" w:color="auto" w:fill="auto"/>
          </w:tcPr>
          <w:p w14:paraId="6B233BE6" w14:textId="13DF3D8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BDF501C" w14:textId="77777777" w:rsidR="000B4BD4" w:rsidRPr="0035187E" w:rsidRDefault="000B4BD4" w:rsidP="0035187E">
            <w:pPr>
              <w:jc w:val="both"/>
              <w:rPr>
                <w:rFonts w:ascii="Times New Roman" w:hAnsi="Times New Roman" w:cs="Times New Roman"/>
                <w:bCs/>
                <w:kern w:val="2"/>
                <w:sz w:val="20"/>
                <w:szCs w:val="20"/>
                <w:u w:val="single"/>
                <w:lang w:eastAsia="en-US"/>
              </w:rPr>
            </w:pPr>
            <w:r w:rsidRPr="0035187E">
              <w:rPr>
                <w:rFonts w:ascii="Times New Roman" w:hAnsi="Times New Roman" w:cs="Times New Roman"/>
                <w:bCs/>
                <w:kern w:val="2"/>
                <w:sz w:val="20"/>
                <w:szCs w:val="20"/>
                <w:u w:val="single"/>
                <w:lang w:eastAsia="en-US"/>
              </w:rPr>
              <w:t>K</w:t>
            </w:r>
            <w:r w:rsidRPr="0035187E">
              <w:rPr>
                <w:rFonts w:ascii="Times New Roman" w:hAnsi="Times New Roman" w:cs="Times New Roman"/>
                <w:kern w:val="2"/>
                <w:sz w:val="20"/>
                <w:szCs w:val="20"/>
                <w:u w:val="single"/>
                <w:lang w:eastAsia="en-US"/>
              </w:rPr>
              <w:t xml:space="preserve"> části první, hlavě II,</w:t>
            </w:r>
            <w:r w:rsidRPr="0035187E">
              <w:rPr>
                <w:rFonts w:ascii="Times New Roman" w:hAnsi="Times New Roman" w:cs="Times New Roman"/>
                <w:bCs/>
                <w:kern w:val="2"/>
                <w:sz w:val="20"/>
                <w:szCs w:val="20"/>
                <w:u w:val="single"/>
                <w:lang w:eastAsia="en-US"/>
              </w:rPr>
              <w:t xml:space="preserve"> § 19 odst. 1:</w:t>
            </w:r>
          </w:p>
          <w:p w14:paraId="41BDD90C" w14:textId="2B173BA5" w:rsidR="000B4BD4" w:rsidRPr="0035187E" w:rsidRDefault="000B4BD4" w:rsidP="0035187E">
            <w:pPr>
              <w:jc w:val="both"/>
              <w:rPr>
                <w:rFonts w:ascii="Times New Roman" w:hAnsi="Times New Roman" w:cs="Times New Roman"/>
                <w:kern w:val="2"/>
                <w:sz w:val="20"/>
                <w:szCs w:val="20"/>
                <w:lang w:eastAsia="en-US"/>
              </w:rPr>
            </w:pPr>
            <w:r w:rsidRPr="0035187E">
              <w:rPr>
                <w:rFonts w:ascii="Times New Roman" w:hAnsi="Times New Roman" w:cs="Times New Roman"/>
                <w:kern w:val="2"/>
                <w:sz w:val="20"/>
                <w:szCs w:val="20"/>
                <w:lang w:eastAsia="en-US"/>
              </w:rPr>
              <w:t>Upozorňujeme na neúplnost ustanovení, kde zřejmě vypadlo slovo „poplatníka“.</w:t>
            </w:r>
          </w:p>
        </w:tc>
        <w:tc>
          <w:tcPr>
            <w:tcW w:w="1453" w:type="pct"/>
            <w:tcBorders>
              <w:top w:val="single" w:sz="4" w:space="0" w:color="auto"/>
              <w:left w:val="single" w:sz="4" w:space="0" w:color="auto"/>
              <w:right w:val="single" w:sz="4" w:space="0" w:color="auto"/>
            </w:tcBorders>
            <w:shd w:val="clear" w:color="auto" w:fill="auto"/>
          </w:tcPr>
          <w:p w14:paraId="6A601A8F"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Vyhověno.</w:t>
            </w:r>
          </w:p>
          <w:p w14:paraId="2B3C69D1" w14:textId="6D781599"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tc>
      </w:tr>
      <w:tr w:rsidR="0035187E" w:rsidRPr="0035187E" w14:paraId="14920668"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982F848" w14:textId="71A6347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17.</w:t>
            </w:r>
          </w:p>
        </w:tc>
        <w:tc>
          <w:tcPr>
            <w:tcW w:w="583" w:type="pct"/>
            <w:tcBorders>
              <w:top w:val="single" w:sz="4" w:space="0" w:color="auto"/>
              <w:left w:val="single" w:sz="4" w:space="0" w:color="auto"/>
              <w:right w:val="single" w:sz="4" w:space="0" w:color="auto"/>
            </w:tcBorders>
            <w:shd w:val="clear" w:color="auto" w:fill="auto"/>
          </w:tcPr>
          <w:p w14:paraId="607BCC8E" w14:textId="1038D7E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Úřad vlády České </w:t>
            </w:r>
            <w:proofErr w:type="gramStart"/>
            <w:r w:rsidRPr="0035187E">
              <w:rPr>
                <w:rFonts w:ascii="Times New Roman" w:hAnsi="Times New Roman" w:cs="Times New Roman"/>
                <w:sz w:val="20"/>
                <w:szCs w:val="20"/>
              </w:rPr>
              <w:t>republiky - Odbor</w:t>
            </w:r>
            <w:proofErr w:type="gramEnd"/>
            <w:r w:rsidRPr="0035187E">
              <w:rPr>
                <w:rFonts w:ascii="Times New Roman" w:hAnsi="Times New Roman" w:cs="Times New Roman"/>
                <w:sz w:val="20"/>
                <w:szCs w:val="20"/>
              </w:rPr>
              <w:t xml:space="preserve"> kompatibility</w:t>
            </w:r>
          </w:p>
        </w:tc>
        <w:tc>
          <w:tcPr>
            <w:tcW w:w="168" w:type="pct"/>
            <w:tcBorders>
              <w:top w:val="single" w:sz="4" w:space="0" w:color="auto"/>
              <w:left w:val="single" w:sz="4" w:space="0" w:color="auto"/>
              <w:right w:val="single" w:sz="4" w:space="0" w:color="auto"/>
            </w:tcBorders>
            <w:shd w:val="clear" w:color="auto" w:fill="auto"/>
          </w:tcPr>
          <w:p w14:paraId="08633ABB" w14:textId="72569A1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9.</w:t>
            </w:r>
          </w:p>
        </w:tc>
        <w:tc>
          <w:tcPr>
            <w:tcW w:w="169" w:type="pct"/>
            <w:tcBorders>
              <w:top w:val="single" w:sz="4" w:space="0" w:color="auto"/>
              <w:left w:val="single" w:sz="4" w:space="0" w:color="auto"/>
              <w:right w:val="single" w:sz="4" w:space="0" w:color="auto"/>
            </w:tcBorders>
            <w:shd w:val="clear" w:color="auto" w:fill="auto"/>
          </w:tcPr>
          <w:p w14:paraId="61D0D4EC" w14:textId="7F62DBF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4FE77B0" w14:textId="77777777" w:rsidR="000B4BD4" w:rsidRPr="0035187E" w:rsidRDefault="000B4BD4" w:rsidP="0035187E">
            <w:pPr>
              <w:jc w:val="both"/>
              <w:rPr>
                <w:rFonts w:ascii="Times New Roman" w:hAnsi="Times New Roman" w:cs="Times New Roman"/>
                <w:bCs/>
                <w:kern w:val="2"/>
                <w:sz w:val="20"/>
                <w:szCs w:val="20"/>
                <w:u w:val="single"/>
                <w:lang w:eastAsia="en-US"/>
              </w:rPr>
            </w:pPr>
            <w:r w:rsidRPr="0035187E">
              <w:rPr>
                <w:rFonts w:ascii="Times New Roman" w:hAnsi="Times New Roman" w:cs="Times New Roman"/>
                <w:bCs/>
                <w:kern w:val="2"/>
                <w:sz w:val="20"/>
                <w:szCs w:val="20"/>
                <w:u w:val="single"/>
                <w:lang w:eastAsia="en-US"/>
              </w:rPr>
              <w:t>K</w:t>
            </w:r>
            <w:r w:rsidRPr="0035187E">
              <w:rPr>
                <w:rFonts w:ascii="Times New Roman" w:hAnsi="Times New Roman" w:cs="Times New Roman"/>
                <w:kern w:val="2"/>
                <w:sz w:val="20"/>
                <w:szCs w:val="20"/>
                <w:u w:val="single"/>
                <w:lang w:eastAsia="en-US"/>
              </w:rPr>
              <w:t xml:space="preserve"> části první, hlavě II,</w:t>
            </w:r>
            <w:r w:rsidRPr="0035187E">
              <w:rPr>
                <w:rFonts w:ascii="Times New Roman" w:hAnsi="Times New Roman" w:cs="Times New Roman"/>
                <w:bCs/>
                <w:kern w:val="2"/>
                <w:sz w:val="20"/>
                <w:szCs w:val="20"/>
                <w:u w:val="single"/>
                <w:lang w:eastAsia="en-US"/>
              </w:rPr>
              <w:t xml:space="preserve"> § 19 odst. 2:</w:t>
            </w:r>
          </w:p>
          <w:p w14:paraId="614287CE" w14:textId="77777777" w:rsidR="000B4BD4" w:rsidRPr="0035187E" w:rsidRDefault="000B4BD4" w:rsidP="0035187E">
            <w:pPr>
              <w:jc w:val="both"/>
              <w:rPr>
                <w:rFonts w:ascii="Times New Roman" w:hAnsi="Times New Roman" w:cs="Times New Roman"/>
                <w:kern w:val="2"/>
                <w:sz w:val="20"/>
                <w:szCs w:val="20"/>
                <w:lang w:eastAsia="en-US"/>
              </w:rPr>
            </w:pPr>
            <w:r w:rsidRPr="0035187E">
              <w:rPr>
                <w:rFonts w:ascii="Times New Roman" w:hAnsi="Times New Roman" w:cs="Times New Roman"/>
                <w:kern w:val="2"/>
                <w:sz w:val="20"/>
                <w:szCs w:val="20"/>
                <w:lang w:eastAsia="en-US"/>
              </w:rPr>
              <w:t xml:space="preserve">Paragraf 19 vymezuje pojem </w:t>
            </w:r>
            <w:r w:rsidRPr="0035187E">
              <w:rPr>
                <w:rFonts w:ascii="Times New Roman" w:eastAsia="Arial" w:hAnsi="Times New Roman" w:cs="Times New Roman"/>
                <w:kern w:val="2"/>
                <w:sz w:val="20"/>
                <w:szCs w:val="20"/>
                <w:lang w:eastAsia="en-US"/>
              </w:rPr>
              <w:t>„evidenční</w:t>
            </w:r>
            <w:r w:rsidRPr="0035187E">
              <w:rPr>
                <w:rFonts w:ascii="Times New Roman" w:hAnsi="Times New Roman" w:cs="Times New Roman"/>
                <w:kern w:val="2"/>
                <w:sz w:val="20"/>
                <w:szCs w:val="20"/>
                <w:lang w:eastAsia="en-US"/>
              </w:rPr>
              <w:t xml:space="preserve"> identifikační číslo” (EIČ), které přiděluje správce daně poplatníkovi. Pokud ho poplatník doposud nemá (dřívější DIČ), vytvoří se pomocí kódu </w:t>
            </w:r>
            <w:r w:rsidRPr="0035187E">
              <w:rPr>
                <w:rFonts w:ascii="Times New Roman" w:eastAsia="Arial" w:hAnsi="Times New Roman" w:cs="Times New Roman"/>
                <w:kern w:val="2"/>
                <w:sz w:val="20"/>
                <w:szCs w:val="20"/>
                <w:lang w:eastAsia="en-US"/>
              </w:rPr>
              <w:t>„</w:t>
            </w:r>
            <w:r w:rsidRPr="0035187E">
              <w:rPr>
                <w:rFonts w:ascii="Times New Roman" w:hAnsi="Times New Roman" w:cs="Times New Roman"/>
                <w:kern w:val="2"/>
                <w:sz w:val="20"/>
                <w:szCs w:val="20"/>
                <w:lang w:eastAsia="en-US"/>
              </w:rPr>
              <w:t>CZ” a </w:t>
            </w:r>
            <w:r w:rsidRPr="0035187E">
              <w:rPr>
                <w:rFonts w:ascii="Times New Roman" w:hAnsi="Times New Roman" w:cs="Times New Roman"/>
                <w:i/>
                <w:iCs/>
                <w:kern w:val="2"/>
                <w:sz w:val="20"/>
                <w:szCs w:val="20"/>
                <w:lang w:eastAsia="en-US"/>
              </w:rPr>
              <w:t>rodného čísla</w:t>
            </w:r>
            <w:r w:rsidRPr="0035187E">
              <w:rPr>
                <w:rFonts w:ascii="Times New Roman" w:hAnsi="Times New Roman" w:cs="Times New Roman"/>
                <w:kern w:val="2"/>
                <w:sz w:val="20"/>
                <w:szCs w:val="20"/>
                <w:lang w:eastAsia="en-US"/>
              </w:rPr>
              <w:t> nebo </w:t>
            </w:r>
            <w:r w:rsidRPr="0035187E">
              <w:rPr>
                <w:rFonts w:ascii="Times New Roman" w:hAnsi="Times New Roman" w:cs="Times New Roman"/>
                <w:i/>
                <w:iCs/>
                <w:kern w:val="2"/>
                <w:sz w:val="20"/>
                <w:szCs w:val="20"/>
                <w:lang w:eastAsia="en-US"/>
              </w:rPr>
              <w:t>vlastního identifikátoru správce daně,</w:t>
            </w:r>
            <w:r w:rsidRPr="0035187E">
              <w:rPr>
                <w:rFonts w:ascii="Times New Roman" w:hAnsi="Times New Roman" w:cs="Times New Roman"/>
                <w:kern w:val="2"/>
                <w:sz w:val="20"/>
                <w:szCs w:val="20"/>
                <w:lang w:eastAsia="en-US"/>
              </w:rPr>
              <w:t> který přiděluje správce daně, a to v případech, kdy poplatník rodné číslo nemá.</w:t>
            </w:r>
          </w:p>
          <w:p w14:paraId="23855C65" w14:textId="5D7D5843"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Cs/>
                <w:kern w:val="2"/>
                <w:sz w:val="20"/>
                <w:szCs w:val="20"/>
                <w:lang w:eastAsia="en-US"/>
              </w:rPr>
              <w:t>Vzhledem k tomu, že ustanovení umožnuje použití rodného čísla, což je citlivý údaj podle GDPR, žádáme do důvodové zprávy k tomuto bodu výslovně doplnit soulad se zásadami ochrany osobních údajů podle GDPR. Zejména pak s čl. 32 GDPR, který se týká zabezpečení zpracování osobních údajů. Tedy deklarovat, že údaje budou zpracovávány prostřednictvím odpovídajících technických a organizačních opatření (např. šifrování dat, použití pouze oprávněnými osobami atp.), aby se minimalizovalo riziko jejich úniku.   </w:t>
            </w:r>
          </w:p>
        </w:tc>
        <w:tc>
          <w:tcPr>
            <w:tcW w:w="1453" w:type="pct"/>
            <w:tcBorders>
              <w:top w:val="single" w:sz="4" w:space="0" w:color="auto"/>
              <w:left w:val="single" w:sz="4" w:space="0" w:color="auto"/>
              <w:right w:val="single" w:sz="4" w:space="0" w:color="auto"/>
            </w:tcBorders>
            <w:shd w:val="clear" w:color="auto" w:fill="auto"/>
          </w:tcPr>
          <w:p w14:paraId="6C8E0871" w14:textId="77777777"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4E364F6E" w14:textId="57C60898"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Nezavádí se nový mechanismus. Daný identifikátor již existuje. Návrh pro něj nově zavádí pouze nové právní označení, které je koncipováno jako kompatibilní s konstrukcí daňového identifikačního čísla.</w:t>
            </w:r>
          </w:p>
        </w:tc>
      </w:tr>
      <w:tr w:rsidR="0035187E" w:rsidRPr="0035187E" w14:paraId="742C8BAE"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410C7648" w14:textId="6FC04AA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17.</w:t>
            </w:r>
          </w:p>
        </w:tc>
        <w:tc>
          <w:tcPr>
            <w:tcW w:w="583" w:type="pct"/>
            <w:tcBorders>
              <w:top w:val="single" w:sz="4" w:space="0" w:color="auto"/>
              <w:left w:val="single" w:sz="4" w:space="0" w:color="auto"/>
              <w:right w:val="single" w:sz="4" w:space="0" w:color="auto"/>
            </w:tcBorders>
            <w:shd w:val="clear" w:color="auto" w:fill="auto"/>
          </w:tcPr>
          <w:p w14:paraId="16229255" w14:textId="3EFBF0C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Úřad vlády České </w:t>
            </w:r>
            <w:proofErr w:type="gramStart"/>
            <w:r w:rsidRPr="0035187E">
              <w:rPr>
                <w:rFonts w:ascii="Times New Roman" w:hAnsi="Times New Roman" w:cs="Times New Roman"/>
                <w:sz w:val="20"/>
                <w:szCs w:val="20"/>
              </w:rPr>
              <w:t>republiky - Odbor</w:t>
            </w:r>
            <w:proofErr w:type="gramEnd"/>
            <w:r w:rsidRPr="0035187E">
              <w:rPr>
                <w:rFonts w:ascii="Times New Roman" w:hAnsi="Times New Roman" w:cs="Times New Roman"/>
                <w:sz w:val="20"/>
                <w:szCs w:val="20"/>
              </w:rPr>
              <w:t xml:space="preserve"> kompatibility</w:t>
            </w:r>
          </w:p>
        </w:tc>
        <w:tc>
          <w:tcPr>
            <w:tcW w:w="168" w:type="pct"/>
            <w:tcBorders>
              <w:top w:val="single" w:sz="4" w:space="0" w:color="auto"/>
              <w:left w:val="single" w:sz="4" w:space="0" w:color="auto"/>
              <w:right w:val="single" w:sz="4" w:space="0" w:color="auto"/>
            </w:tcBorders>
            <w:shd w:val="clear" w:color="auto" w:fill="auto"/>
          </w:tcPr>
          <w:p w14:paraId="4754891E" w14:textId="414E0C6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10.</w:t>
            </w:r>
          </w:p>
        </w:tc>
        <w:tc>
          <w:tcPr>
            <w:tcW w:w="169" w:type="pct"/>
            <w:tcBorders>
              <w:top w:val="single" w:sz="4" w:space="0" w:color="auto"/>
              <w:left w:val="single" w:sz="4" w:space="0" w:color="auto"/>
              <w:right w:val="single" w:sz="4" w:space="0" w:color="auto"/>
            </w:tcBorders>
            <w:shd w:val="clear" w:color="auto" w:fill="auto"/>
          </w:tcPr>
          <w:p w14:paraId="111D0D42" w14:textId="6A3F6C1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3EFA975D" w14:textId="77777777" w:rsidR="000B4BD4" w:rsidRPr="0035187E" w:rsidRDefault="000B4BD4" w:rsidP="0035187E">
            <w:pPr>
              <w:jc w:val="both"/>
              <w:rPr>
                <w:rFonts w:ascii="Times New Roman" w:hAnsi="Times New Roman" w:cs="Times New Roman"/>
                <w:bCs/>
                <w:kern w:val="2"/>
                <w:sz w:val="20"/>
                <w:szCs w:val="20"/>
                <w:u w:val="single"/>
                <w:lang w:eastAsia="en-US"/>
              </w:rPr>
            </w:pPr>
            <w:r w:rsidRPr="0035187E">
              <w:rPr>
                <w:rFonts w:ascii="Times New Roman" w:hAnsi="Times New Roman" w:cs="Times New Roman"/>
                <w:bCs/>
                <w:kern w:val="2"/>
                <w:sz w:val="20"/>
                <w:szCs w:val="20"/>
                <w:u w:val="single"/>
                <w:lang w:eastAsia="en-US"/>
              </w:rPr>
              <w:t>K části druhé, § 30, bodu 12:</w:t>
            </w:r>
          </w:p>
          <w:p w14:paraId="229249C9" w14:textId="7BA0489F" w:rsidR="000B4BD4" w:rsidRPr="0035187E" w:rsidRDefault="000B4BD4" w:rsidP="0035187E">
            <w:pPr>
              <w:jc w:val="both"/>
              <w:rPr>
                <w:rFonts w:ascii="Times New Roman" w:hAnsi="Times New Roman" w:cs="Times New Roman"/>
                <w:kern w:val="2"/>
                <w:sz w:val="20"/>
                <w:szCs w:val="20"/>
                <w:lang w:eastAsia="en-US"/>
              </w:rPr>
            </w:pPr>
            <w:r w:rsidRPr="0035187E">
              <w:rPr>
                <w:rFonts w:ascii="Times New Roman" w:hAnsi="Times New Roman" w:cs="Times New Roman"/>
                <w:kern w:val="2"/>
                <w:sz w:val="20"/>
                <w:szCs w:val="20"/>
                <w:lang w:eastAsia="en-US"/>
              </w:rPr>
              <w:t xml:space="preserve">V § 35ba odst. 2 se doplňuje možnost snížit daň pro daňového nerezidenta, který je ale daňovým rezidentem členského státu nebo státu EHP, z důvodu slevy na umístění dítěte. Již ale ne pro další zaváděné </w:t>
            </w:r>
            <w:proofErr w:type="gramStart"/>
            <w:r w:rsidRPr="0035187E">
              <w:rPr>
                <w:rFonts w:ascii="Times New Roman" w:hAnsi="Times New Roman" w:cs="Times New Roman"/>
                <w:kern w:val="2"/>
                <w:sz w:val="20"/>
                <w:szCs w:val="20"/>
                <w:lang w:eastAsia="en-US"/>
              </w:rPr>
              <w:t>slevy - slevu</w:t>
            </w:r>
            <w:proofErr w:type="gramEnd"/>
            <w:r w:rsidRPr="0035187E">
              <w:rPr>
                <w:rFonts w:ascii="Times New Roman" w:hAnsi="Times New Roman" w:cs="Times New Roman"/>
                <w:kern w:val="2"/>
                <w:sz w:val="20"/>
                <w:szCs w:val="20"/>
                <w:lang w:eastAsia="en-US"/>
              </w:rPr>
              <w:t xml:space="preserve"> na studenta v odst. 1 písm. f) § 35ba, ani na slevu za evidenci tržeb podle § 35ba odst. 1 písm. h). Bylo toto vynechání záměrné? Slevy vyplývající ze statutu studenta nebo evidence tržeb tedy budou moci uplatňovat i rezidenti třetích zemí?</w:t>
            </w:r>
          </w:p>
        </w:tc>
        <w:tc>
          <w:tcPr>
            <w:tcW w:w="1453" w:type="pct"/>
            <w:tcBorders>
              <w:top w:val="single" w:sz="4" w:space="0" w:color="auto"/>
              <w:left w:val="single" w:sz="4" w:space="0" w:color="auto"/>
              <w:right w:val="single" w:sz="4" w:space="0" w:color="auto"/>
            </w:tcBorders>
            <w:shd w:val="clear" w:color="auto" w:fill="auto"/>
          </w:tcPr>
          <w:p w14:paraId="3E0A11AB" w14:textId="77777777" w:rsidR="0021550B" w:rsidRPr="0035187E" w:rsidRDefault="0021550B" w:rsidP="0035187E">
            <w:pPr>
              <w:jc w:val="both"/>
              <w:rPr>
                <w:rFonts w:ascii="Times New Roman" w:hAnsi="Times New Roman" w:cs="Times New Roman"/>
                <w:sz w:val="20"/>
                <w:szCs w:val="20"/>
              </w:rPr>
            </w:pPr>
            <w:r w:rsidRPr="0035187E">
              <w:rPr>
                <w:rFonts w:ascii="Times New Roman" w:hAnsi="Times New Roman" w:cs="Times New Roman"/>
                <w:b/>
                <w:sz w:val="20"/>
                <w:szCs w:val="20"/>
              </w:rPr>
              <w:t>Vysvětleno.</w:t>
            </w:r>
          </w:p>
          <w:p w14:paraId="61256F52" w14:textId="2354B473" w:rsidR="000B4BD4" w:rsidRPr="0035187E" w:rsidRDefault="0021550B" w:rsidP="0035187E">
            <w:pPr>
              <w:jc w:val="both"/>
              <w:rPr>
                <w:rFonts w:ascii="Times New Roman" w:hAnsi="Times New Roman" w:cs="Times New Roman"/>
                <w:sz w:val="20"/>
                <w:szCs w:val="20"/>
              </w:rPr>
            </w:pPr>
            <w:r w:rsidRPr="0035187E">
              <w:rPr>
                <w:rFonts w:ascii="Times New Roman" w:hAnsi="Times New Roman" w:cs="Times New Roman"/>
                <w:sz w:val="20"/>
                <w:szCs w:val="20"/>
              </w:rPr>
              <w:t>Základní sleva na poplatníka a navržená sleva na studenta je uplatnitelná jak daňovým rezidentem České republiky, tak daňovým nerezidentem, bez ohledu na to, zda je rezidentem členského státu Evropské unie nebo státu tvořícího Evropský hospodářský prostor. U nově navržené slevy za umístění dítěte, je možnost uplatnění daňovým nerezidentem omezena na nerezidenty, kteří jsou zároveň rezidenty členského státu Evropské unie nebo státu tvořícího Evropský hospodářský prostor. Sleva na evidenci tržeb se váže na vznik povinnosti evidovat tržby, která se týká poplatníků s příjmy ze zdrojů na území ČR bez ohledu na rozsah jejich daňové povinnosti vůči ČR. Omezení slevy by tedy nebylo důvodné.</w:t>
            </w:r>
          </w:p>
        </w:tc>
      </w:tr>
      <w:tr w:rsidR="0035187E" w:rsidRPr="0035187E" w14:paraId="66ED8147"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BF78BD1" w14:textId="625110E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17.</w:t>
            </w:r>
          </w:p>
        </w:tc>
        <w:tc>
          <w:tcPr>
            <w:tcW w:w="583" w:type="pct"/>
            <w:tcBorders>
              <w:top w:val="single" w:sz="4" w:space="0" w:color="auto"/>
              <w:left w:val="single" w:sz="4" w:space="0" w:color="auto"/>
              <w:right w:val="single" w:sz="4" w:space="0" w:color="auto"/>
            </w:tcBorders>
            <w:shd w:val="clear" w:color="auto" w:fill="auto"/>
          </w:tcPr>
          <w:p w14:paraId="12BBC9A3" w14:textId="5B017AF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Úřad vlády České </w:t>
            </w:r>
            <w:proofErr w:type="gramStart"/>
            <w:r w:rsidRPr="0035187E">
              <w:rPr>
                <w:rFonts w:ascii="Times New Roman" w:hAnsi="Times New Roman" w:cs="Times New Roman"/>
                <w:sz w:val="20"/>
                <w:szCs w:val="20"/>
              </w:rPr>
              <w:t>republiky - Odbor</w:t>
            </w:r>
            <w:proofErr w:type="gramEnd"/>
            <w:r w:rsidRPr="0035187E">
              <w:rPr>
                <w:rFonts w:ascii="Times New Roman" w:hAnsi="Times New Roman" w:cs="Times New Roman"/>
                <w:sz w:val="20"/>
                <w:szCs w:val="20"/>
              </w:rPr>
              <w:t xml:space="preserve"> kompatibility</w:t>
            </w:r>
          </w:p>
        </w:tc>
        <w:tc>
          <w:tcPr>
            <w:tcW w:w="168" w:type="pct"/>
            <w:tcBorders>
              <w:top w:val="single" w:sz="4" w:space="0" w:color="auto"/>
              <w:left w:val="single" w:sz="4" w:space="0" w:color="auto"/>
              <w:right w:val="single" w:sz="4" w:space="0" w:color="auto"/>
            </w:tcBorders>
            <w:shd w:val="clear" w:color="auto" w:fill="auto"/>
          </w:tcPr>
          <w:p w14:paraId="49333DAB" w14:textId="5345FF5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11.</w:t>
            </w:r>
          </w:p>
        </w:tc>
        <w:tc>
          <w:tcPr>
            <w:tcW w:w="169" w:type="pct"/>
            <w:tcBorders>
              <w:top w:val="single" w:sz="4" w:space="0" w:color="auto"/>
              <w:left w:val="single" w:sz="4" w:space="0" w:color="auto"/>
              <w:right w:val="single" w:sz="4" w:space="0" w:color="auto"/>
            </w:tcBorders>
            <w:shd w:val="clear" w:color="auto" w:fill="auto"/>
          </w:tcPr>
          <w:p w14:paraId="4DD19F96" w14:textId="3F627D6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3EDC0BA4" w14:textId="77777777" w:rsidR="000B4BD4" w:rsidRPr="0035187E" w:rsidRDefault="000B4BD4" w:rsidP="0035187E">
            <w:pPr>
              <w:jc w:val="both"/>
              <w:rPr>
                <w:rFonts w:ascii="Times New Roman" w:hAnsi="Times New Roman" w:cs="Times New Roman"/>
                <w:bCs/>
                <w:kern w:val="2"/>
                <w:sz w:val="20"/>
                <w:szCs w:val="20"/>
                <w:u w:val="single"/>
                <w:lang w:eastAsia="en-US"/>
              </w:rPr>
            </w:pPr>
            <w:r w:rsidRPr="0035187E">
              <w:rPr>
                <w:rFonts w:ascii="Times New Roman" w:hAnsi="Times New Roman" w:cs="Times New Roman"/>
                <w:bCs/>
                <w:kern w:val="2"/>
                <w:sz w:val="20"/>
                <w:szCs w:val="20"/>
                <w:u w:val="single"/>
                <w:lang w:eastAsia="en-US"/>
              </w:rPr>
              <w:t>Ke vztahu návrhu ke směrnici Rady (EU) 2025/516 ze dne 11. března 2025, kterou se mění směrnice 2006/112/ES, pokud jde o pravidla DPH pro digitální věk:</w:t>
            </w:r>
          </w:p>
          <w:p w14:paraId="1AB77736" w14:textId="77777777" w:rsidR="000B4BD4" w:rsidRPr="0035187E" w:rsidRDefault="000B4BD4" w:rsidP="0035187E">
            <w:pPr>
              <w:jc w:val="both"/>
              <w:rPr>
                <w:rFonts w:ascii="Times New Roman" w:hAnsi="Times New Roman" w:cs="Times New Roman"/>
                <w:kern w:val="2"/>
                <w:sz w:val="20"/>
                <w:szCs w:val="20"/>
                <w:lang w:eastAsia="en-US"/>
              </w:rPr>
            </w:pPr>
            <w:r w:rsidRPr="0035187E">
              <w:rPr>
                <w:rFonts w:ascii="Times New Roman" w:hAnsi="Times New Roman" w:cs="Times New Roman"/>
                <w:kern w:val="2"/>
                <w:sz w:val="20"/>
                <w:szCs w:val="20"/>
                <w:lang w:eastAsia="en-US"/>
              </w:rPr>
              <w:t>Tato směrnice, jejíž účinnost je nastavena v postupných fázích od 14. 4. 2025 až do 1. 7. 2030, si klade za cíl sjednotit digitální výkaznictví v oblasti DPH zavedením elektronické fakturace. Zvažoval předkladatel, do jaké míry je možné evropskou úpravu ze směrnice 2025/516 provázat s nyní navrhovaným řešením v zákoně o elektronické evidenci tržeb (do jaké míry by se tato úprava dala využít pro zamýšlené cíle navrhovaného zákona) a zda nebude nutno výhledově provádět revizi zákona z důvodu jeho kolize se zmíněnou směrnicí?</w:t>
            </w:r>
          </w:p>
          <w:p w14:paraId="0B6503EC" w14:textId="77777777" w:rsidR="000B4BD4" w:rsidRPr="0035187E" w:rsidRDefault="000B4BD4" w:rsidP="0035187E">
            <w:pPr>
              <w:jc w:val="both"/>
              <w:rPr>
                <w:rFonts w:ascii="Times New Roman" w:hAnsi="Times New Roman" w:cs="Times New Roman"/>
                <w:kern w:val="2"/>
                <w:sz w:val="20"/>
                <w:szCs w:val="20"/>
                <w:lang w:eastAsia="en-US"/>
              </w:rPr>
            </w:pPr>
            <w:r w:rsidRPr="0035187E">
              <w:rPr>
                <w:rFonts w:ascii="Times New Roman" w:hAnsi="Times New Roman" w:cs="Times New Roman"/>
                <w:bCs/>
                <w:kern w:val="2"/>
                <w:sz w:val="20"/>
                <w:szCs w:val="20"/>
                <w:lang w:eastAsia="en-US"/>
              </w:rPr>
              <w:lastRenderedPageBreak/>
              <w:t xml:space="preserve">Transpozice této směrnice je t.č. předmětem úpravy v návrhu zákona, kterým se mění zákon č. 235/2004 Sb., o dani z přidané hodnoty, ve znění pozdějších předpisů (materiál Ministerstva financí </w:t>
            </w:r>
            <w:r w:rsidRPr="0035187E">
              <w:rPr>
                <w:rFonts w:ascii="Times New Roman" w:hAnsi="Times New Roman" w:cs="Times New Roman"/>
                <w:kern w:val="2"/>
                <w:sz w:val="20"/>
                <w:szCs w:val="20"/>
                <w:lang w:eastAsia="en-US"/>
              </w:rPr>
              <w:t>MF-12319/2026/32-3 v MPŘ).</w:t>
            </w:r>
          </w:p>
          <w:p w14:paraId="63940EE3" w14:textId="77777777" w:rsidR="000B4BD4" w:rsidRPr="0035187E" w:rsidRDefault="000B4BD4" w:rsidP="0035187E">
            <w:pPr>
              <w:jc w:val="both"/>
              <w:rPr>
                <w:rFonts w:ascii="Times New Roman" w:hAnsi="Times New Roman" w:cs="Times New Roman"/>
                <w:b/>
                <w:bCs/>
                <w:kern w:val="2"/>
                <w:sz w:val="20"/>
                <w:szCs w:val="20"/>
                <w:u w:val="single"/>
                <w:lang w:eastAsia="en-US"/>
              </w:rPr>
            </w:pPr>
            <w:r w:rsidRPr="0035187E">
              <w:rPr>
                <w:rFonts w:ascii="Times New Roman" w:hAnsi="Times New Roman" w:cs="Times New Roman"/>
                <w:b/>
                <w:bCs/>
                <w:kern w:val="2"/>
                <w:sz w:val="20"/>
                <w:szCs w:val="20"/>
                <w:u w:val="single"/>
                <w:lang w:eastAsia="en-US"/>
              </w:rPr>
              <w:t>Závěr:</w:t>
            </w:r>
          </w:p>
          <w:p w14:paraId="7DE42EDB" w14:textId="734C0A94"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iCs/>
                <w:kern w:val="2"/>
                <w:sz w:val="20"/>
                <w:szCs w:val="20"/>
                <w:lang w:eastAsia="en-US"/>
              </w:rPr>
              <w:t>Návrh zákona bude možno považovat za s právem EU slučitelný po vyjasnění výše uvedených připomínek.</w:t>
            </w:r>
          </w:p>
        </w:tc>
        <w:tc>
          <w:tcPr>
            <w:tcW w:w="1453" w:type="pct"/>
            <w:tcBorders>
              <w:top w:val="single" w:sz="4" w:space="0" w:color="auto"/>
              <w:left w:val="single" w:sz="4" w:space="0" w:color="auto"/>
              <w:right w:val="single" w:sz="4" w:space="0" w:color="auto"/>
            </w:tcBorders>
            <w:shd w:val="clear" w:color="auto" w:fill="auto"/>
          </w:tcPr>
          <w:p w14:paraId="4E36F6D1"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Vysvětleno.</w:t>
            </w:r>
          </w:p>
          <w:p w14:paraId="35E680F2" w14:textId="75C8481F"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Předkladatel se tímto zabýval, ale dospěl k závěru nyní tato témata neprovazovat. Za prvé je zde časový aspekt, kdy povinné digitální výkaznictví, které směřuje pouze na přeshraniční transakce (nahrazení souhrnného hlášení), bude zavedeno až v roce 2030 (povinnost tuto úpravu zavést na domácí transakce pro situaci České republiky stanovena není). Vzhledem k tomuto termínu na unijní úrovni </w:t>
            </w:r>
            <w:r w:rsidRPr="0035187E">
              <w:rPr>
                <w:rFonts w:ascii="Times New Roman" w:hAnsi="Times New Roman" w:cs="Times New Roman"/>
                <w:sz w:val="20"/>
                <w:szCs w:val="20"/>
              </w:rPr>
              <w:lastRenderedPageBreak/>
              <w:t xml:space="preserve">pokračují diskuze ohledně praktických aspektů zavedení této úpravy, včetně vydání unijního standardu, jehož termín vydání se oproti původní plánu posunul. Nejsou tedy v současné době k dispozici veškeré potřebné údaje k provázání této úpravy a elektronické evidence tržeb od roku 2027. Rovněž je třeba vzít v potaz, že s ohledem na zásadnější změny v oblasti digitálního výkaznictví není možné tyto změny přijímat na poslední chvíli, neboť je zapotřebí poskytnout osobám povinným k dani dostatečný časový prostor pro přizpůsobení IT systémů (což je jiný případ než EET, kde se využijí stávající zařízení). Samozřejmě v případě, že bude rozhodnuto digitální výkaznictví dle </w:t>
            </w:r>
            <w:proofErr w:type="spellStart"/>
            <w:r w:rsidRPr="0035187E">
              <w:rPr>
                <w:rFonts w:ascii="Times New Roman" w:hAnsi="Times New Roman" w:cs="Times New Roman"/>
                <w:sz w:val="20"/>
                <w:szCs w:val="20"/>
              </w:rPr>
              <w:t>ViDA</w:t>
            </w:r>
            <w:proofErr w:type="spellEnd"/>
            <w:r w:rsidRPr="0035187E">
              <w:rPr>
                <w:rFonts w:ascii="Times New Roman" w:hAnsi="Times New Roman" w:cs="Times New Roman"/>
                <w:sz w:val="20"/>
                <w:szCs w:val="20"/>
              </w:rPr>
              <w:t xml:space="preserve"> směrnice na tuzemské transakce zavést, bude vzata v potaz skutečnost existence a fungování elektronické evidence tržeb.</w:t>
            </w:r>
          </w:p>
        </w:tc>
      </w:tr>
      <w:tr w:rsidR="0035187E" w:rsidRPr="0035187E" w14:paraId="1C376F93"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4972FF78" w14:textId="521AAE9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21.</w:t>
            </w:r>
          </w:p>
        </w:tc>
        <w:tc>
          <w:tcPr>
            <w:tcW w:w="583" w:type="pct"/>
            <w:tcBorders>
              <w:top w:val="single" w:sz="4" w:space="0" w:color="auto"/>
              <w:left w:val="single" w:sz="4" w:space="0" w:color="auto"/>
              <w:right w:val="single" w:sz="4" w:space="0" w:color="auto"/>
            </w:tcBorders>
            <w:shd w:val="clear" w:color="auto" w:fill="auto"/>
          </w:tcPr>
          <w:p w14:paraId="5BBF695F" w14:textId="211DF9C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Asociace malých a středních podniků a živnostníků ČR</w:t>
            </w:r>
          </w:p>
        </w:tc>
        <w:tc>
          <w:tcPr>
            <w:tcW w:w="168" w:type="pct"/>
            <w:tcBorders>
              <w:top w:val="single" w:sz="4" w:space="0" w:color="auto"/>
              <w:left w:val="single" w:sz="4" w:space="0" w:color="auto"/>
              <w:right w:val="single" w:sz="4" w:space="0" w:color="auto"/>
            </w:tcBorders>
            <w:shd w:val="clear" w:color="auto" w:fill="auto"/>
          </w:tcPr>
          <w:p w14:paraId="593A45FD" w14:textId="3B96DC0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2B9BEB01" w14:textId="2583D5D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3E6778BF" w14:textId="77777777" w:rsidR="000B4BD4" w:rsidRPr="0035187E" w:rsidRDefault="000B4BD4" w:rsidP="0035187E">
            <w:pPr>
              <w:jc w:val="both"/>
              <w:rPr>
                <w:rFonts w:ascii="Times New Roman" w:hAnsi="Times New Roman" w:cs="Times New Roman"/>
                <w:b/>
                <w:sz w:val="20"/>
                <w:szCs w:val="20"/>
                <w:u w:val="single"/>
              </w:rPr>
            </w:pPr>
            <w:r w:rsidRPr="0035187E">
              <w:rPr>
                <w:rFonts w:ascii="Times New Roman" w:hAnsi="Times New Roman" w:cs="Times New Roman"/>
                <w:b/>
                <w:sz w:val="20"/>
                <w:szCs w:val="20"/>
                <w:u w:val="single"/>
              </w:rPr>
              <w:t>Obecné připomínky:</w:t>
            </w:r>
          </w:p>
          <w:p w14:paraId="22901161" w14:textId="77777777" w:rsidR="000B4BD4" w:rsidRPr="0035187E" w:rsidRDefault="000B4BD4" w:rsidP="0035187E">
            <w:pPr>
              <w:jc w:val="both"/>
              <w:rPr>
                <w:rFonts w:ascii="Times New Roman" w:hAnsi="Times New Roman" w:cs="Times New Roman"/>
                <w:b/>
                <w:sz w:val="20"/>
                <w:szCs w:val="20"/>
                <w:u w:val="single"/>
              </w:rPr>
            </w:pPr>
          </w:p>
          <w:p w14:paraId="0BF76F7D" w14:textId="77777777" w:rsidR="000B4BD4" w:rsidRPr="0035187E" w:rsidRDefault="000B4BD4" w:rsidP="0035187E">
            <w:pPr>
              <w:jc w:val="both"/>
              <w:rPr>
                <w:rFonts w:ascii="Times New Roman" w:hAnsi="Times New Roman" w:cs="Times New Roman"/>
                <w:bCs/>
                <w:sz w:val="20"/>
                <w:szCs w:val="20"/>
                <w:u w:val="single"/>
              </w:rPr>
            </w:pPr>
            <w:r w:rsidRPr="0035187E">
              <w:rPr>
                <w:rFonts w:ascii="Times New Roman" w:hAnsi="Times New Roman" w:cs="Times New Roman"/>
                <w:b/>
                <w:sz w:val="20"/>
                <w:szCs w:val="20"/>
                <w:u w:val="single"/>
              </w:rPr>
              <w:t>1) K podstatě předkládaného návrhu</w:t>
            </w:r>
            <w:r w:rsidRPr="0035187E">
              <w:rPr>
                <w:rFonts w:ascii="Times New Roman" w:hAnsi="Times New Roman" w:cs="Times New Roman"/>
                <w:bCs/>
                <w:sz w:val="20"/>
                <w:szCs w:val="20"/>
                <w:u w:val="single"/>
              </w:rPr>
              <w:t>:</w:t>
            </w:r>
          </w:p>
          <w:p w14:paraId="2E7CB932"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u w:val="single"/>
                <w:lang w:eastAsia="en-US"/>
              </w:rPr>
              <w:t>Cíl</w:t>
            </w:r>
            <w:r w:rsidRPr="0035187E">
              <w:rPr>
                <w:rFonts w:ascii="Times New Roman" w:eastAsia="Calibri" w:hAnsi="Times New Roman" w:cs="Times New Roman"/>
                <w:sz w:val="20"/>
                <w:szCs w:val="20"/>
                <w:lang w:eastAsia="en-US"/>
              </w:rPr>
              <w:t>: Vysvětlení znění návrhu</w:t>
            </w:r>
          </w:p>
          <w:p w14:paraId="01D98225" w14:textId="77777777" w:rsidR="000B4BD4" w:rsidRPr="0035187E" w:rsidRDefault="000B4BD4" w:rsidP="0035187E">
            <w:pPr>
              <w:jc w:val="both"/>
              <w:rPr>
                <w:rFonts w:ascii="Times New Roman" w:eastAsia="Calibri" w:hAnsi="Times New Roman" w:cs="Times New Roman"/>
                <w:sz w:val="20"/>
                <w:szCs w:val="20"/>
                <w:lang w:eastAsia="en-US"/>
              </w:rPr>
            </w:pPr>
          </w:p>
          <w:p w14:paraId="106263CA"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u w:val="single"/>
                <w:lang w:eastAsia="en-US"/>
              </w:rPr>
              <w:t>Odůvodnění:</w:t>
            </w:r>
            <w:r w:rsidRPr="0035187E">
              <w:rPr>
                <w:rFonts w:ascii="Times New Roman" w:eastAsia="Calibri" w:hAnsi="Times New Roman" w:cs="Times New Roman"/>
                <w:sz w:val="20"/>
                <w:szCs w:val="20"/>
                <w:lang w:eastAsia="en-US"/>
              </w:rPr>
              <w:t xml:space="preserve"> Není nám zřejmé, zda v § 12, bod 4c) je na konci odrážky ponechána spojka „a“ záměrně, anebo zde zůstala omylem.</w:t>
            </w:r>
          </w:p>
          <w:p w14:paraId="299B0584" w14:textId="77777777" w:rsidR="000B4BD4" w:rsidRPr="0035187E" w:rsidRDefault="000B4BD4" w:rsidP="0035187E">
            <w:pPr>
              <w:jc w:val="both"/>
              <w:rPr>
                <w:rFonts w:ascii="Times New Roman" w:eastAsia="Calibri" w:hAnsi="Times New Roman" w:cs="Times New Roman"/>
                <w:sz w:val="20"/>
                <w:szCs w:val="20"/>
                <w:lang w:eastAsia="en-US"/>
              </w:rPr>
            </w:pPr>
          </w:p>
          <w:p w14:paraId="17935504" w14:textId="56143D6A" w:rsidR="000B4BD4" w:rsidRPr="0035187E" w:rsidRDefault="000B4BD4" w:rsidP="0035187E">
            <w:pPr>
              <w:jc w:val="both"/>
              <w:rPr>
                <w:rFonts w:ascii="Times New Roman" w:hAnsi="Times New Roman" w:cs="Times New Roman"/>
                <w:sz w:val="20"/>
                <w:szCs w:val="20"/>
                <w:lang w:eastAsia="ar-SA"/>
              </w:rPr>
            </w:pPr>
            <w:r w:rsidRPr="0035187E">
              <w:rPr>
                <w:rFonts w:ascii="Times New Roman" w:eastAsia="Calibri" w:hAnsi="Times New Roman" w:cs="Times New Roman"/>
                <w:b/>
                <w:bCs/>
                <w:sz w:val="20"/>
                <w:szCs w:val="20"/>
                <w:lang w:eastAsia="en-US"/>
              </w:rPr>
              <w:t>Tato připomínka je zásadní.</w:t>
            </w:r>
          </w:p>
        </w:tc>
        <w:tc>
          <w:tcPr>
            <w:tcW w:w="1453" w:type="pct"/>
            <w:tcBorders>
              <w:top w:val="single" w:sz="4" w:space="0" w:color="auto"/>
              <w:left w:val="single" w:sz="4" w:space="0" w:color="auto"/>
              <w:right w:val="single" w:sz="4" w:space="0" w:color="auto"/>
            </w:tcBorders>
            <w:shd w:val="clear" w:color="auto" w:fill="auto"/>
          </w:tcPr>
          <w:p w14:paraId="1232E269" w14:textId="77777777" w:rsidR="000B4BD4" w:rsidRPr="0035187E" w:rsidRDefault="00B611FD"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0A313128" w14:textId="02B704AA" w:rsidR="00B611FD" w:rsidRPr="0035187E" w:rsidRDefault="00B611FD" w:rsidP="0035187E">
            <w:pPr>
              <w:jc w:val="both"/>
              <w:rPr>
                <w:rFonts w:ascii="Times New Roman" w:hAnsi="Times New Roman" w:cs="Times New Roman"/>
                <w:sz w:val="20"/>
                <w:szCs w:val="20"/>
              </w:rPr>
            </w:pPr>
            <w:r w:rsidRPr="0035187E">
              <w:rPr>
                <w:rFonts w:ascii="Times New Roman" w:hAnsi="Times New Roman" w:cs="Times New Roman"/>
                <w:sz w:val="20"/>
                <w:szCs w:val="20"/>
              </w:rPr>
              <w:t>Spojka „a“ je v textu záměrně. Všechny čtyři podmínky v písmenech a) až d) musí být naplněny kumulativně.</w:t>
            </w:r>
          </w:p>
        </w:tc>
      </w:tr>
      <w:tr w:rsidR="0035187E" w:rsidRPr="0035187E" w14:paraId="453CECA2"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9A322B5" w14:textId="54AC786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21.</w:t>
            </w:r>
          </w:p>
        </w:tc>
        <w:tc>
          <w:tcPr>
            <w:tcW w:w="583" w:type="pct"/>
            <w:tcBorders>
              <w:top w:val="single" w:sz="4" w:space="0" w:color="auto"/>
              <w:left w:val="single" w:sz="4" w:space="0" w:color="auto"/>
              <w:right w:val="single" w:sz="4" w:space="0" w:color="auto"/>
            </w:tcBorders>
            <w:shd w:val="clear" w:color="auto" w:fill="auto"/>
          </w:tcPr>
          <w:p w14:paraId="3277607B" w14:textId="7794011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Asociace malých a středních podniků a živnostníků ČR</w:t>
            </w:r>
          </w:p>
        </w:tc>
        <w:tc>
          <w:tcPr>
            <w:tcW w:w="168" w:type="pct"/>
            <w:tcBorders>
              <w:top w:val="single" w:sz="4" w:space="0" w:color="auto"/>
              <w:left w:val="single" w:sz="4" w:space="0" w:color="auto"/>
              <w:right w:val="single" w:sz="4" w:space="0" w:color="auto"/>
            </w:tcBorders>
            <w:shd w:val="clear" w:color="auto" w:fill="auto"/>
          </w:tcPr>
          <w:p w14:paraId="28BD29A6" w14:textId="4E6C1CC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w:t>
            </w:r>
          </w:p>
        </w:tc>
        <w:tc>
          <w:tcPr>
            <w:tcW w:w="169" w:type="pct"/>
            <w:tcBorders>
              <w:top w:val="single" w:sz="4" w:space="0" w:color="auto"/>
              <w:left w:val="single" w:sz="4" w:space="0" w:color="auto"/>
              <w:right w:val="single" w:sz="4" w:space="0" w:color="auto"/>
            </w:tcBorders>
            <w:shd w:val="clear" w:color="auto" w:fill="auto"/>
          </w:tcPr>
          <w:p w14:paraId="7BF38C69" w14:textId="249950D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32A075C7"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hAnsi="Times New Roman" w:cs="Times New Roman"/>
                <w:b/>
                <w:sz w:val="20"/>
                <w:szCs w:val="20"/>
                <w:u w:val="single"/>
              </w:rPr>
              <w:t>2) K podstatě předkládaného návrhu</w:t>
            </w:r>
            <w:r w:rsidRPr="0035187E">
              <w:rPr>
                <w:rFonts w:ascii="Times New Roman" w:hAnsi="Times New Roman" w:cs="Times New Roman"/>
                <w:bCs/>
                <w:sz w:val="20"/>
                <w:szCs w:val="20"/>
                <w:u w:val="single"/>
              </w:rPr>
              <w:t>:</w:t>
            </w:r>
          </w:p>
          <w:p w14:paraId="50D32D0E"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u w:val="single"/>
                <w:lang w:eastAsia="en-US"/>
              </w:rPr>
              <w:t>Cíl</w:t>
            </w:r>
            <w:r w:rsidRPr="0035187E">
              <w:rPr>
                <w:rFonts w:ascii="Times New Roman" w:eastAsia="Calibri" w:hAnsi="Times New Roman" w:cs="Times New Roman"/>
                <w:sz w:val="20"/>
                <w:szCs w:val="20"/>
                <w:lang w:eastAsia="en-US"/>
              </w:rPr>
              <w:t>: Vysvětlení znění návrhu</w:t>
            </w:r>
          </w:p>
          <w:p w14:paraId="50746327" w14:textId="77777777" w:rsidR="000B4BD4" w:rsidRPr="0035187E" w:rsidRDefault="000B4BD4" w:rsidP="0035187E">
            <w:pPr>
              <w:jc w:val="both"/>
              <w:rPr>
                <w:rFonts w:ascii="Times New Roman" w:eastAsia="Calibri" w:hAnsi="Times New Roman" w:cs="Times New Roman"/>
                <w:sz w:val="20"/>
                <w:szCs w:val="20"/>
                <w:lang w:eastAsia="en-US"/>
              </w:rPr>
            </w:pPr>
          </w:p>
          <w:p w14:paraId="1C0CACAE"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u w:val="single"/>
                <w:lang w:eastAsia="en-US"/>
              </w:rPr>
              <w:t>Odůvodnění:</w:t>
            </w:r>
            <w:r w:rsidRPr="0035187E">
              <w:rPr>
                <w:rFonts w:ascii="Times New Roman" w:eastAsia="Calibri" w:hAnsi="Times New Roman" w:cs="Times New Roman"/>
                <w:sz w:val="20"/>
                <w:szCs w:val="20"/>
                <w:lang w:eastAsia="en-US"/>
              </w:rPr>
              <w:t xml:space="preserve"> V § 12 bod 5 je odkaz na neexistující odstavec 3 písm. a).</w:t>
            </w:r>
          </w:p>
          <w:p w14:paraId="2D495D10" w14:textId="77777777" w:rsidR="000B4BD4" w:rsidRPr="0035187E" w:rsidRDefault="000B4BD4" w:rsidP="0035187E">
            <w:pPr>
              <w:jc w:val="both"/>
              <w:rPr>
                <w:rFonts w:ascii="Times New Roman" w:eastAsia="Calibri" w:hAnsi="Times New Roman" w:cs="Times New Roman"/>
                <w:sz w:val="20"/>
                <w:szCs w:val="20"/>
                <w:lang w:eastAsia="en-US"/>
              </w:rPr>
            </w:pPr>
          </w:p>
          <w:p w14:paraId="495E8072" w14:textId="5E239224" w:rsidR="000B4BD4" w:rsidRPr="0035187E" w:rsidRDefault="000B4BD4" w:rsidP="0035187E">
            <w:pPr>
              <w:jc w:val="both"/>
              <w:rPr>
                <w:rFonts w:ascii="Times New Roman" w:hAnsi="Times New Roman" w:cs="Times New Roman"/>
                <w:sz w:val="20"/>
                <w:szCs w:val="20"/>
                <w:lang w:eastAsia="ar-SA"/>
              </w:rPr>
            </w:pPr>
            <w:r w:rsidRPr="0035187E">
              <w:rPr>
                <w:rFonts w:ascii="Times New Roman" w:eastAsia="Calibri" w:hAnsi="Times New Roman" w:cs="Times New Roman"/>
                <w:b/>
                <w:bCs/>
                <w:sz w:val="20"/>
                <w:szCs w:val="20"/>
                <w:lang w:eastAsia="en-US"/>
              </w:rPr>
              <w:t>Tato připomínka je zásadní.</w:t>
            </w:r>
          </w:p>
        </w:tc>
        <w:tc>
          <w:tcPr>
            <w:tcW w:w="1453" w:type="pct"/>
            <w:tcBorders>
              <w:top w:val="single" w:sz="4" w:space="0" w:color="auto"/>
              <w:left w:val="single" w:sz="4" w:space="0" w:color="auto"/>
              <w:right w:val="single" w:sz="4" w:space="0" w:color="auto"/>
            </w:tcBorders>
            <w:shd w:val="clear" w:color="auto" w:fill="auto"/>
          </w:tcPr>
          <w:p w14:paraId="39D0944C" w14:textId="3161EBD2"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Vyhověno.</w:t>
            </w:r>
          </w:p>
          <w:p w14:paraId="49726942" w14:textId="14A0A42B"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tc>
      </w:tr>
      <w:tr w:rsidR="0035187E" w:rsidRPr="0035187E" w14:paraId="7E116223"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C72C47B" w14:textId="03FB1BB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21.</w:t>
            </w:r>
          </w:p>
        </w:tc>
        <w:tc>
          <w:tcPr>
            <w:tcW w:w="583" w:type="pct"/>
            <w:tcBorders>
              <w:top w:val="single" w:sz="4" w:space="0" w:color="auto"/>
              <w:left w:val="single" w:sz="4" w:space="0" w:color="auto"/>
              <w:right w:val="single" w:sz="4" w:space="0" w:color="auto"/>
            </w:tcBorders>
            <w:shd w:val="clear" w:color="auto" w:fill="auto"/>
          </w:tcPr>
          <w:p w14:paraId="79E85961" w14:textId="5361EF4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Asociace malých a středních podniků a živnostníků ČR</w:t>
            </w:r>
          </w:p>
        </w:tc>
        <w:tc>
          <w:tcPr>
            <w:tcW w:w="168" w:type="pct"/>
            <w:tcBorders>
              <w:top w:val="single" w:sz="4" w:space="0" w:color="auto"/>
              <w:left w:val="single" w:sz="4" w:space="0" w:color="auto"/>
              <w:right w:val="single" w:sz="4" w:space="0" w:color="auto"/>
            </w:tcBorders>
            <w:shd w:val="clear" w:color="auto" w:fill="auto"/>
          </w:tcPr>
          <w:p w14:paraId="61B9CF01" w14:textId="49E1B76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3.</w:t>
            </w:r>
          </w:p>
        </w:tc>
        <w:tc>
          <w:tcPr>
            <w:tcW w:w="169" w:type="pct"/>
            <w:tcBorders>
              <w:top w:val="single" w:sz="4" w:space="0" w:color="auto"/>
              <w:left w:val="single" w:sz="4" w:space="0" w:color="auto"/>
              <w:right w:val="single" w:sz="4" w:space="0" w:color="auto"/>
            </w:tcBorders>
            <w:shd w:val="clear" w:color="auto" w:fill="auto"/>
          </w:tcPr>
          <w:p w14:paraId="30474171" w14:textId="7346BAE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E3E47C4" w14:textId="77777777" w:rsidR="000B4BD4" w:rsidRPr="0035187E" w:rsidRDefault="000B4BD4" w:rsidP="0035187E">
            <w:pPr>
              <w:jc w:val="both"/>
              <w:rPr>
                <w:rFonts w:ascii="Times New Roman" w:hAnsi="Times New Roman" w:cs="Times New Roman"/>
                <w:bCs/>
                <w:sz w:val="20"/>
                <w:szCs w:val="20"/>
                <w:u w:val="single"/>
              </w:rPr>
            </w:pPr>
            <w:r w:rsidRPr="0035187E">
              <w:rPr>
                <w:rFonts w:ascii="Times New Roman" w:hAnsi="Times New Roman" w:cs="Times New Roman"/>
                <w:b/>
                <w:sz w:val="20"/>
                <w:szCs w:val="20"/>
                <w:u w:val="single"/>
              </w:rPr>
              <w:t>3) K podstatě předkládaného návrhu</w:t>
            </w:r>
            <w:r w:rsidRPr="0035187E">
              <w:rPr>
                <w:rFonts w:ascii="Times New Roman" w:hAnsi="Times New Roman" w:cs="Times New Roman"/>
                <w:bCs/>
                <w:sz w:val="20"/>
                <w:szCs w:val="20"/>
                <w:u w:val="single"/>
              </w:rPr>
              <w:t>:</w:t>
            </w:r>
          </w:p>
          <w:p w14:paraId="26540761" w14:textId="77777777" w:rsidR="000B4BD4" w:rsidRPr="0035187E" w:rsidRDefault="000B4BD4" w:rsidP="0035187E">
            <w:pPr>
              <w:jc w:val="both"/>
              <w:rPr>
                <w:rFonts w:ascii="Times New Roman" w:hAnsi="Times New Roman" w:cs="Times New Roman"/>
                <w:bCs/>
                <w:sz w:val="20"/>
                <w:szCs w:val="20"/>
                <w:u w:val="single"/>
              </w:rPr>
            </w:pPr>
          </w:p>
          <w:p w14:paraId="00ABD5EB"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hAnsi="Times New Roman" w:cs="Times New Roman"/>
                <w:bCs/>
                <w:sz w:val="20"/>
                <w:szCs w:val="20"/>
                <w:u w:val="single"/>
              </w:rPr>
              <w:t>Cíl:</w:t>
            </w:r>
            <w:r w:rsidRPr="0035187E">
              <w:rPr>
                <w:rFonts w:ascii="Times New Roman" w:hAnsi="Times New Roman" w:cs="Times New Roman"/>
                <w:bCs/>
                <w:sz w:val="20"/>
                <w:szCs w:val="20"/>
              </w:rPr>
              <w:t xml:space="preserve"> Vyjasnění okamžiku vzniku a zániku povinnosti registrace k EET při zahájení či ukončení spolupráce nebo zaměstnání.</w:t>
            </w:r>
          </w:p>
          <w:p w14:paraId="5B3A40A5"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br/>
            </w:r>
            <w:r w:rsidRPr="0035187E">
              <w:rPr>
                <w:rFonts w:ascii="Times New Roman" w:eastAsia="Calibri" w:hAnsi="Times New Roman" w:cs="Times New Roman"/>
                <w:sz w:val="20"/>
                <w:szCs w:val="20"/>
                <w:u w:val="single"/>
                <w:lang w:eastAsia="en-US"/>
              </w:rPr>
              <w:t>Odůvodnění:</w:t>
            </w:r>
            <w:r w:rsidRPr="0035187E">
              <w:rPr>
                <w:rFonts w:ascii="Times New Roman" w:eastAsia="Calibri" w:hAnsi="Times New Roman" w:cs="Times New Roman"/>
                <w:sz w:val="20"/>
                <w:szCs w:val="20"/>
                <w:lang w:eastAsia="en-US"/>
              </w:rPr>
              <w:t xml:space="preserve"> Z ustanovení § 12 odst. </w:t>
            </w:r>
            <w:proofErr w:type="gramStart"/>
            <w:r w:rsidRPr="0035187E">
              <w:rPr>
                <w:rFonts w:ascii="Times New Roman" w:eastAsia="Calibri" w:hAnsi="Times New Roman" w:cs="Times New Roman"/>
                <w:sz w:val="20"/>
                <w:szCs w:val="20"/>
                <w:lang w:eastAsia="en-US"/>
              </w:rPr>
              <w:t>4b</w:t>
            </w:r>
            <w:proofErr w:type="gramEnd"/>
            <w:r w:rsidRPr="0035187E">
              <w:rPr>
                <w:rFonts w:ascii="Times New Roman" w:eastAsia="Calibri" w:hAnsi="Times New Roman" w:cs="Times New Roman"/>
                <w:sz w:val="20"/>
                <w:szCs w:val="20"/>
                <w:lang w:eastAsia="en-US"/>
              </w:rPr>
              <w:t>) nám není zřejmé, kdy se má podnikatel registrovat k EET v případě, kdy začne podnikat se spolupracující osobu anebo zaměstná prvního / jediného zaměstnance. Registrace má být ode dne zahájení spolupráce / dne vzniku zaměstnavatelského vztahu? A jde-li o opačný případ, tj. kdy podnikatel ukončí pracovní poměr svého jediného zaměstnance, hned následující den po konci zaměstnavatelského vztahu může ukončit evidenci svých tržeb v EET?</w:t>
            </w:r>
          </w:p>
          <w:p w14:paraId="64CED8D6" w14:textId="77777777" w:rsidR="000B4BD4" w:rsidRPr="0035187E" w:rsidRDefault="000B4BD4" w:rsidP="0035187E">
            <w:pPr>
              <w:jc w:val="both"/>
              <w:rPr>
                <w:rFonts w:ascii="Times New Roman" w:eastAsia="Calibri" w:hAnsi="Times New Roman" w:cs="Times New Roman"/>
                <w:sz w:val="20"/>
                <w:szCs w:val="20"/>
                <w:lang w:eastAsia="en-US"/>
              </w:rPr>
            </w:pPr>
          </w:p>
          <w:p w14:paraId="38A64AFE" w14:textId="3B0F8D83" w:rsidR="000B4BD4" w:rsidRPr="0035187E" w:rsidRDefault="000B4BD4" w:rsidP="0035187E">
            <w:pPr>
              <w:jc w:val="both"/>
              <w:rPr>
                <w:rFonts w:ascii="Times New Roman" w:hAnsi="Times New Roman" w:cs="Times New Roman"/>
                <w:sz w:val="20"/>
                <w:szCs w:val="20"/>
                <w:lang w:eastAsia="ar-SA"/>
              </w:rPr>
            </w:pPr>
            <w:r w:rsidRPr="0035187E">
              <w:rPr>
                <w:rFonts w:ascii="Times New Roman" w:eastAsia="Calibri" w:hAnsi="Times New Roman" w:cs="Times New Roman"/>
                <w:b/>
                <w:bCs/>
                <w:sz w:val="20"/>
                <w:szCs w:val="20"/>
                <w:lang w:eastAsia="en-US"/>
              </w:rPr>
              <w:t>Tato připomínka je zásadní.</w:t>
            </w:r>
          </w:p>
        </w:tc>
        <w:tc>
          <w:tcPr>
            <w:tcW w:w="1453" w:type="pct"/>
            <w:tcBorders>
              <w:top w:val="single" w:sz="4" w:space="0" w:color="auto"/>
              <w:left w:val="single" w:sz="4" w:space="0" w:color="auto"/>
              <w:right w:val="single" w:sz="4" w:space="0" w:color="auto"/>
            </w:tcBorders>
            <w:shd w:val="clear" w:color="auto" w:fill="auto"/>
          </w:tcPr>
          <w:p w14:paraId="47B85B04" w14:textId="77777777" w:rsidR="000B4BD4" w:rsidRPr="0035187E" w:rsidRDefault="00CE5B45"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Vysvětleno.</w:t>
            </w:r>
          </w:p>
          <w:p w14:paraId="5E97BBED" w14:textId="7930E5DA" w:rsidR="00B51A80" w:rsidRPr="0035187E" w:rsidRDefault="00CE5B45" w:rsidP="0035187E">
            <w:pPr>
              <w:jc w:val="both"/>
              <w:rPr>
                <w:rFonts w:ascii="Times New Roman" w:hAnsi="Times New Roman" w:cs="Times New Roman"/>
                <w:sz w:val="20"/>
                <w:szCs w:val="20"/>
              </w:rPr>
            </w:pPr>
            <w:r w:rsidRPr="0035187E">
              <w:rPr>
                <w:rFonts w:ascii="Times New Roman" w:hAnsi="Times New Roman" w:cs="Times New Roman"/>
                <w:sz w:val="20"/>
                <w:szCs w:val="20"/>
              </w:rPr>
              <w:t>Návrh zákona neupravuje institut registrace. Připomínkové místo má zřejmě na mysli oznamovací povinnost podle § 16 návrhu. K té je každý poplatník povinen před získáním certifikátu k evidenci tržeb, přičemž k těmto operacím musí dojít před přijetím první evidované tržby. V případě, kdy poplatník přestane splňovat podmínku pro vynětí tržeb z povinnosti je evidovat,</w:t>
            </w:r>
            <w:r w:rsidR="00184010" w:rsidRPr="0035187E">
              <w:rPr>
                <w:rFonts w:ascii="Times New Roman" w:hAnsi="Times New Roman" w:cs="Times New Roman"/>
                <w:sz w:val="20"/>
                <w:szCs w:val="20"/>
              </w:rPr>
              <w:t xml:space="preserve"> je vhodné, aby </w:t>
            </w:r>
            <w:r w:rsidR="00BE0D08" w:rsidRPr="0035187E">
              <w:rPr>
                <w:rFonts w:ascii="Times New Roman" w:hAnsi="Times New Roman" w:cs="Times New Roman"/>
                <w:sz w:val="20"/>
                <w:szCs w:val="20"/>
              </w:rPr>
              <w:t xml:space="preserve">se na evidenci </w:t>
            </w:r>
            <w:proofErr w:type="gramStart"/>
            <w:r w:rsidR="00BE0D08" w:rsidRPr="0035187E">
              <w:rPr>
                <w:rFonts w:ascii="Times New Roman" w:hAnsi="Times New Roman" w:cs="Times New Roman"/>
                <w:sz w:val="20"/>
                <w:szCs w:val="20"/>
              </w:rPr>
              <w:t>tržeb  včas</w:t>
            </w:r>
            <w:proofErr w:type="gramEnd"/>
            <w:r w:rsidR="00BE0D08" w:rsidRPr="0035187E">
              <w:rPr>
                <w:rFonts w:ascii="Times New Roman" w:hAnsi="Times New Roman" w:cs="Times New Roman"/>
                <w:sz w:val="20"/>
                <w:szCs w:val="20"/>
              </w:rPr>
              <w:t xml:space="preserve"> připravil. To obnáší mj. splnění </w:t>
            </w:r>
            <w:r w:rsidR="00184010" w:rsidRPr="0035187E">
              <w:rPr>
                <w:rFonts w:ascii="Times New Roman" w:hAnsi="Times New Roman" w:cs="Times New Roman"/>
                <w:sz w:val="20"/>
                <w:szCs w:val="20"/>
              </w:rPr>
              <w:t>oznamovací povinnost</w:t>
            </w:r>
            <w:r w:rsidR="00BE0D08" w:rsidRPr="0035187E">
              <w:rPr>
                <w:rFonts w:ascii="Times New Roman" w:hAnsi="Times New Roman" w:cs="Times New Roman"/>
                <w:sz w:val="20"/>
                <w:szCs w:val="20"/>
              </w:rPr>
              <w:t>i</w:t>
            </w:r>
            <w:r w:rsidR="00184010" w:rsidRPr="0035187E">
              <w:rPr>
                <w:rFonts w:ascii="Times New Roman" w:hAnsi="Times New Roman" w:cs="Times New Roman"/>
                <w:sz w:val="20"/>
                <w:szCs w:val="20"/>
              </w:rPr>
              <w:t xml:space="preserve"> v dostatečném předstihu tak, </w:t>
            </w:r>
            <w:r w:rsidR="00184010" w:rsidRPr="0035187E">
              <w:rPr>
                <w:rFonts w:ascii="Times New Roman" w:hAnsi="Times New Roman" w:cs="Times New Roman"/>
                <w:sz w:val="20"/>
                <w:szCs w:val="20"/>
              </w:rPr>
              <w:lastRenderedPageBreak/>
              <w:t>aby mohl uskutečňovat (nově) evidované tržby bez rizika sankce.</w:t>
            </w:r>
          </w:p>
        </w:tc>
      </w:tr>
      <w:tr w:rsidR="0035187E" w:rsidRPr="0035187E" w14:paraId="3974D0C2"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BEEE042" w14:textId="6F2637E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21.</w:t>
            </w:r>
          </w:p>
        </w:tc>
        <w:tc>
          <w:tcPr>
            <w:tcW w:w="583" w:type="pct"/>
            <w:tcBorders>
              <w:top w:val="single" w:sz="4" w:space="0" w:color="auto"/>
              <w:left w:val="single" w:sz="4" w:space="0" w:color="auto"/>
              <w:right w:val="single" w:sz="4" w:space="0" w:color="auto"/>
            </w:tcBorders>
            <w:shd w:val="clear" w:color="auto" w:fill="auto"/>
          </w:tcPr>
          <w:p w14:paraId="161E3472" w14:textId="283CB94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Asociace malých a středních podniků a živnostníků ČR</w:t>
            </w:r>
          </w:p>
        </w:tc>
        <w:tc>
          <w:tcPr>
            <w:tcW w:w="168" w:type="pct"/>
            <w:tcBorders>
              <w:top w:val="single" w:sz="4" w:space="0" w:color="auto"/>
              <w:left w:val="single" w:sz="4" w:space="0" w:color="auto"/>
              <w:right w:val="single" w:sz="4" w:space="0" w:color="auto"/>
            </w:tcBorders>
            <w:shd w:val="clear" w:color="auto" w:fill="auto"/>
          </w:tcPr>
          <w:p w14:paraId="1FCEC59E" w14:textId="22380EE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w:t>
            </w:r>
          </w:p>
        </w:tc>
        <w:tc>
          <w:tcPr>
            <w:tcW w:w="169" w:type="pct"/>
            <w:tcBorders>
              <w:top w:val="single" w:sz="4" w:space="0" w:color="auto"/>
              <w:left w:val="single" w:sz="4" w:space="0" w:color="auto"/>
              <w:right w:val="single" w:sz="4" w:space="0" w:color="auto"/>
            </w:tcBorders>
            <w:shd w:val="clear" w:color="auto" w:fill="auto"/>
          </w:tcPr>
          <w:p w14:paraId="5A800DD2" w14:textId="5BA0BC3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89EF98D" w14:textId="77777777" w:rsidR="000B4BD4" w:rsidRPr="0035187E" w:rsidRDefault="000B4BD4" w:rsidP="0035187E">
            <w:pPr>
              <w:jc w:val="both"/>
              <w:rPr>
                <w:rFonts w:ascii="Times New Roman" w:hAnsi="Times New Roman" w:cs="Times New Roman"/>
                <w:bCs/>
                <w:sz w:val="20"/>
                <w:szCs w:val="20"/>
                <w:u w:val="single"/>
              </w:rPr>
            </w:pPr>
            <w:r w:rsidRPr="0035187E">
              <w:rPr>
                <w:rFonts w:ascii="Times New Roman" w:hAnsi="Times New Roman" w:cs="Times New Roman"/>
                <w:b/>
                <w:sz w:val="20"/>
                <w:szCs w:val="20"/>
                <w:u w:val="single"/>
              </w:rPr>
              <w:t>4) K podstatě předkládaného návrhu</w:t>
            </w:r>
            <w:r w:rsidRPr="0035187E">
              <w:rPr>
                <w:rFonts w:ascii="Times New Roman" w:hAnsi="Times New Roman" w:cs="Times New Roman"/>
                <w:bCs/>
                <w:sz w:val="20"/>
                <w:szCs w:val="20"/>
                <w:u w:val="single"/>
              </w:rPr>
              <w:t>:</w:t>
            </w:r>
          </w:p>
          <w:p w14:paraId="35D897B3" w14:textId="77777777" w:rsidR="000B4BD4" w:rsidRPr="0035187E" w:rsidRDefault="000B4BD4" w:rsidP="0035187E">
            <w:pPr>
              <w:jc w:val="both"/>
              <w:rPr>
                <w:rFonts w:ascii="Times New Roman" w:hAnsi="Times New Roman" w:cs="Times New Roman"/>
                <w:bCs/>
                <w:sz w:val="20"/>
                <w:szCs w:val="20"/>
                <w:u w:val="single"/>
              </w:rPr>
            </w:pPr>
          </w:p>
          <w:p w14:paraId="51408312"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hAnsi="Times New Roman" w:cs="Times New Roman"/>
                <w:bCs/>
                <w:sz w:val="20"/>
                <w:szCs w:val="20"/>
                <w:u w:val="single"/>
              </w:rPr>
              <w:t>Cíl:</w:t>
            </w:r>
            <w:r w:rsidRPr="0035187E">
              <w:rPr>
                <w:rFonts w:ascii="Times New Roman" w:hAnsi="Times New Roman" w:cs="Times New Roman"/>
                <w:bCs/>
                <w:sz w:val="20"/>
                <w:szCs w:val="20"/>
              </w:rPr>
              <w:t xml:space="preserve"> Vyloučení dohledatelné bezhotovostní platby z evidence tržeb.</w:t>
            </w:r>
          </w:p>
          <w:p w14:paraId="32F12999" w14:textId="77777777" w:rsidR="000B4BD4" w:rsidRPr="0035187E" w:rsidRDefault="000B4BD4" w:rsidP="0035187E">
            <w:pPr>
              <w:jc w:val="both"/>
              <w:rPr>
                <w:rFonts w:ascii="Times New Roman" w:eastAsia="Calibri" w:hAnsi="Times New Roman" w:cs="Times New Roman"/>
                <w:sz w:val="20"/>
                <w:szCs w:val="20"/>
                <w:lang w:eastAsia="en-US"/>
              </w:rPr>
            </w:pPr>
          </w:p>
          <w:p w14:paraId="68D5A72D"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u w:val="single"/>
                <w:lang w:eastAsia="en-US"/>
              </w:rPr>
              <w:t>Odůvodnění:</w:t>
            </w:r>
            <w:r w:rsidRPr="0035187E">
              <w:rPr>
                <w:rFonts w:ascii="Times New Roman" w:eastAsia="Calibri" w:hAnsi="Times New Roman" w:cs="Times New Roman"/>
                <w:sz w:val="20"/>
                <w:szCs w:val="20"/>
                <w:lang w:eastAsia="en-US"/>
              </w:rPr>
              <w:t xml:space="preserve"> Dle § 6 odst. 1 písm. b) návrhu zákona podléhají evidenci tržeb kontaktní platby uskutečněné bezhotovostním převodem peněžních prostředků. Toto ustanovení v kombinaci s definicí kontaktní platby v § 7 znamená, že platby platební kartou i platby QR kódem uskutečněné v rámci osobního kontaktu s poplatníkem nebo v provozovně budou podléhat povinnosti evidence tržeb.</w:t>
            </w:r>
          </w:p>
          <w:p w14:paraId="677B45F5" w14:textId="77777777" w:rsidR="000B4BD4" w:rsidRPr="0035187E" w:rsidRDefault="000B4BD4" w:rsidP="0035187E">
            <w:pPr>
              <w:jc w:val="both"/>
              <w:rPr>
                <w:rFonts w:ascii="Times New Roman" w:eastAsia="Calibri" w:hAnsi="Times New Roman" w:cs="Times New Roman"/>
                <w:sz w:val="20"/>
                <w:szCs w:val="20"/>
                <w:lang w:eastAsia="en-US"/>
              </w:rPr>
            </w:pPr>
          </w:p>
          <w:p w14:paraId="7F37B552"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b/>
                <w:bCs/>
                <w:i/>
                <w:iCs/>
                <w:sz w:val="20"/>
                <w:szCs w:val="20"/>
                <w:lang w:eastAsia="en-US"/>
              </w:rPr>
              <w:t>a) Argumentace předkladatele o „vzájemném ovlivnění" neplatí pro bezhotovostní platby</w:t>
            </w:r>
          </w:p>
          <w:p w14:paraId="17340B85"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Důvodová zpráva uvádí, že klíčovým faktorem pro zahrnutí kontaktních plateb je riziko, že v rámci osobní interakce „může snáze dojít k nezaevidování platby, případně může být uskutečněná platba záměrně nesprávně zaevidována nižší částkou".</w:t>
            </w:r>
          </w:p>
          <w:p w14:paraId="42AAA331" w14:textId="77777777" w:rsidR="000B4BD4" w:rsidRPr="0035187E" w:rsidRDefault="000B4BD4" w:rsidP="0035187E">
            <w:pPr>
              <w:jc w:val="both"/>
              <w:rPr>
                <w:rFonts w:ascii="Times New Roman" w:eastAsia="Calibri" w:hAnsi="Times New Roman" w:cs="Times New Roman"/>
                <w:sz w:val="20"/>
                <w:szCs w:val="20"/>
                <w:lang w:eastAsia="en-US"/>
              </w:rPr>
            </w:pPr>
          </w:p>
          <w:p w14:paraId="27435948"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b/>
                <w:bCs/>
                <w:sz w:val="20"/>
                <w:szCs w:val="20"/>
                <w:lang w:eastAsia="en-US"/>
              </w:rPr>
              <w:t>Tento argument je relevantní pouze pro hotovostní platby:</w:t>
            </w:r>
          </w:p>
          <w:p w14:paraId="5DC4E7C3" w14:textId="77777777" w:rsidR="000B4BD4" w:rsidRPr="0035187E" w:rsidRDefault="000B4BD4" w:rsidP="0035187E">
            <w:pPr>
              <w:numPr>
                <w:ilvl w:val="0"/>
                <w:numId w:val="40"/>
              </w:numPr>
              <w:ind w:left="0" w:firstLine="0"/>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U bezhotovostních plateb je zaplacena vždy přesně ta částka, kterou obchodník zadá do platebního systému. Pokud se strany domluví na nižší částce, zákazník tuto nižší částku zaplatí kartou nebo QR kódem a více ne – tato dohodnutá částka se tak stává skutečnou cenou transakce. V bankovním systému i v EET bude zaznamenána stejná částka. Evidence tržeb tedy nemá možnost odhalit, že strany původně uvažovaly o jiné ceně, protože zaplacená částka je jedinou reálně existující cenou. Pokud by měl být případný rozdíl doplacen, musel by být uhrazen v hotovosti, což spadá do oblasti evidence hotovostních plateb.</w:t>
            </w:r>
          </w:p>
          <w:p w14:paraId="65FBFE0D" w14:textId="77777777" w:rsidR="000B4BD4" w:rsidRPr="0035187E" w:rsidRDefault="000B4BD4" w:rsidP="0035187E">
            <w:pPr>
              <w:jc w:val="both"/>
              <w:rPr>
                <w:rFonts w:ascii="Times New Roman" w:eastAsia="Calibri" w:hAnsi="Times New Roman" w:cs="Times New Roman"/>
                <w:sz w:val="20"/>
                <w:szCs w:val="20"/>
                <w:lang w:eastAsia="en-US"/>
              </w:rPr>
            </w:pPr>
          </w:p>
          <w:p w14:paraId="0F4E2D3D" w14:textId="77777777" w:rsidR="000B4BD4" w:rsidRPr="0035187E" w:rsidRDefault="000B4BD4" w:rsidP="0035187E">
            <w:pPr>
              <w:numPr>
                <w:ilvl w:val="0"/>
                <w:numId w:val="40"/>
              </w:numPr>
              <w:ind w:left="0" w:firstLine="0"/>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U hotovostní platby je situace odlišná: strany se mohou domluvit, že do evidence bude zaznamenána nižší částka, ale zákazník ve skutečnosti zaplatí v hotovosti vyšší částku. Tato hotovostní platba není zachycena v žádném externím systému – správce daně nemá, jak zjistit skutečně zaplacenou částku. Zde má evidence tržeb smysl.</w:t>
            </w:r>
          </w:p>
          <w:p w14:paraId="452A41F2" w14:textId="77777777" w:rsidR="000B4BD4" w:rsidRPr="0035187E" w:rsidRDefault="000B4BD4" w:rsidP="0035187E">
            <w:pPr>
              <w:jc w:val="both"/>
              <w:rPr>
                <w:rFonts w:ascii="Times New Roman" w:eastAsia="Calibri" w:hAnsi="Times New Roman" w:cs="Times New Roman"/>
                <w:sz w:val="20"/>
                <w:szCs w:val="20"/>
                <w:lang w:eastAsia="en-US"/>
              </w:rPr>
            </w:pPr>
          </w:p>
          <w:p w14:paraId="0130B104"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b/>
                <w:bCs/>
                <w:i/>
                <w:iCs/>
                <w:sz w:val="20"/>
                <w:szCs w:val="20"/>
                <w:lang w:eastAsia="en-US"/>
              </w:rPr>
              <w:t>b) Nekonzistence s vynětím hazardních her</w:t>
            </w:r>
          </w:p>
          <w:p w14:paraId="4403A099"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Důvodová zpráva k § 13 odst. 2 písm. a) uvádí, že tržby z hazardních her jsou vyňaty z evidence, protože provozovatelé již odesílají informace prostřednictvím Informačního systému provozování hazardních her (ISPHH). Předkladatel výslovně konstatuje, že „založení obdobné povinnosti jak právními normami upravujícími provozování hazardní hry, tak i právními normami upravujícími vedení evidence tržeb, neobstojí v testu proporcionality" a že duplicitní evidenci lze označit za „nepřiměřený zásah do práv osob".</w:t>
            </w:r>
          </w:p>
          <w:p w14:paraId="5A34E59F" w14:textId="77777777" w:rsidR="000B4BD4" w:rsidRPr="0035187E" w:rsidRDefault="000B4BD4" w:rsidP="0035187E">
            <w:pPr>
              <w:jc w:val="both"/>
              <w:rPr>
                <w:rFonts w:ascii="Times New Roman" w:eastAsia="Calibri" w:hAnsi="Times New Roman" w:cs="Times New Roman"/>
                <w:sz w:val="20"/>
                <w:szCs w:val="20"/>
                <w:lang w:eastAsia="en-US"/>
              </w:rPr>
            </w:pPr>
          </w:p>
          <w:p w14:paraId="3A59FA7A"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lastRenderedPageBreak/>
              <w:t>Stejná logika by měla platit i pro bezhotovostní platby na účty v ČR/EU – data o těchto platbách již existují v bankovním systému a jsou pro správce daně plně dostupná. Pokud duplicitní evidence (hazard + ISPHH) neobstojí v testu proporcionality, měla by stejná úvaha vést k vynětí dohledatelných bezhotovostních plateb.</w:t>
            </w:r>
          </w:p>
          <w:p w14:paraId="28EADB82" w14:textId="77777777" w:rsidR="000B4BD4" w:rsidRPr="0035187E" w:rsidRDefault="000B4BD4" w:rsidP="0035187E">
            <w:pPr>
              <w:jc w:val="both"/>
              <w:rPr>
                <w:rFonts w:ascii="Times New Roman" w:eastAsia="Calibri" w:hAnsi="Times New Roman" w:cs="Times New Roman"/>
                <w:sz w:val="20"/>
                <w:szCs w:val="20"/>
                <w:lang w:eastAsia="en-US"/>
              </w:rPr>
            </w:pPr>
          </w:p>
          <w:p w14:paraId="54F3E51D"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b/>
                <w:bCs/>
                <w:i/>
                <w:iCs/>
                <w:sz w:val="20"/>
                <w:szCs w:val="20"/>
                <w:lang w:eastAsia="en-US"/>
              </w:rPr>
              <w:t>c) Vypořádání s argumenty předkladatele</w:t>
            </w:r>
          </w:p>
          <w:p w14:paraId="2BA9700A"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Důvodová zpráva k § 6 a § 7 uvádí několik argumentů pro zahrnutí kontaktních bezhotovostních plateb.</w:t>
            </w:r>
          </w:p>
          <w:p w14:paraId="1BA01EBF" w14:textId="77777777" w:rsidR="000B4BD4" w:rsidRPr="0035187E" w:rsidRDefault="000B4BD4" w:rsidP="0035187E">
            <w:pPr>
              <w:jc w:val="both"/>
              <w:rPr>
                <w:rFonts w:ascii="Times New Roman" w:eastAsia="Calibri" w:hAnsi="Times New Roman" w:cs="Times New Roman"/>
                <w:b/>
                <w:bCs/>
                <w:sz w:val="20"/>
                <w:szCs w:val="20"/>
                <w:lang w:eastAsia="en-US"/>
              </w:rPr>
            </w:pPr>
          </w:p>
          <w:p w14:paraId="68C83D81" w14:textId="77777777" w:rsidR="000B4BD4" w:rsidRPr="0035187E" w:rsidRDefault="000B4BD4" w:rsidP="0035187E">
            <w:pPr>
              <w:numPr>
                <w:ilvl w:val="0"/>
                <w:numId w:val="41"/>
              </w:numPr>
              <w:ind w:left="0" w:firstLine="0"/>
              <w:jc w:val="both"/>
              <w:rPr>
                <w:rFonts w:ascii="Times New Roman" w:eastAsia="Calibri" w:hAnsi="Times New Roman" w:cs="Times New Roman"/>
                <w:sz w:val="20"/>
                <w:szCs w:val="20"/>
                <w:lang w:eastAsia="en-US"/>
              </w:rPr>
            </w:pPr>
            <w:r w:rsidRPr="0035187E">
              <w:rPr>
                <w:rFonts w:ascii="Times New Roman" w:eastAsia="Calibri" w:hAnsi="Times New Roman" w:cs="Times New Roman"/>
                <w:b/>
                <w:bCs/>
                <w:sz w:val="20"/>
                <w:szCs w:val="20"/>
                <w:lang w:eastAsia="en-US"/>
              </w:rPr>
              <w:t>Princip neutrality – vynětí by vedlo k preferenci některých plateb</w:t>
            </w:r>
          </w:p>
          <w:p w14:paraId="64EC7FF0"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Princip neutrality nemůže být absolutní. Předkladatel sám rozlišuje mezi kontaktními platbami a transakcemi na dálku.</w:t>
            </w:r>
            <w:r w:rsidRPr="0035187E">
              <w:rPr>
                <w:rFonts w:ascii="Times New Roman" w:eastAsia="Calibri" w:hAnsi="Times New Roman" w:cs="Times New Roman"/>
                <w:i/>
                <w:iCs/>
                <w:sz w:val="20"/>
                <w:szCs w:val="20"/>
                <w:lang w:eastAsia="en-US"/>
              </w:rPr>
              <w:t xml:space="preserve"> </w:t>
            </w:r>
            <w:r w:rsidRPr="0035187E">
              <w:rPr>
                <w:rFonts w:ascii="Times New Roman" w:eastAsia="Calibri" w:hAnsi="Times New Roman" w:cs="Times New Roman"/>
                <w:sz w:val="20"/>
                <w:szCs w:val="20"/>
                <w:lang w:eastAsia="en-US"/>
              </w:rPr>
              <w:t xml:space="preserve">Navrhovaná diferenciace podle míry dohledatelnosti (nikoli podle formy platby) je věcně odůvodněná a v souladu s testem proporcionality. Stát by měl požadovat evidenci </w:t>
            </w:r>
          </w:p>
          <w:p w14:paraId="5FF5009D" w14:textId="77777777" w:rsidR="000B4BD4" w:rsidRPr="0035187E" w:rsidRDefault="000B4BD4" w:rsidP="0035187E">
            <w:pPr>
              <w:ind w:firstLine="360"/>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pouze tam, kde nemá jiný přístup k údajům.</w:t>
            </w:r>
          </w:p>
          <w:p w14:paraId="55256C7D" w14:textId="77777777" w:rsidR="000B4BD4" w:rsidRPr="0035187E" w:rsidRDefault="000B4BD4" w:rsidP="0035187E">
            <w:pPr>
              <w:jc w:val="both"/>
              <w:rPr>
                <w:rFonts w:ascii="Times New Roman" w:eastAsia="Calibri" w:hAnsi="Times New Roman" w:cs="Times New Roman"/>
                <w:sz w:val="20"/>
                <w:szCs w:val="20"/>
                <w:lang w:eastAsia="en-US"/>
              </w:rPr>
            </w:pPr>
          </w:p>
          <w:p w14:paraId="17BFCF01" w14:textId="77777777" w:rsidR="000B4BD4" w:rsidRPr="0035187E" w:rsidRDefault="000B4BD4" w:rsidP="0035187E">
            <w:pPr>
              <w:numPr>
                <w:ilvl w:val="0"/>
                <w:numId w:val="41"/>
              </w:numPr>
              <w:ind w:left="0" w:firstLine="0"/>
              <w:jc w:val="both"/>
              <w:rPr>
                <w:rFonts w:ascii="Times New Roman" w:eastAsia="Calibri" w:hAnsi="Times New Roman" w:cs="Times New Roman"/>
                <w:sz w:val="20"/>
                <w:szCs w:val="20"/>
                <w:lang w:eastAsia="en-US"/>
              </w:rPr>
            </w:pPr>
            <w:r w:rsidRPr="0035187E">
              <w:rPr>
                <w:rFonts w:ascii="Times New Roman" w:eastAsia="Calibri" w:hAnsi="Times New Roman" w:cs="Times New Roman"/>
                <w:b/>
                <w:bCs/>
                <w:sz w:val="20"/>
                <w:szCs w:val="20"/>
                <w:lang w:eastAsia="en-US"/>
              </w:rPr>
              <w:t xml:space="preserve">Premisa o dohledatelnosti neplatí – existují </w:t>
            </w:r>
            <w:proofErr w:type="spellStart"/>
            <w:r w:rsidRPr="0035187E">
              <w:rPr>
                <w:rFonts w:ascii="Times New Roman" w:eastAsia="Calibri" w:hAnsi="Times New Roman" w:cs="Times New Roman"/>
                <w:b/>
                <w:bCs/>
                <w:sz w:val="20"/>
                <w:szCs w:val="20"/>
                <w:lang w:eastAsia="en-US"/>
              </w:rPr>
              <w:t>Revolut</w:t>
            </w:r>
            <w:proofErr w:type="spellEnd"/>
            <w:r w:rsidRPr="0035187E">
              <w:rPr>
                <w:rFonts w:ascii="Times New Roman" w:eastAsia="Calibri" w:hAnsi="Times New Roman" w:cs="Times New Roman"/>
                <w:b/>
                <w:bCs/>
                <w:sz w:val="20"/>
                <w:szCs w:val="20"/>
                <w:lang w:eastAsia="en-US"/>
              </w:rPr>
              <w:t>, krypto, zahraniční účty</w:t>
            </w:r>
          </w:p>
          <w:p w14:paraId="347519CD"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Tato argumentace neplatí pro standardní platby kartou a QR platby na účty v ČR/EU – tyto jsou plně dohledatelné. Navrhujeme proto diferencovaný přístup podle míry dohledatelnosti.</w:t>
            </w:r>
          </w:p>
          <w:p w14:paraId="0B6BAF68" w14:textId="77777777" w:rsidR="000B4BD4" w:rsidRPr="0035187E" w:rsidRDefault="000B4BD4" w:rsidP="0035187E">
            <w:pPr>
              <w:jc w:val="both"/>
              <w:rPr>
                <w:rFonts w:ascii="Times New Roman" w:eastAsia="Calibri" w:hAnsi="Times New Roman" w:cs="Times New Roman"/>
                <w:sz w:val="20"/>
                <w:szCs w:val="20"/>
                <w:lang w:eastAsia="en-US"/>
              </w:rPr>
            </w:pPr>
          </w:p>
          <w:p w14:paraId="3D34EBC5" w14:textId="77777777" w:rsidR="000B4BD4" w:rsidRPr="0035187E" w:rsidRDefault="000B4BD4" w:rsidP="0035187E">
            <w:pPr>
              <w:numPr>
                <w:ilvl w:val="0"/>
                <w:numId w:val="41"/>
              </w:numPr>
              <w:ind w:left="0" w:firstLine="0"/>
              <w:jc w:val="both"/>
              <w:rPr>
                <w:rFonts w:ascii="Times New Roman" w:eastAsia="Calibri" w:hAnsi="Times New Roman" w:cs="Times New Roman"/>
                <w:sz w:val="20"/>
                <w:szCs w:val="20"/>
                <w:lang w:eastAsia="en-US"/>
              </w:rPr>
            </w:pPr>
            <w:r w:rsidRPr="0035187E">
              <w:rPr>
                <w:rFonts w:ascii="Times New Roman" w:eastAsia="Calibri" w:hAnsi="Times New Roman" w:cs="Times New Roman"/>
                <w:b/>
                <w:bCs/>
                <w:sz w:val="20"/>
                <w:szCs w:val="20"/>
                <w:lang w:eastAsia="en-US"/>
              </w:rPr>
              <w:t>Komplexní přehled – selekce oslabuje legitimitu</w:t>
            </w:r>
          </w:p>
          <w:p w14:paraId="3245A6E1"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U hazardních her předkladatel sám uznal, že duplicitní evidence (ISPHH + EET) neobstojí v testu proporcionality. Proč u dohledatelných bezhotovostních plateb platí jiná logika?</w:t>
            </w:r>
          </w:p>
          <w:p w14:paraId="351FD610" w14:textId="77777777" w:rsidR="000B4BD4" w:rsidRPr="0035187E" w:rsidRDefault="000B4BD4" w:rsidP="0035187E">
            <w:pPr>
              <w:jc w:val="both"/>
              <w:rPr>
                <w:rFonts w:ascii="Times New Roman" w:eastAsia="Calibri" w:hAnsi="Times New Roman" w:cs="Times New Roman"/>
                <w:sz w:val="20"/>
                <w:szCs w:val="20"/>
                <w:lang w:eastAsia="en-US"/>
              </w:rPr>
            </w:pPr>
          </w:p>
          <w:p w14:paraId="2163F2DD" w14:textId="77777777" w:rsidR="000B4BD4" w:rsidRPr="0035187E" w:rsidRDefault="000B4BD4" w:rsidP="0035187E">
            <w:pPr>
              <w:numPr>
                <w:ilvl w:val="0"/>
                <w:numId w:val="41"/>
              </w:numPr>
              <w:ind w:left="0" w:firstLine="0"/>
              <w:jc w:val="both"/>
              <w:rPr>
                <w:rFonts w:ascii="Times New Roman" w:eastAsia="Calibri" w:hAnsi="Times New Roman" w:cs="Times New Roman"/>
                <w:sz w:val="20"/>
                <w:szCs w:val="20"/>
                <w:lang w:eastAsia="en-US"/>
              </w:rPr>
            </w:pPr>
            <w:r w:rsidRPr="0035187E">
              <w:rPr>
                <w:rFonts w:ascii="Times New Roman" w:eastAsia="Calibri" w:hAnsi="Times New Roman" w:cs="Times New Roman"/>
                <w:b/>
                <w:bCs/>
                <w:sz w:val="20"/>
                <w:szCs w:val="20"/>
                <w:lang w:eastAsia="en-US"/>
              </w:rPr>
              <w:t>Osobní prvek = riziko zatajení</w:t>
            </w:r>
          </w:p>
          <w:p w14:paraId="1268D3F7"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Osobní prvek je relevantní pouze u hotovosti, kde může dojít k předání jiné částky. U bezhotovostních plateb je zaplacena přesně ta částka, kterou obchodník zadá – není co zatajit.</w:t>
            </w:r>
          </w:p>
          <w:p w14:paraId="5A986FBD" w14:textId="77777777" w:rsidR="000B4BD4" w:rsidRPr="0035187E" w:rsidRDefault="000B4BD4" w:rsidP="0035187E">
            <w:pPr>
              <w:jc w:val="both"/>
              <w:rPr>
                <w:rFonts w:ascii="Times New Roman" w:eastAsia="Calibri" w:hAnsi="Times New Roman" w:cs="Times New Roman"/>
                <w:sz w:val="20"/>
                <w:szCs w:val="20"/>
                <w:lang w:eastAsia="en-US"/>
              </w:rPr>
            </w:pPr>
          </w:p>
          <w:p w14:paraId="7D9F1FCE" w14:textId="04AF5E9A" w:rsidR="000B4BD4" w:rsidRPr="0035187E" w:rsidRDefault="000B4BD4" w:rsidP="0035187E">
            <w:pPr>
              <w:jc w:val="both"/>
              <w:rPr>
                <w:rFonts w:ascii="Times New Roman" w:hAnsi="Times New Roman" w:cs="Times New Roman"/>
                <w:sz w:val="20"/>
                <w:szCs w:val="20"/>
                <w:lang w:eastAsia="ar-SA"/>
              </w:rPr>
            </w:pPr>
            <w:r w:rsidRPr="0035187E">
              <w:rPr>
                <w:rFonts w:ascii="Times New Roman" w:eastAsia="Calibri" w:hAnsi="Times New Roman" w:cs="Times New Roman"/>
                <w:b/>
                <w:bCs/>
                <w:sz w:val="20"/>
                <w:szCs w:val="20"/>
                <w:lang w:eastAsia="en-US"/>
              </w:rPr>
              <w:t>Tato připomínka je zásadní.</w:t>
            </w:r>
          </w:p>
        </w:tc>
        <w:tc>
          <w:tcPr>
            <w:tcW w:w="1453" w:type="pct"/>
            <w:tcBorders>
              <w:top w:val="single" w:sz="4" w:space="0" w:color="auto"/>
              <w:left w:val="single" w:sz="4" w:space="0" w:color="auto"/>
              <w:right w:val="single" w:sz="4" w:space="0" w:color="auto"/>
            </w:tcBorders>
            <w:shd w:val="clear" w:color="auto" w:fill="auto"/>
          </w:tcPr>
          <w:p w14:paraId="4BCEA142" w14:textId="44F9B3A4" w:rsidR="000B4BD4" w:rsidRPr="0035187E" w:rsidRDefault="003D719F"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Nevyhověno</w:t>
            </w:r>
            <w:r w:rsidR="00402ED1" w:rsidRPr="0035187E">
              <w:rPr>
                <w:rFonts w:ascii="Times New Roman" w:hAnsi="Times New Roman" w:cs="Times New Roman"/>
                <w:b/>
                <w:sz w:val="20"/>
                <w:szCs w:val="20"/>
              </w:rPr>
              <w:t>.</w:t>
            </w:r>
          </w:p>
          <w:p w14:paraId="637D8E98" w14:textId="47822904" w:rsidR="00402ED1" w:rsidRPr="0035187E" w:rsidRDefault="00402ED1" w:rsidP="0035187E">
            <w:pPr>
              <w:jc w:val="both"/>
              <w:rPr>
                <w:rFonts w:ascii="Times New Roman" w:hAnsi="Times New Roman" w:cs="Times New Roman"/>
                <w:sz w:val="20"/>
                <w:szCs w:val="20"/>
              </w:rPr>
            </w:pPr>
            <w:r w:rsidRPr="0035187E">
              <w:rPr>
                <w:rFonts w:ascii="Times New Roman" w:hAnsi="Times New Roman" w:cs="Times New Roman"/>
                <w:sz w:val="20"/>
                <w:szCs w:val="20"/>
              </w:rPr>
              <w:t>Důvodů pro komplexní přístup k tzv. kontaktním platbám je více</w:t>
            </w:r>
            <w:r w:rsidR="003D719F" w:rsidRPr="0035187E">
              <w:rPr>
                <w:rFonts w:ascii="Times New Roman" w:hAnsi="Times New Roman" w:cs="Times New Roman"/>
                <w:sz w:val="20"/>
                <w:szCs w:val="20"/>
              </w:rPr>
              <w:t>, než je uvedeno v textu připomínky. P</w:t>
            </w:r>
            <w:r w:rsidRPr="0035187E">
              <w:rPr>
                <w:rFonts w:ascii="Times New Roman" w:hAnsi="Times New Roman" w:cs="Times New Roman"/>
                <w:sz w:val="20"/>
                <w:szCs w:val="20"/>
              </w:rPr>
              <w:t>odrobnosti k tomuto tématu lze nalézt v rámci obecné i zvláštní části důvodové zprávy. Vychází mimo jiné i z účelu právní úpravy, který je vymezen v § 1 odst. 2.</w:t>
            </w:r>
            <w:r w:rsidR="003D719F" w:rsidRPr="0035187E">
              <w:rPr>
                <w:rFonts w:ascii="Times New Roman" w:hAnsi="Times New Roman" w:cs="Times New Roman"/>
                <w:sz w:val="20"/>
                <w:szCs w:val="20"/>
              </w:rPr>
              <w:t xml:space="preserve"> </w:t>
            </w:r>
          </w:p>
          <w:p w14:paraId="38931433" w14:textId="77777777" w:rsidR="003D719F" w:rsidRPr="0035187E" w:rsidRDefault="003D719F" w:rsidP="0035187E">
            <w:pPr>
              <w:jc w:val="both"/>
              <w:rPr>
                <w:rFonts w:ascii="Times New Roman" w:hAnsi="Times New Roman" w:cs="Times New Roman"/>
                <w:sz w:val="20"/>
                <w:szCs w:val="20"/>
              </w:rPr>
            </w:pPr>
          </w:p>
          <w:p w14:paraId="34777CBD" w14:textId="307A09F4" w:rsidR="003D719F" w:rsidRPr="0035187E" w:rsidRDefault="003D719F" w:rsidP="0035187E">
            <w:pPr>
              <w:jc w:val="both"/>
              <w:rPr>
                <w:rFonts w:ascii="Times New Roman" w:hAnsi="Times New Roman" w:cs="Times New Roman"/>
                <w:sz w:val="20"/>
                <w:szCs w:val="20"/>
              </w:rPr>
            </w:pPr>
            <w:r w:rsidRPr="0035187E">
              <w:rPr>
                <w:rFonts w:ascii="Times New Roman" w:hAnsi="Times New Roman" w:cs="Times New Roman"/>
                <w:sz w:val="20"/>
                <w:szCs w:val="20"/>
              </w:rPr>
              <w:t>Připomínkové místo ve své argumentaci uznává, že ne všechny bezhotovostní platby jsou dohledatelné a navrhuje diferenciovaný přístup. Není však zřejmé, jak by měla taková diferenciace vypadat a jak by měl poplatník evidující tržby rozlišovat, kterou bezhotovostní transakci má evidovat a kterou nikoli. Jednou z výhod plošného přístupu k evidenci kontaktních plateb je, že poplatník nemusí zkoumat a lišit, jak postupovat, s ohledem na formu, kterou k platbě došlo.</w:t>
            </w:r>
          </w:p>
          <w:p w14:paraId="674014B2" w14:textId="77777777" w:rsidR="00402ED1" w:rsidRPr="0035187E" w:rsidRDefault="00402ED1" w:rsidP="0035187E">
            <w:pPr>
              <w:jc w:val="both"/>
              <w:rPr>
                <w:rFonts w:ascii="Times New Roman" w:hAnsi="Times New Roman" w:cs="Times New Roman"/>
                <w:sz w:val="20"/>
                <w:szCs w:val="20"/>
              </w:rPr>
            </w:pPr>
          </w:p>
          <w:p w14:paraId="62A6D002" w14:textId="5F8A6537" w:rsidR="00402ED1" w:rsidRPr="0035187E" w:rsidRDefault="00402ED1" w:rsidP="0035187E">
            <w:pPr>
              <w:jc w:val="both"/>
              <w:rPr>
                <w:rFonts w:ascii="Times New Roman" w:hAnsi="Times New Roman" w:cs="Times New Roman"/>
                <w:sz w:val="20"/>
                <w:szCs w:val="20"/>
              </w:rPr>
            </w:pPr>
            <w:r w:rsidRPr="0035187E">
              <w:rPr>
                <w:rFonts w:ascii="Times New Roman" w:hAnsi="Times New Roman" w:cs="Times New Roman"/>
                <w:sz w:val="20"/>
                <w:szCs w:val="20"/>
              </w:rPr>
              <w:t>Srovnání s vynětím tržeb z hazardních her není přiléhavé. Vynětí se týká velmi úzkého segmentu regulované činnosti, u něhož je jiný druh evidence zajištěn ze strany státu</w:t>
            </w:r>
            <w:r w:rsidR="00CF5A26" w:rsidRPr="0035187E">
              <w:rPr>
                <w:rFonts w:ascii="Times New Roman" w:hAnsi="Times New Roman" w:cs="Times New Roman"/>
                <w:sz w:val="20"/>
                <w:szCs w:val="20"/>
              </w:rPr>
              <w:t xml:space="preserve"> (zde pak platí principy dobré správy, tj. přednostní sdílení informací mezi orgány veřejné moci)</w:t>
            </w:r>
            <w:r w:rsidRPr="0035187E">
              <w:rPr>
                <w:rFonts w:ascii="Times New Roman" w:hAnsi="Times New Roman" w:cs="Times New Roman"/>
                <w:sz w:val="20"/>
                <w:szCs w:val="20"/>
              </w:rPr>
              <w:t>, nikoli prostřednictvím roztříštěné skupiny soukromoprávních subjektů, z nichž některé se nachází v zahraničí.</w:t>
            </w:r>
          </w:p>
          <w:p w14:paraId="5B59CD50" w14:textId="3AA21869" w:rsidR="00CF5A26" w:rsidRPr="0035187E" w:rsidRDefault="00CF5A26" w:rsidP="0035187E">
            <w:pPr>
              <w:jc w:val="both"/>
              <w:rPr>
                <w:rFonts w:ascii="Times New Roman" w:hAnsi="Times New Roman" w:cs="Times New Roman"/>
                <w:sz w:val="20"/>
                <w:szCs w:val="20"/>
              </w:rPr>
            </w:pPr>
          </w:p>
          <w:p w14:paraId="778F381A" w14:textId="78581DF2" w:rsidR="00CF5A26" w:rsidRPr="0035187E" w:rsidRDefault="00CF5A26" w:rsidP="0035187E">
            <w:pPr>
              <w:jc w:val="both"/>
              <w:rPr>
                <w:rFonts w:ascii="Times New Roman" w:hAnsi="Times New Roman" w:cs="Times New Roman"/>
                <w:sz w:val="20"/>
                <w:szCs w:val="20"/>
              </w:rPr>
            </w:pPr>
            <w:r w:rsidRPr="0035187E">
              <w:rPr>
                <w:rFonts w:ascii="Times New Roman" w:hAnsi="Times New Roman" w:cs="Times New Roman"/>
                <w:sz w:val="20"/>
                <w:szCs w:val="20"/>
              </w:rPr>
              <w:t>Argumentace osobním prvkem se týkala především možné kontrolovatelnosti toho, zda k zaevidování tržby došlo, nikoli toho, že bude zaevidována jiná částka, než bude zaplacena (byť i toto riziko nelze vyloučit). Obchodník v situaci osobního kontaktu dokáže mnohdy rozpoznat potencionálního kontrolora od stálého zákazníka.</w:t>
            </w:r>
          </w:p>
          <w:p w14:paraId="5C941EF7" w14:textId="7CFB9F09" w:rsidR="003D719F" w:rsidRPr="0035187E" w:rsidRDefault="003D719F" w:rsidP="0035187E">
            <w:pPr>
              <w:jc w:val="both"/>
              <w:rPr>
                <w:rFonts w:ascii="Times New Roman" w:hAnsi="Times New Roman" w:cs="Times New Roman"/>
                <w:sz w:val="20"/>
                <w:szCs w:val="20"/>
              </w:rPr>
            </w:pPr>
          </w:p>
        </w:tc>
      </w:tr>
      <w:tr w:rsidR="0035187E" w:rsidRPr="0035187E" w14:paraId="66C7D8BC"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4CEE729C" w14:textId="3C9D5A9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21.</w:t>
            </w:r>
          </w:p>
        </w:tc>
        <w:tc>
          <w:tcPr>
            <w:tcW w:w="583" w:type="pct"/>
            <w:tcBorders>
              <w:top w:val="single" w:sz="4" w:space="0" w:color="auto"/>
              <w:left w:val="single" w:sz="4" w:space="0" w:color="auto"/>
              <w:right w:val="single" w:sz="4" w:space="0" w:color="auto"/>
            </w:tcBorders>
            <w:shd w:val="clear" w:color="auto" w:fill="auto"/>
          </w:tcPr>
          <w:p w14:paraId="72AFA9C1" w14:textId="7BAA609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Asociace malých a středních podniků a živnostníků ČR</w:t>
            </w:r>
          </w:p>
        </w:tc>
        <w:tc>
          <w:tcPr>
            <w:tcW w:w="168" w:type="pct"/>
            <w:tcBorders>
              <w:top w:val="single" w:sz="4" w:space="0" w:color="auto"/>
              <w:left w:val="single" w:sz="4" w:space="0" w:color="auto"/>
              <w:right w:val="single" w:sz="4" w:space="0" w:color="auto"/>
            </w:tcBorders>
            <w:shd w:val="clear" w:color="auto" w:fill="auto"/>
          </w:tcPr>
          <w:p w14:paraId="58103E35" w14:textId="6FD2886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5.</w:t>
            </w:r>
          </w:p>
        </w:tc>
        <w:tc>
          <w:tcPr>
            <w:tcW w:w="169" w:type="pct"/>
            <w:tcBorders>
              <w:top w:val="single" w:sz="4" w:space="0" w:color="auto"/>
              <w:left w:val="single" w:sz="4" w:space="0" w:color="auto"/>
              <w:right w:val="single" w:sz="4" w:space="0" w:color="auto"/>
            </w:tcBorders>
            <w:shd w:val="clear" w:color="auto" w:fill="auto"/>
          </w:tcPr>
          <w:p w14:paraId="022F6314" w14:textId="7AC7CE1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388A60FE"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hAnsi="Times New Roman" w:cs="Times New Roman"/>
                <w:b/>
                <w:sz w:val="20"/>
                <w:szCs w:val="20"/>
                <w:u w:val="single"/>
              </w:rPr>
              <w:t>5) K podstatě předkládaného návrhu</w:t>
            </w:r>
            <w:r w:rsidRPr="0035187E">
              <w:rPr>
                <w:rFonts w:ascii="Times New Roman" w:hAnsi="Times New Roman" w:cs="Times New Roman"/>
                <w:bCs/>
                <w:sz w:val="20"/>
                <w:szCs w:val="20"/>
                <w:u w:val="single"/>
              </w:rPr>
              <w:t>:</w:t>
            </w:r>
          </w:p>
          <w:p w14:paraId="2FB7BF8D" w14:textId="77777777" w:rsidR="000B4BD4" w:rsidRPr="0035187E" w:rsidRDefault="000B4BD4" w:rsidP="0035187E">
            <w:pPr>
              <w:jc w:val="both"/>
              <w:rPr>
                <w:rFonts w:ascii="Times New Roman" w:eastAsia="Calibri" w:hAnsi="Times New Roman" w:cs="Times New Roman"/>
                <w:sz w:val="20"/>
                <w:szCs w:val="20"/>
                <w:lang w:eastAsia="en-US"/>
              </w:rPr>
            </w:pPr>
          </w:p>
          <w:p w14:paraId="373C3E71" w14:textId="77777777" w:rsidR="000B4BD4" w:rsidRPr="0035187E" w:rsidRDefault="000B4BD4" w:rsidP="0035187E">
            <w:pPr>
              <w:jc w:val="both"/>
              <w:rPr>
                <w:rFonts w:ascii="Times New Roman" w:eastAsia="Calibri" w:hAnsi="Times New Roman" w:cs="Times New Roman"/>
                <w:sz w:val="20"/>
                <w:szCs w:val="20"/>
                <w:u w:val="single"/>
                <w:lang w:eastAsia="en-US"/>
              </w:rPr>
            </w:pPr>
            <w:r w:rsidRPr="0035187E">
              <w:rPr>
                <w:rFonts w:ascii="Times New Roman" w:eastAsia="Calibri" w:hAnsi="Times New Roman" w:cs="Times New Roman"/>
                <w:sz w:val="20"/>
                <w:szCs w:val="20"/>
                <w:u w:val="single"/>
                <w:lang w:eastAsia="en-US"/>
              </w:rPr>
              <w:t>Cíl:</w:t>
            </w:r>
            <w:r w:rsidRPr="0035187E">
              <w:rPr>
                <w:rFonts w:ascii="Times New Roman" w:eastAsia="Calibri" w:hAnsi="Times New Roman" w:cs="Times New Roman"/>
                <w:sz w:val="20"/>
                <w:szCs w:val="20"/>
                <w:lang w:eastAsia="en-US"/>
              </w:rPr>
              <w:t xml:space="preserve"> Stanovení jasných a předvídatelných kritérií pro vymezení drobné vedlejší činnosti.</w:t>
            </w:r>
          </w:p>
          <w:p w14:paraId="1D345410" w14:textId="77777777" w:rsidR="000B4BD4" w:rsidRPr="0035187E" w:rsidRDefault="000B4BD4" w:rsidP="0035187E">
            <w:pPr>
              <w:jc w:val="both"/>
              <w:rPr>
                <w:rFonts w:ascii="Times New Roman" w:eastAsia="Calibri" w:hAnsi="Times New Roman" w:cs="Times New Roman"/>
                <w:sz w:val="20"/>
                <w:szCs w:val="20"/>
                <w:lang w:eastAsia="en-US"/>
              </w:rPr>
            </w:pPr>
          </w:p>
          <w:p w14:paraId="7B89A993"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u w:val="single"/>
                <w:lang w:eastAsia="en-US"/>
              </w:rPr>
              <w:t>Odůvodnění:</w:t>
            </w:r>
            <w:r w:rsidRPr="0035187E">
              <w:rPr>
                <w:rFonts w:ascii="Times New Roman" w:eastAsia="Calibri" w:hAnsi="Times New Roman" w:cs="Times New Roman"/>
                <w:sz w:val="20"/>
                <w:szCs w:val="20"/>
                <w:lang w:eastAsia="en-US"/>
              </w:rPr>
              <w:t xml:space="preserve"> Dle § 13 odst. 1 písm. a) návrhu zákona jsou z evidence tržeb vyňaty tržby „z drobné vedlejší podnikatelské činnosti veřejně prospěšných poplatníků".</w:t>
            </w:r>
          </w:p>
          <w:p w14:paraId="6B3B5C58" w14:textId="77777777" w:rsidR="000B4BD4" w:rsidRPr="0035187E" w:rsidRDefault="000B4BD4" w:rsidP="0035187E">
            <w:pPr>
              <w:jc w:val="both"/>
              <w:rPr>
                <w:rFonts w:ascii="Times New Roman" w:eastAsia="Calibri" w:hAnsi="Times New Roman" w:cs="Times New Roman"/>
                <w:sz w:val="20"/>
                <w:szCs w:val="20"/>
                <w:lang w:eastAsia="en-US"/>
              </w:rPr>
            </w:pPr>
          </w:p>
          <w:p w14:paraId="5F528431"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Důvodová zpráva uvádí, že konkrétní hranici limitující příjem z drobné vedlejší činnosti nastaví aplikační metodická praxe, která zohlední aktuální situaci.</w:t>
            </w:r>
          </w:p>
          <w:p w14:paraId="7BA63F1D" w14:textId="77777777" w:rsidR="000B4BD4" w:rsidRPr="0035187E" w:rsidRDefault="000B4BD4" w:rsidP="0035187E">
            <w:pPr>
              <w:jc w:val="both"/>
              <w:rPr>
                <w:rFonts w:ascii="Times New Roman" w:eastAsia="Calibri" w:hAnsi="Times New Roman" w:cs="Times New Roman"/>
                <w:sz w:val="20"/>
                <w:szCs w:val="20"/>
                <w:lang w:eastAsia="en-US"/>
              </w:rPr>
            </w:pPr>
          </w:p>
          <w:p w14:paraId="33D02A48"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b/>
                <w:bCs/>
                <w:i/>
                <w:iCs/>
                <w:sz w:val="20"/>
                <w:szCs w:val="20"/>
                <w:lang w:eastAsia="en-US"/>
              </w:rPr>
              <w:t>a) Porušení principu legality</w:t>
            </w:r>
          </w:p>
          <w:p w14:paraId="53F2D19D"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lastRenderedPageBreak/>
              <w:t>Zákon neposkytuje žádné konkrétní kritérium pro určení, co je „drobná" činnost. Pojem „drobnosti" je neurčitým právním pojmem, který je ponechán na budoucí metodické praxi správce daně.</w:t>
            </w:r>
          </w:p>
          <w:p w14:paraId="25605C7D" w14:textId="77777777" w:rsidR="000B4BD4" w:rsidRPr="0035187E" w:rsidRDefault="000B4BD4" w:rsidP="0035187E">
            <w:pPr>
              <w:jc w:val="both"/>
              <w:rPr>
                <w:rFonts w:ascii="Times New Roman" w:eastAsia="Calibri" w:hAnsi="Times New Roman" w:cs="Times New Roman"/>
                <w:sz w:val="20"/>
                <w:szCs w:val="20"/>
                <w:lang w:eastAsia="en-US"/>
              </w:rPr>
            </w:pPr>
          </w:p>
          <w:p w14:paraId="7CC8E2D3"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b/>
                <w:bCs/>
                <w:i/>
                <w:iCs/>
                <w:sz w:val="20"/>
                <w:szCs w:val="20"/>
                <w:lang w:eastAsia="en-US"/>
              </w:rPr>
              <w:t>b) Kritéria jsou obtížně aplikovatelná</w:t>
            </w:r>
          </w:p>
          <w:p w14:paraId="41B2BA6E"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Důvodová zpráva uvádí ukazatele, jako je poměr zisku z vedlejší činnosti k ostatním příjmům nebo rozsah, v jakém jsou získané prostředky využity na hlavní činnost. Tato kritéria jsou však relativní a neziskové organizace nebudou moci předem určit, zda jejich činnost spadá pod výjimku, či nikoliv.</w:t>
            </w:r>
          </w:p>
          <w:p w14:paraId="00A6D885" w14:textId="77777777" w:rsidR="000B4BD4" w:rsidRPr="0035187E" w:rsidRDefault="000B4BD4" w:rsidP="0035187E">
            <w:pPr>
              <w:jc w:val="both"/>
              <w:rPr>
                <w:rFonts w:ascii="Times New Roman" w:eastAsia="Calibri" w:hAnsi="Times New Roman" w:cs="Times New Roman"/>
                <w:sz w:val="20"/>
                <w:szCs w:val="20"/>
                <w:lang w:eastAsia="en-US"/>
              </w:rPr>
            </w:pPr>
          </w:p>
          <w:p w14:paraId="1BCD0F88"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b/>
                <w:bCs/>
                <w:i/>
                <w:iCs/>
                <w:sz w:val="20"/>
                <w:szCs w:val="20"/>
                <w:lang w:eastAsia="en-US"/>
              </w:rPr>
              <w:t>c) Riziko retroaktivního posouzení</w:t>
            </w:r>
          </w:p>
          <w:p w14:paraId="24D98424"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Pokud správce daně následně metodicky stanoví hranici, která nebude odpovídat dosavadní praxi neziskové organizace, může být tato organizace sankcionována za neplnění evidenční povinnosti, ačkoli jednala v dobré víře.</w:t>
            </w:r>
          </w:p>
          <w:p w14:paraId="47AF0CBE" w14:textId="77777777" w:rsidR="000B4BD4" w:rsidRPr="0035187E" w:rsidRDefault="000B4BD4" w:rsidP="0035187E">
            <w:pPr>
              <w:jc w:val="both"/>
              <w:rPr>
                <w:rFonts w:ascii="Times New Roman" w:eastAsia="Calibri" w:hAnsi="Times New Roman" w:cs="Times New Roman"/>
                <w:sz w:val="20"/>
                <w:szCs w:val="20"/>
                <w:lang w:eastAsia="en-US"/>
              </w:rPr>
            </w:pPr>
          </w:p>
          <w:p w14:paraId="2188A4F0"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b/>
                <w:bCs/>
                <w:i/>
                <w:iCs/>
                <w:sz w:val="20"/>
                <w:szCs w:val="20"/>
                <w:lang w:eastAsia="en-US"/>
              </w:rPr>
              <w:t>d) Nerovné zacházení</w:t>
            </w:r>
          </w:p>
          <w:p w14:paraId="122C4722"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Zatímco podnikatelé mají jasně stanovené podmínky (paušální režim s příjmy do 1 000 000 Kč a přirážka 1 400 Kč měsíčně), neziskové organizace nemají žádný objektivní limit.</w:t>
            </w:r>
          </w:p>
          <w:p w14:paraId="47B1A2D1" w14:textId="77777777" w:rsidR="000B4BD4" w:rsidRPr="0035187E" w:rsidRDefault="000B4BD4" w:rsidP="0035187E">
            <w:pPr>
              <w:jc w:val="both"/>
              <w:rPr>
                <w:rFonts w:ascii="Times New Roman" w:eastAsia="Calibri" w:hAnsi="Times New Roman" w:cs="Times New Roman"/>
                <w:sz w:val="20"/>
                <w:szCs w:val="20"/>
                <w:lang w:eastAsia="en-US"/>
              </w:rPr>
            </w:pPr>
          </w:p>
          <w:p w14:paraId="6EF8B85A" w14:textId="650658D0" w:rsidR="000B4BD4" w:rsidRPr="0035187E" w:rsidRDefault="000B4BD4" w:rsidP="0035187E">
            <w:pPr>
              <w:jc w:val="both"/>
              <w:rPr>
                <w:rFonts w:ascii="Times New Roman" w:hAnsi="Times New Roman" w:cs="Times New Roman"/>
                <w:sz w:val="20"/>
                <w:szCs w:val="20"/>
                <w:lang w:eastAsia="ar-SA"/>
              </w:rPr>
            </w:pPr>
            <w:r w:rsidRPr="0035187E">
              <w:rPr>
                <w:rFonts w:ascii="Times New Roman" w:eastAsia="Calibri" w:hAnsi="Times New Roman" w:cs="Times New Roman"/>
                <w:b/>
                <w:bCs/>
                <w:sz w:val="20"/>
                <w:szCs w:val="20"/>
                <w:lang w:eastAsia="en-US"/>
              </w:rPr>
              <w:t>Tato připomínka je zásadní.</w:t>
            </w:r>
          </w:p>
        </w:tc>
        <w:tc>
          <w:tcPr>
            <w:tcW w:w="1453" w:type="pct"/>
            <w:tcBorders>
              <w:top w:val="single" w:sz="4" w:space="0" w:color="auto"/>
              <w:left w:val="single" w:sz="4" w:space="0" w:color="auto"/>
              <w:right w:val="single" w:sz="4" w:space="0" w:color="auto"/>
            </w:tcBorders>
            <w:shd w:val="clear" w:color="auto" w:fill="auto"/>
          </w:tcPr>
          <w:p w14:paraId="3371EB9F" w14:textId="77777777" w:rsidR="000B4BD4" w:rsidRPr="0035187E" w:rsidRDefault="00790F00"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Nevyhověno.</w:t>
            </w:r>
          </w:p>
          <w:p w14:paraId="3E530C9E" w14:textId="77777777" w:rsidR="00790F00" w:rsidRPr="0035187E" w:rsidRDefault="00790F00" w:rsidP="0035187E">
            <w:pPr>
              <w:jc w:val="both"/>
              <w:rPr>
                <w:rFonts w:ascii="Times New Roman" w:hAnsi="Times New Roman" w:cs="Times New Roman"/>
                <w:sz w:val="20"/>
                <w:szCs w:val="20"/>
              </w:rPr>
            </w:pPr>
            <w:r w:rsidRPr="0035187E">
              <w:rPr>
                <w:rFonts w:ascii="Times New Roman" w:hAnsi="Times New Roman" w:cs="Times New Roman"/>
                <w:sz w:val="20"/>
                <w:szCs w:val="20"/>
              </w:rPr>
              <w:t>V použití tzv. neurčitého právního pojmu, který navíc významem použitých slov dává poměrně jasnou představu o jeho smyslu, nelze spatřovat porušení principu legality. V opačném případě by neobstála většina právního řádu.</w:t>
            </w:r>
          </w:p>
          <w:p w14:paraId="0BD448E4" w14:textId="77777777" w:rsidR="00790F00" w:rsidRPr="0035187E" w:rsidRDefault="00790F00" w:rsidP="0035187E">
            <w:pPr>
              <w:jc w:val="both"/>
              <w:rPr>
                <w:rFonts w:ascii="Times New Roman" w:hAnsi="Times New Roman" w:cs="Times New Roman"/>
                <w:sz w:val="20"/>
                <w:szCs w:val="20"/>
              </w:rPr>
            </w:pPr>
            <w:r w:rsidRPr="0035187E">
              <w:rPr>
                <w:rFonts w:ascii="Times New Roman" w:hAnsi="Times New Roman" w:cs="Times New Roman"/>
                <w:sz w:val="20"/>
                <w:szCs w:val="20"/>
              </w:rPr>
              <w:t>Jedná se o institut převzatý z původního zákona o evidenci tržeb, který v praxi nečinil výkladové potíže ani nejasnosti (mj. díky podrobné metodické činnosti finanční správy). Nelze se proto ztotožnit s obavami připomínkového místa.</w:t>
            </w:r>
          </w:p>
          <w:p w14:paraId="56C5367A" w14:textId="4E2BF766" w:rsidR="00790F00" w:rsidRPr="0035187E" w:rsidRDefault="00790F00" w:rsidP="0035187E">
            <w:pPr>
              <w:jc w:val="both"/>
              <w:rPr>
                <w:rFonts w:ascii="Times New Roman" w:hAnsi="Times New Roman" w:cs="Times New Roman"/>
                <w:sz w:val="20"/>
                <w:szCs w:val="20"/>
              </w:rPr>
            </w:pPr>
          </w:p>
        </w:tc>
      </w:tr>
      <w:tr w:rsidR="0035187E" w:rsidRPr="0035187E" w14:paraId="2C7B9097"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BD28C26" w14:textId="5247C6E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21.</w:t>
            </w:r>
          </w:p>
        </w:tc>
        <w:tc>
          <w:tcPr>
            <w:tcW w:w="583" w:type="pct"/>
            <w:tcBorders>
              <w:top w:val="single" w:sz="4" w:space="0" w:color="auto"/>
              <w:left w:val="single" w:sz="4" w:space="0" w:color="auto"/>
              <w:right w:val="single" w:sz="4" w:space="0" w:color="auto"/>
            </w:tcBorders>
            <w:shd w:val="clear" w:color="auto" w:fill="auto"/>
          </w:tcPr>
          <w:p w14:paraId="77575E33" w14:textId="26A7AF7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Asociace malých a středních podniků a živnostníků ČR</w:t>
            </w:r>
          </w:p>
        </w:tc>
        <w:tc>
          <w:tcPr>
            <w:tcW w:w="168" w:type="pct"/>
            <w:tcBorders>
              <w:top w:val="single" w:sz="4" w:space="0" w:color="auto"/>
              <w:left w:val="single" w:sz="4" w:space="0" w:color="auto"/>
              <w:right w:val="single" w:sz="4" w:space="0" w:color="auto"/>
            </w:tcBorders>
            <w:shd w:val="clear" w:color="auto" w:fill="auto"/>
          </w:tcPr>
          <w:p w14:paraId="6DC5C6E8" w14:textId="0C9FB3A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6.</w:t>
            </w:r>
          </w:p>
        </w:tc>
        <w:tc>
          <w:tcPr>
            <w:tcW w:w="169" w:type="pct"/>
            <w:tcBorders>
              <w:top w:val="single" w:sz="4" w:space="0" w:color="auto"/>
              <w:left w:val="single" w:sz="4" w:space="0" w:color="auto"/>
              <w:right w:val="single" w:sz="4" w:space="0" w:color="auto"/>
            </w:tcBorders>
            <w:shd w:val="clear" w:color="auto" w:fill="auto"/>
          </w:tcPr>
          <w:p w14:paraId="576CA033" w14:textId="65BCBFD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8CE2830" w14:textId="77777777" w:rsidR="000B4BD4" w:rsidRPr="0035187E" w:rsidRDefault="000B4BD4" w:rsidP="0035187E">
            <w:pPr>
              <w:jc w:val="both"/>
              <w:rPr>
                <w:rFonts w:ascii="Times New Roman" w:hAnsi="Times New Roman" w:cs="Times New Roman"/>
                <w:bCs/>
                <w:sz w:val="20"/>
                <w:szCs w:val="20"/>
                <w:u w:val="single"/>
              </w:rPr>
            </w:pPr>
            <w:r w:rsidRPr="0035187E">
              <w:rPr>
                <w:rFonts w:ascii="Times New Roman" w:hAnsi="Times New Roman" w:cs="Times New Roman"/>
                <w:b/>
                <w:sz w:val="20"/>
                <w:szCs w:val="20"/>
                <w:u w:val="single"/>
              </w:rPr>
              <w:t>6) K podstatě předkládaného návrhu</w:t>
            </w:r>
            <w:r w:rsidRPr="0035187E">
              <w:rPr>
                <w:rFonts w:ascii="Times New Roman" w:hAnsi="Times New Roman" w:cs="Times New Roman"/>
                <w:bCs/>
                <w:sz w:val="20"/>
                <w:szCs w:val="20"/>
                <w:u w:val="single"/>
              </w:rPr>
              <w:t>:</w:t>
            </w:r>
          </w:p>
          <w:p w14:paraId="07E8771B" w14:textId="77777777" w:rsidR="000B4BD4" w:rsidRPr="0035187E" w:rsidRDefault="000B4BD4" w:rsidP="0035187E">
            <w:pPr>
              <w:jc w:val="both"/>
              <w:rPr>
                <w:rFonts w:ascii="Times New Roman" w:hAnsi="Times New Roman" w:cs="Times New Roman"/>
                <w:bCs/>
                <w:sz w:val="20"/>
                <w:szCs w:val="20"/>
                <w:u w:val="single"/>
              </w:rPr>
            </w:pPr>
          </w:p>
          <w:p w14:paraId="7C2E0D17" w14:textId="7777777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u w:val="single"/>
              </w:rPr>
              <w:t>Cíl</w:t>
            </w:r>
            <w:r w:rsidRPr="0035187E">
              <w:rPr>
                <w:rFonts w:ascii="Times New Roman" w:hAnsi="Times New Roman" w:cs="Times New Roman"/>
                <w:bCs/>
                <w:sz w:val="20"/>
                <w:szCs w:val="20"/>
              </w:rPr>
              <w:t>: Zpřístupnění možnosti přirážky i poplatníkům s vedlejším podnikáním mimo paušální režim.</w:t>
            </w:r>
          </w:p>
          <w:p w14:paraId="0DB913BC" w14:textId="77777777" w:rsidR="000B4BD4" w:rsidRPr="0035187E" w:rsidRDefault="000B4BD4" w:rsidP="0035187E">
            <w:pPr>
              <w:jc w:val="both"/>
              <w:rPr>
                <w:rFonts w:ascii="Times New Roman" w:eastAsia="Calibri" w:hAnsi="Times New Roman" w:cs="Times New Roman"/>
                <w:sz w:val="20"/>
                <w:szCs w:val="20"/>
                <w:lang w:eastAsia="en-US"/>
              </w:rPr>
            </w:pPr>
          </w:p>
          <w:p w14:paraId="1036C7D3"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u w:val="single"/>
                <w:lang w:eastAsia="en-US"/>
              </w:rPr>
              <w:t>Odůvodnění:</w:t>
            </w:r>
            <w:r w:rsidRPr="0035187E">
              <w:rPr>
                <w:rFonts w:ascii="Times New Roman" w:eastAsia="Calibri" w:hAnsi="Times New Roman" w:cs="Times New Roman"/>
                <w:sz w:val="20"/>
                <w:szCs w:val="20"/>
                <w:lang w:eastAsia="en-US"/>
              </w:rPr>
              <w:t xml:space="preserve"> Možnost zprostit se z povinnosti EET prostřednictvím přirážky je dostupná výhradně poplatníkům v paušálním režimu.</w:t>
            </w:r>
          </w:p>
          <w:p w14:paraId="209CA9CB" w14:textId="77777777" w:rsidR="000B4BD4" w:rsidRPr="0035187E" w:rsidRDefault="000B4BD4" w:rsidP="0035187E">
            <w:pPr>
              <w:jc w:val="both"/>
              <w:rPr>
                <w:rFonts w:ascii="Times New Roman" w:eastAsia="Calibri" w:hAnsi="Times New Roman" w:cs="Times New Roman"/>
                <w:sz w:val="20"/>
                <w:szCs w:val="20"/>
                <w:lang w:eastAsia="en-US"/>
              </w:rPr>
            </w:pPr>
          </w:p>
          <w:p w14:paraId="352A96CE"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b/>
                <w:bCs/>
                <w:i/>
                <w:iCs/>
                <w:sz w:val="20"/>
                <w:szCs w:val="20"/>
                <w:lang w:eastAsia="en-US"/>
              </w:rPr>
              <w:t>a) Nejasnost u poplatníků v paušálním režimu s příjmy ze závislé činnosti</w:t>
            </w:r>
          </w:p>
          <w:p w14:paraId="3DE8304E"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Poplatník, který vstoupil do paušálního režimu a následně se zaměstnal, zůstává formálně v paušálním režimu. Podle § 7a odst. 1 písm. b) zákona o daních z příjmů se však jeho daň nerovná paušální dani, protože standardní příjmy ze závislé činnosti nejsou v taxativním výčtu povolených příjmů. Není nám zřejmé, zda takový poplatník splňuje podmínku „poplatník v prvním pásmu paušálního režimu" pro účely přihlášení k přirážce podle § 2b.</w:t>
            </w:r>
          </w:p>
          <w:p w14:paraId="0F920784" w14:textId="77777777" w:rsidR="000B4BD4" w:rsidRPr="0035187E" w:rsidRDefault="000B4BD4" w:rsidP="0035187E">
            <w:pPr>
              <w:jc w:val="both"/>
              <w:rPr>
                <w:rFonts w:ascii="Times New Roman" w:eastAsia="Calibri" w:hAnsi="Times New Roman" w:cs="Times New Roman"/>
                <w:sz w:val="20"/>
                <w:szCs w:val="20"/>
                <w:lang w:eastAsia="en-US"/>
              </w:rPr>
            </w:pPr>
          </w:p>
          <w:p w14:paraId="70370AFF"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b/>
                <w:bCs/>
                <w:i/>
                <w:iCs/>
                <w:sz w:val="20"/>
                <w:szCs w:val="20"/>
                <w:lang w:eastAsia="en-US"/>
              </w:rPr>
              <w:t>b) Zaměstnanci, kteří nemohou vstoupit do paušálního režimu</w:t>
            </w:r>
          </w:p>
          <w:p w14:paraId="0AADD3BF"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Zaměstnanci, kteří si k hlavnímu úvazku přivydělávají drobným podnikáním, nemohou podle § 2a zákona o daních z příjmů do paušálního režimu vstoupit. Nemají proto přístup k přirážce – přestože jejich podnikatelské příjmy mohou být minimální a jejich administrativní zátěž z podnikání je často nižší než u poplatníků v paušálním režimu (typicky jen daňové přiznání jednou ročně).</w:t>
            </w:r>
          </w:p>
          <w:p w14:paraId="49A10AA5" w14:textId="77777777" w:rsidR="000B4BD4" w:rsidRPr="0035187E" w:rsidRDefault="000B4BD4" w:rsidP="0035187E">
            <w:pPr>
              <w:jc w:val="both"/>
              <w:rPr>
                <w:rFonts w:ascii="Times New Roman" w:eastAsia="Calibri" w:hAnsi="Times New Roman" w:cs="Times New Roman"/>
                <w:sz w:val="20"/>
                <w:szCs w:val="20"/>
                <w:lang w:eastAsia="en-US"/>
              </w:rPr>
            </w:pPr>
          </w:p>
          <w:p w14:paraId="7D4AB059" w14:textId="3024A9C8" w:rsidR="000B4BD4" w:rsidRPr="0035187E" w:rsidRDefault="000B4BD4" w:rsidP="0035187E">
            <w:pPr>
              <w:jc w:val="both"/>
              <w:rPr>
                <w:rFonts w:ascii="Times New Roman" w:hAnsi="Times New Roman" w:cs="Times New Roman"/>
                <w:sz w:val="20"/>
                <w:szCs w:val="20"/>
                <w:lang w:eastAsia="ar-SA"/>
              </w:rPr>
            </w:pPr>
            <w:r w:rsidRPr="0035187E">
              <w:rPr>
                <w:rFonts w:ascii="Times New Roman" w:eastAsia="Calibri" w:hAnsi="Times New Roman" w:cs="Times New Roman"/>
                <w:b/>
                <w:bCs/>
                <w:sz w:val="20"/>
                <w:szCs w:val="20"/>
                <w:lang w:eastAsia="en-US"/>
              </w:rPr>
              <w:t>Tato připomínka je zásadní.</w:t>
            </w:r>
          </w:p>
        </w:tc>
        <w:tc>
          <w:tcPr>
            <w:tcW w:w="1453" w:type="pct"/>
            <w:tcBorders>
              <w:top w:val="single" w:sz="4" w:space="0" w:color="auto"/>
              <w:left w:val="single" w:sz="4" w:space="0" w:color="auto"/>
              <w:right w:val="single" w:sz="4" w:space="0" w:color="auto"/>
            </w:tcBorders>
            <w:shd w:val="clear" w:color="auto" w:fill="auto"/>
          </w:tcPr>
          <w:p w14:paraId="4FEC1EFC" w14:textId="0FC0A07D" w:rsidR="000B4BD4" w:rsidRPr="0035187E" w:rsidRDefault="00B941A6" w:rsidP="0035187E">
            <w:pPr>
              <w:jc w:val="both"/>
              <w:rPr>
                <w:rFonts w:ascii="Times New Roman" w:hAnsi="Times New Roman" w:cs="Times New Roman"/>
                <w:b/>
                <w:sz w:val="20"/>
                <w:szCs w:val="20"/>
              </w:rPr>
            </w:pPr>
            <w:r w:rsidRPr="0035187E">
              <w:rPr>
                <w:rFonts w:ascii="Times New Roman" w:hAnsi="Times New Roman" w:cs="Times New Roman"/>
                <w:b/>
                <w:sz w:val="20"/>
                <w:szCs w:val="20"/>
              </w:rPr>
              <w:t>Nevyhověno.</w:t>
            </w:r>
          </w:p>
          <w:p w14:paraId="6BD9903B" w14:textId="4A7E6B4F" w:rsidR="00B941A6" w:rsidRPr="0035187E" w:rsidRDefault="00B941A6" w:rsidP="0035187E">
            <w:pPr>
              <w:jc w:val="both"/>
              <w:rPr>
                <w:rFonts w:ascii="Times New Roman" w:hAnsi="Times New Roman" w:cs="Times New Roman"/>
                <w:sz w:val="20"/>
                <w:szCs w:val="20"/>
              </w:rPr>
            </w:pPr>
            <w:r w:rsidRPr="0035187E">
              <w:rPr>
                <w:rFonts w:ascii="Times New Roman" w:hAnsi="Times New Roman" w:cs="Times New Roman"/>
                <w:sz w:val="20"/>
                <w:szCs w:val="20"/>
              </w:rPr>
              <w:t>Pro konstrukci dané výjimky je existence režimu paušální daně nezbytná a nelze ji rozšířit na jiný okruh poplatníků. Jinak koncipované plošné výjimky z povinnosti evidovat tržby jdou proti smyslu a účelu navržené právní úpravy.</w:t>
            </w:r>
          </w:p>
          <w:p w14:paraId="355C2EC8" w14:textId="395BA2D6" w:rsidR="00D12E50" w:rsidRPr="0035187E" w:rsidRDefault="00D12E50" w:rsidP="0035187E">
            <w:pPr>
              <w:jc w:val="both"/>
              <w:rPr>
                <w:rFonts w:ascii="Times New Roman" w:hAnsi="Times New Roman" w:cs="Times New Roman"/>
                <w:sz w:val="20"/>
                <w:szCs w:val="20"/>
              </w:rPr>
            </w:pPr>
          </w:p>
        </w:tc>
      </w:tr>
      <w:tr w:rsidR="0035187E" w:rsidRPr="0035187E" w14:paraId="604E8484"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B66B3D8" w14:textId="0A025C1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21.</w:t>
            </w:r>
          </w:p>
        </w:tc>
        <w:tc>
          <w:tcPr>
            <w:tcW w:w="583" w:type="pct"/>
            <w:tcBorders>
              <w:top w:val="single" w:sz="4" w:space="0" w:color="auto"/>
              <w:left w:val="single" w:sz="4" w:space="0" w:color="auto"/>
              <w:right w:val="single" w:sz="4" w:space="0" w:color="auto"/>
            </w:tcBorders>
            <w:shd w:val="clear" w:color="auto" w:fill="auto"/>
          </w:tcPr>
          <w:p w14:paraId="4E0E27C8" w14:textId="1794AB1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Asociace malých a středních podniků a živnostníků ČR</w:t>
            </w:r>
          </w:p>
        </w:tc>
        <w:tc>
          <w:tcPr>
            <w:tcW w:w="168" w:type="pct"/>
            <w:tcBorders>
              <w:top w:val="single" w:sz="4" w:space="0" w:color="auto"/>
              <w:left w:val="single" w:sz="4" w:space="0" w:color="auto"/>
              <w:right w:val="single" w:sz="4" w:space="0" w:color="auto"/>
            </w:tcBorders>
            <w:shd w:val="clear" w:color="auto" w:fill="auto"/>
          </w:tcPr>
          <w:p w14:paraId="1018F3FC" w14:textId="505A764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7.</w:t>
            </w:r>
          </w:p>
        </w:tc>
        <w:tc>
          <w:tcPr>
            <w:tcW w:w="169" w:type="pct"/>
            <w:tcBorders>
              <w:top w:val="single" w:sz="4" w:space="0" w:color="auto"/>
              <w:left w:val="single" w:sz="4" w:space="0" w:color="auto"/>
              <w:right w:val="single" w:sz="4" w:space="0" w:color="auto"/>
            </w:tcBorders>
            <w:shd w:val="clear" w:color="auto" w:fill="auto"/>
          </w:tcPr>
          <w:p w14:paraId="2854B33C" w14:textId="3978CA8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012D55F" w14:textId="77777777" w:rsidR="000B4BD4" w:rsidRPr="0035187E" w:rsidRDefault="000B4BD4" w:rsidP="0035187E">
            <w:pPr>
              <w:jc w:val="both"/>
              <w:rPr>
                <w:rFonts w:ascii="Times New Roman" w:hAnsi="Times New Roman" w:cs="Times New Roman"/>
                <w:bCs/>
                <w:sz w:val="20"/>
                <w:szCs w:val="20"/>
                <w:u w:val="single"/>
              </w:rPr>
            </w:pPr>
            <w:r w:rsidRPr="0035187E">
              <w:rPr>
                <w:rFonts w:ascii="Times New Roman" w:hAnsi="Times New Roman" w:cs="Times New Roman"/>
                <w:b/>
                <w:sz w:val="20"/>
                <w:szCs w:val="20"/>
                <w:u w:val="single"/>
              </w:rPr>
              <w:t>7) K podstatě předkládaného návrhu</w:t>
            </w:r>
            <w:r w:rsidRPr="0035187E">
              <w:rPr>
                <w:rFonts w:ascii="Times New Roman" w:hAnsi="Times New Roman" w:cs="Times New Roman"/>
                <w:bCs/>
                <w:sz w:val="20"/>
                <w:szCs w:val="20"/>
                <w:u w:val="single"/>
              </w:rPr>
              <w:t>:</w:t>
            </w:r>
          </w:p>
          <w:p w14:paraId="6D90570E" w14:textId="77777777" w:rsidR="000B4BD4" w:rsidRPr="0035187E" w:rsidRDefault="000B4BD4" w:rsidP="0035187E">
            <w:pPr>
              <w:jc w:val="both"/>
              <w:rPr>
                <w:rFonts w:ascii="Times New Roman" w:eastAsia="Calibri" w:hAnsi="Times New Roman" w:cs="Times New Roman"/>
                <w:sz w:val="20"/>
                <w:szCs w:val="20"/>
                <w:lang w:eastAsia="en-US"/>
              </w:rPr>
            </w:pPr>
          </w:p>
          <w:p w14:paraId="5568A11B"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u w:val="single"/>
                <w:lang w:eastAsia="en-US"/>
              </w:rPr>
              <w:t>Cíl:</w:t>
            </w:r>
            <w:r w:rsidRPr="0035187E">
              <w:rPr>
                <w:rFonts w:ascii="Times New Roman" w:eastAsia="Calibri" w:hAnsi="Times New Roman" w:cs="Times New Roman"/>
                <w:sz w:val="20"/>
                <w:szCs w:val="20"/>
                <w:lang w:eastAsia="en-US"/>
              </w:rPr>
              <w:t xml:space="preserve"> Zvýhodnění účelových příspěvků na stravování oproti neúčelovým.</w:t>
            </w:r>
          </w:p>
          <w:p w14:paraId="29F97B60" w14:textId="77777777" w:rsidR="000B4BD4" w:rsidRPr="0035187E" w:rsidRDefault="000B4BD4" w:rsidP="0035187E">
            <w:pPr>
              <w:jc w:val="both"/>
              <w:rPr>
                <w:rFonts w:ascii="Times New Roman" w:eastAsia="Calibri" w:hAnsi="Times New Roman" w:cs="Times New Roman"/>
                <w:sz w:val="20"/>
                <w:szCs w:val="20"/>
                <w:lang w:eastAsia="en-US"/>
              </w:rPr>
            </w:pPr>
          </w:p>
          <w:p w14:paraId="62FEE14C"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u w:val="single"/>
                <w:lang w:eastAsia="en-US"/>
              </w:rPr>
              <w:t>Odůvodnění:</w:t>
            </w:r>
            <w:r w:rsidRPr="0035187E">
              <w:rPr>
                <w:rFonts w:ascii="Times New Roman" w:eastAsia="Calibri" w:hAnsi="Times New Roman" w:cs="Times New Roman"/>
                <w:sz w:val="20"/>
                <w:szCs w:val="20"/>
                <w:lang w:eastAsia="en-US"/>
              </w:rPr>
              <w:t xml:space="preserve"> Navrhujeme upravit nastavení daňového zvýhodnění příspěvků zaměstnavatele na stravování tak, aby bylo zřetelně zvýhodněno </w:t>
            </w:r>
            <w:r w:rsidRPr="0035187E">
              <w:rPr>
                <w:rFonts w:ascii="Times New Roman" w:eastAsia="Calibri" w:hAnsi="Times New Roman" w:cs="Times New Roman"/>
                <w:b/>
                <w:bCs/>
                <w:sz w:val="20"/>
                <w:szCs w:val="20"/>
                <w:lang w:eastAsia="en-US"/>
              </w:rPr>
              <w:t>účelové plnění určené na stravování</w:t>
            </w:r>
            <w:r w:rsidRPr="0035187E">
              <w:rPr>
                <w:rFonts w:ascii="Times New Roman" w:eastAsia="Calibri" w:hAnsi="Times New Roman" w:cs="Times New Roman"/>
                <w:sz w:val="20"/>
                <w:szCs w:val="20"/>
                <w:lang w:eastAsia="en-US"/>
              </w:rPr>
              <w:t xml:space="preserve"> oproti plnění neúčelovému.</w:t>
            </w:r>
          </w:p>
          <w:p w14:paraId="67160F20" w14:textId="77777777" w:rsidR="000B4BD4" w:rsidRPr="0035187E" w:rsidRDefault="000B4BD4" w:rsidP="0035187E">
            <w:pPr>
              <w:jc w:val="both"/>
              <w:rPr>
                <w:rFonts w:ascii="Times New Roman" w:eastAsia="Calibri" w:hAnsi="Times New Roman" w:cs="Times New Roman"/>
                <w:sz w:val="20"/>
                <w:szCs w:val="20"/>
                <w:lang w:eastAsia="en-US"/>
              </w:rPr>
            </w:pPr>
          </w:p>
          <w:p w14:paraId="544F3BC1"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Konkrétně navrhujeme, aby účelové formy podpory stravování (např. stravenky, elektronické </w:t>
            </w:r>
            <w:proofErr w:type="spellStart"/>
            <w:r w:rsidRPr="0035187E">
              <w:rPr>
                <w:rFonts w:ascii="Times New Roman" w:eastAsia="Calibri" w:hAnsi="Times New Roman" w:cs="Times New Roman"/>
                <w:sz w:val="20"/>
                <w:szCs w:val="20"/>
                <w:lang w:eastAsia="en-US"/>
              </w:rPr>
              <w:t>stravenkové</w:t>
            </w:r>
            <w:proofErr w:type="spellEnd"/>
            <w:r w:rsidRPr="0035187E">
              <w:rPr>
                <w:rFonts w:ascii="Times New Roman" w:eastAsia="Calibri" w:hAnsi="Times New Roman" w:cs="Times New Roman"/>
                <w:sz w:val="20"/>
                <w:szCs w:val="20"/>
                <w:lang w:eastAsia="en-US"/>
              </w:rPr>
              <w:t xml:space="preserve"> karty či jiné prokazatelně účelově vázané nástroje) byly </w:t>
            </w:r>
            <w:r w:rsidRPr="0035187E">
              <w:rPr>
                <w:rFonts w:ascii="Times New Roman" w:eastAsia="Calibri" w:hAnsi="Times New Roman" w:cs="Times New Roman"/>
                <w:b/>
                <w:bCs/>
                <w:sz w:val="20"/>
                <w:szCs w:val="20"/>
                <w:lang w:eastAsia="en-US"/>
              </w:rPr>
              <w:t>daňově zvýhodněny na úrovni 100 % hodnoty stravného do stanoveného limitu</w:t>
            </w:r>
            <w:r w:rsidRPr="0035187E">
              <w:rPr>
                <w:rFonts w:ascii="Times New Roman" w:eastAsia="Calibri" w:hAnsi="Times New Roman" w:cs="Times New Roman"/>
                <w:sz w:val="20"/>
                <w:szCs w:val="20"/>
                <w:lang w:eastAsia="en-US"/>
              </w:rPr>
              <w:t xml:space="preserve">. Naproti tomu </w:t>
            </w:r>
            <w:r w:rsidRPr="0035187E">
              <w:rPr>
                <w:rFonts w:ascii="Times New Roman" w:eastAsia="Calibri" w:hAnsi="Times New Roman" w:cs="Times New Roman"/>
                <w:b/>
                <w:bCs/>
                <w:sz w:val="20"/>
                <w:szCs w:val="20"/>
                <w:lang w:eastAsia="en-US"/>
              </w:rPr>
              <w:t>neúčelový stravovací paušál</w:t>
            </w:r>
            <w:r w:rsidRPr="0035187E">
              <w:rPr>
                <w:rFonts w:ascii="Times New Roman" w:eastAsia="Calibri" w:hAnsi="Times New Roman" w:cs="Times New Roman"/>
                <w:sz w:val="20"/>
                <w:szCs w:val="20"/>
                <w:lang w:eastAsia="en-US"/>
              </w:rPr>
              <w:t xml:space="preserve"> by zůstal zachován v současném režimu daňového zvýhodnění </w:t>
            </w:r>
            <w:r w:rsidRPr="0035187E">
              <w:rPr>
                <w:rFonts w:ascii="Times New Roman" w:eastAsia="Calibri" w:hAnsi="Times New Roman" w:cs="Times New Roman"/>
                <w:b/>
                <w:bCs/>
                <w:sz w:val="20"/>
                <w:szCs w:val="20"/>
                <w:lang w:eastAsia="en-US"/>
              </w:rPr>
              <w:t>na úrovni 70 % hodnoty stravného</w:t>
            </w:r>
            <w:r w:rsidRPr="0035187E">
              <w:rPr>
                <w:rFonts w:ascii="Times New Roman" w:eastAsia="Calibri" w:hAnsi="Times New Roman" w:cs="Times New Roman"/>
                <w:sz w:val="20"/>
                <w:szCs w:val="20"/>
                <w:lang w:eastAsia="en-US"/>
              </w:rPr>
              <w:t>.</w:t>
            </w:r>
          </w:p>
          <w:p w14:paraId="7EB441FC" w14:textId="77777777" w:rsidR="000B4BD4" w:rsidRPr="0035187E" w:rsidRDefault="000B4BD4" w:rsidP="0035187E">
            <w:pPr>
              <w:jc w:val="both"/>
              <w:rPr>
                <w:rFonts w:ascii="Times New Roman" w:eastAsia="Calibri" w:hAnsi="Times New Roman" w:cs="Times New Roman"/>
                <w:sz w:val="20"/>
                <w:szCs w:val="20"/>
                <w:lang w:eastAsia="en-US"/>
              </w:rPr>
            </w:pPr>
          </w:p>
          <w:p w14:paraId="64546FCF"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Účelové formy podpory stravování zajišťují, že poskytnuté prostředky jsou skutečně využity k zajištění stravování zaměstnanců. Tím naplňují smysl a účel této podpory, byť jejich efekt může být v jednotlivých případech různý. Naopak u neúčelového příspěvku není zaručeno, že poskytnuté prostředky budou využity právě na stravování zaměstnance.</w:t>
            </w:r>
          </w:p>
          <w:p w14:paraId="16523D6E" w14:textId="77777777" w:rsidR="000B4BD4" w:rsidRPr="0035187E" w:rsidRDefault="000B4BD4" w:rsidP="0035187E">
            <w:pPr>
              <w:jc w:val="both"/>
              <w:rPr>
                <w:rFonts w:ascii="Times New Roman" w:eastAsia="Calibri" w:hAnsi="Times New Roman" w:cs="Times New Roman"/>
                <w:sz w:val="20"/>
                <w:szCs w:val="20"/>
                <w:lang w:eastAsia="en-US"/>
              </w:rPr>
            </w:pPr>
          </w:p>
          <w:p w14:paraId="6C0B67A5"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Současně je možné uvažovat o </w:t>
            </w:r>
            <w:r w:rsidRPr="0035187E">
              <w:rPr>
                <w:rFonts w:ascii="Times New Roman" w:eastAsia="Calibri" w:hAnsi="Times New Roman" w:cs="Times New Roman"/>
                <w:b/>
                <w:bCs/>
                <w:sz w:val="20"/>
                <w:szCs w:val="20"/>
                <w:lang w:eastAsia="en-US"/>
              </w:rPr>
              <w:t>dílčí modifikaci parametrů systému</w:t>
            </w:r>
            <w:r w:rsidRPr="0035187E">
              <w:rPr>
                <w:rFonts w:ascii="Times New Roman" w:eastAsia="Calibri" w:hAnsi="Times New Roman" w:cs="Times New Roman"/>
                <w:sz w:val="20"/>
                <w:szCs w:val="20"/>
                <w:lang w:eastAsia="en-US"/>
              </w:rPr>
              <w:t xml:space="preserve">, například o </w:t>
            </w:r>
            <w:r w:rsidRPr="0035187E">
              <w:rPr>
                <w:rFonts w:ascii="Times New Roman" w:eastAsia="Calibri" w:hAnsi="Times New Roman" w:cs="Times New Roman"/>
                <w:b/>
                <w:bCs/>
                <w:sz w:val="20"/>
                <w:szCs w:val="20"/>
                <w:lang w:eastAsia="en-US"/>
              </w:rPr>
              <w:t>zavedení denního limitu čerpání účelového příspěvku</w:t>
            </w:r>
            <w:r w:rsidRPr="0035187E">
              <w:rPr>
                <w:rFonts w:ascii="Times New Roman" w:eastAsia="Calibri" w:hAnsi="Times New Roman" w:cs="Times New Roman"/>
                <w:sz w:val="20"/>
                <w:szCs w:val="20"/>
                <w:lang w:eastAsia="en-US"/>
              </w:rPr>
              <w:t xml:space="preserve">, aby bylo posíleno pravidelné využívání prostředků na stravování. Jako vhodné řešení se jeví stanovení limitu ve výši například </w:t>
            </w:r>
            <w:r w:rsidRPr="0035187E">
              <w:rPr>
                <w:rFonts w:ascii="Times New Roman" w:eastAsia="Calibri" w:hAnsi="Times New Roman" w:cs="Times New Roman"/>
                <w:b/>
                <w:bCs/>
                <w:sz w:val="20"/>
                <w:szCs w:val="20"/>
                <w:lang w:eastAsia="en-US"/>
              </w:rPr>
              <w:t>dvojnásobku až trojnásobku maximálního limitu stravného za den</w:t>
            </w:r>
            <w:r w:rsidRPr="0035187E">
              <w:rPr>
                <w:rFonts w:ascii="Times New Roman" w:eastAsia="Calibri" w:hAnsi="Times New Roman" w:cs="Times New Roman"/>
                <w:sz w:val="20"/>
                <w:szCs w:val="20"/>
                <w:lang w:eastAsia="en-US"/>
              </w:rPr>
              <w:t>.</w:t>
            </w:r>
          </w:p>
          <w:p w14:paraId="0C94181C" w14:textId="77777777" w:rsidR="000B4BD4" w:rsidRPr="0035187E" w:rsidRDefault="000B4BD4" w:rsidP="0035187E">
            <w:pPr>
              <w:jc w:val="both"/>
              <w:rPr>
                <w:rFonts w:ascii="Times New Roman" w:eastAsia="Calibri" w:hAnsi="Times New Roman" w:cs="Times New Roman"/>
                <w:sz w:val="20"/>
                <w:szCs w:val="20"/>
                <w:lang w:eastAsia="en-US"/>
              </w:rPr>
            </w:pPr>
          </w:p>
          <w:p w14:paraId="286DA4B1"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Navrhovaná úprava by posílila motivační funkci systému podpory zaměstnaneckého stravování, aniž by současně rušila možnost poskytovat neúčelový příspěvek v jeho stávající podobě.</w:t>
            </w:r>
          </w:p>
          <w:p w14:paraId="1153EED3" w14:textId="77777777" w:rsidR="000B4BD4" w:rsidRPr="0035187E" w:rsidRDefault="000B4BD4" w:rsidP="0035187E">
            <w:pPr>
              <w:jc w:val="both"/>
              <w:rPr>
                <w:rFonts w:ascii="Times New Roman" w:eastAsia="Calibri" w:hAnsi="Times New Roman" w:cs="Times New Roman"/>
                <w:sz w:val="20"/>
                <w:szCs w:val="20"/>
                <w:lang w:eastAsia="en-US"/>
              </w:rPr>
            </w:pPr>
          </w:p>
          <w:p w14:paraId="546CD079" w14:textId="2CFD60E4" w:rsidR="000B4BD4" w:rsidRPr="0035187E" w:rsidRDefault="000B4BD4" w:rsidP="0035187E">
            <w:pPr>
              <w:jc w:val="both"/>
              <w:rPr>
                <w:rFonts w:ascii="Times New Roman" w:hAnsi="Times New Roman" w:cs="Times New Roman"/>
                <w:sz w:val="20"/>
                <w:szCs w:val="20"/>
                <w:lang w:eastAsia="ar-SA"/>
              </w:rPr>
            </w:pPr>
            <w:r w:rsidRPr="0035187E">
              <w:rPr>
                <w:rFonts w:ascii="Times New Roman" w:eastAsia="Calibri" w:hAnsi="Times New Roman" w:cs="Times New Roman"/>
                <w:b/>
                <w:bCs/>
                <w:sz w:val="20"/>
                <w:szCs w:val="20"/>
                <w:lang w:eastAsia="en-US"/>
              </w:rPr>
              <w:t>Tato připomínka je zásadní.</w:t>
            </w:r>
          </w:p>
        </w:tc>
        <w:tc>
          <w:tcPr>
            <w:tcW w:w="1453" w:type="pct"/>
            <w:tcBorders>
              <w:top w:val="single" w:sz="4" w:space="0" w:color="auto"/>
              <w:left w:val="single" w:sz="4" w:space="0" w:color="auto"/>
              <w:right w:val="single" w:sz="4" w:space="0" w:color="auto"/>
            </w:tcBorders>
            <w:shd w:val="clear" w:color="auto" w:fill="auto"/>
          </w:tcPr>
          <w:p w14:paraId="200EE358" w14:textId="77777777" w:rsidR="0021550B" w:rsidRPr="0035187E" w:rsidRDefault="0021550B"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Nevyhověno.</w:t>
            </w:r>
          </w:p>
          <w:p w14:paraId="56416240" w14:textId="16E02145" w:rsidR="0021550B" w:rsidRPr="0035187E" w:rsidRDefault="0021550B" w:rsidP="0035187E">
            <w:pPr>
              <w:jc w:val="both"/>
              <w:rPr>
                <w:rFonts w:ascii="Times New Roman" w:hAnsi="Times New Roman" w:cs="Times New Roman"/>
                <w:sz w:val="20"/>
                <w:szCs w:val="20"/>
              </w:rPr>
            </w:pPr>
            <w:r w:rsidRPr="0035187E">
              <w:rPr>
                <w:rFonts w:ascii="Times New Roman" w:hAnsi="Times New Roman" w:cs="Times New Roman"/>
                <w:sz w:val="20"/>
                <w:szCs w:val="20"/>
              </w:rPr>
              <w:t>Podnět přesahuje rámec navrhované úpravy zákona o evidenci tržeb.</w:t>
            </w:r>
          </w:p>
          <w:p w14:paraId="6D869D54" w14:textId="25631C2D" w:rsidR="000B4BD4" w:rsidRPr="0035187E" w:rsidRDefault="0021550B" w:rsidP="0035187E">
            <w:pPr>
              <w:jc w:val="both"/>
              <w:rPr>
                <w:rFonts w:ascii="Times New Roman" w:hAnsi="Times New Roman" w:cs="Times New Roman"/>
                <w:sz w:val="20"/>
                <w:szCs w:val="20"/>
              </w:rPr>
            </w:pPr>
            <w:r w:rsidRPr="0035187E">
              <w:rPr>
                <w:rFonts w:ascii="Times New Roman" w:hAnsi="Times New Roman" w:cs="Times New Roman"/>
                <w:sz w:val="20"/>
                <w:szCs w:val="20"/>
              </w:rPr>
              <w:t>Nelze garantovat, že zvýšení limitu příspěvku na stravování skutečně povede k lepší stravovací kultuře. Navrhované opatření je nesystémové, protože zvýšení daňového osvobození se vztahuje pouze na nepeněžní formu příspěvku, zatímco peněžitý příspěvek zůstává omezen na nižší hranici.</w:t>
            </w:r>
            <w:r w:rsidRPr="0035187E">
              <w:t xml:space="preserve"> </w:t>
            </w:r>
            <w:r w:rsidRPr="0035187E">
              <w:rPr>
                <w:rFonts w:ascii="Times New Roman" w:hAnsi="Times New Roman" w:cs="Times New Roman"/>
                <w:sz w:val="20"/>
                <w:szCs w:val="20"/>
              </w:rPr>
              <w:t>Zaměstnanec, který by platil oběd v restauračním zařízení v hotovosti, by byl znevýhodněn oproti zaměstnanci, který by stejný oběd odebíral za stravenku.</w:t>
            </w:r>
          </w:p>
        </w:tc>
      </w:tr>
      <w:tr w:rsidR="0035187E" w:rsidRPr="0035187E" w14:paraId="6872DC69"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F3EB676" w14:textId="3D75449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21.</w:t>
            </w:r>
          </w:p>
        </w:tc>
        <w:tc>
          <w:tcPr>
            <w:tcW w:w="583" w:type="pct"/>
            <w:tcBorders>
              <w:top w:val="single" w:sz="4" w:space="0" w:color="auto"/>
              <w:left w:val="single" w:sz="4" w:space="0" w:color="auto"/>
              <w:right w:val="single" w:sz="4" w:space="0" w:color="auto"/>
            </w:tcBorders>
            <w:shd w:val="clear" w:color="auto" w:fill="auto"/>
          </w:tcPr>
          <w:p w14:paraId="63EAA608" w14:textId="56D417A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Asociace malých a středních podniků a živnostníků ČR</w:t>
            </w:r>
          </w:p>
        </w:tc>
        <w:tc>
          <w:tcPr>
            <w:tcW w:w="168" w:type="pct"/>
            <w:tcBorders>
              <w:top w:val="single" w:sz="4" w:space="0" w:color="auto"/>
              <w:left w:val="single" w:sz="4" w:space="0" w:color="auto"/>
              <w:right w:val="single" w:sz="4" w:space="0" w:color="auto"/>
            </w:tcBorders>
            <w:shd w:val="clear" w:color="auto" w:fill="auto"/>
          </w:tcPr>
          <w:p w14:paraId="3BF06097" w14:textId="5FED474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8.</w:t>
            </w:r>
          </w:p>
        </w:tc>
        <w:tc>
          <w:tcPr>
            <w:tcW w:w="169" w:type="pct"/>
            <w:tcBorders>
              <w:top w:val="single" w:sz="4" w:space="0" w:color="auto"/>
              <w:left w:val="single" w:sz="4" w:space="0" w:color="auto"/>
              <w:right w:val="single" w:sz="4" w:space="0" w:color="auto"/>
            </w:tcBorders>
            <w:shd w:val="clear" w:color="auto" w:fill="auto"/>
          </w:tcPr>
          <w:p w14:paraId="0FB658F9" w14:textId="2CD341D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6626032" w14:textId="77777777" w:rsidR="000B4BD4" w:rsidRPr="0035187E" w:rsidRDefault="000B4BD4" w:rsidP="0035187E">
            <w:pPr>
              <w:jc w:val="both"/>
              <w:rPr>
                <w:rFonts w:ascii="Times New Roman" w:eastAsia="Calibri" w:hAnsi="Times New Roman" w:cs="Times New Roman"/>
                <w:b/>
                <w:bCs/>
                <w:sz w:val="20"/>
                <w:szCs w:val="20"/>
                <w:u w:val="single"/>
                <w:lang w:eastAsia="en-US"/>
              </w:rPr>
            </w:pPr>
            <w:r w:rsidRPr="0035187E">
              <w:rPr>
                <w:rFonts w:ascii="Times New Roman" w:eastAsia="Calibri" w:hAnsi="Times New Roman" w:cs="Times New Roman"/>
                <w:b/>
                <w:bCs/>
                <w:sz w:val="20"/>
                <w:szCs w:val="20"/>
                <w:u w:val="single"/>
                <w:lang w:eastAsia="en-US"/>
              </w:rPr>
              <w:t>8) K podstatě předkládaného návrhu:</w:t>
            </w:r>
          </w:p>
          <w:p w14:paraId="471134A2" w14:textId="77777777" w:rsidR="000B4BD4" w:rsidRPr="0035187E" w:rsidRDefault="000B4BD4" w:rsidP="0035187E">
            <w:pPr>
              <w:jc w:val="both"/>
              <w:rPr>
                <w:rFonts w:ascii="Times New Roman" w:eastAsia="Calibri" w:hAnsi="Times New Roman" w:cs="Times New Roman"/>
                <w:b/>
                <w:bCs/>
                <w:sz w:val="20"/>
                <w:szCs w:val="20"/>
                <w:u w:val="single"/>
                <w:lang w:eastAsia="en-US"/>
              </w:rPr>
            </w:pPr>
          </w:p>
          <w:p w14:paraId="7A1CF5DA" w14:textId="77777777" w:rsidR="000B4BD4" w:rsidRPr="0035187E" w:rsidRDefault="000B4BD4" w:rsidP="0035187E">
            <w:pPr>
              <w:jc w:val="both"/>
              <w:rPr>
                <w:rFonts w:ascii="Times New Roman" w:eastAsia="Calibri" w:hAnsi="Times New Roman" w:cs="Times New Roman"/>
                <w:sz w:val="20"/>
                <w:szCs w:val="20"/>
                <w:u w:val="single"/>
                <w:lang w:eastAsia="en-US"/>
              </w:rPr>
            </w:pPr>
            <w:r w:rsidRPr="0035187E">
              <w:rPr>
                <w:rFonts w:ascii="Times New Roman" w:eastAsia="Calibri" w:hAnsi="Times New Roman" w:cs="Times New Roman"/>
                <w:sz w:val="20"/>
                <w:szCs w:val="20"/>
                <w:u w:val="single"/>
                <w:lang w:eastAsia="en-US"/>
              </w:rPr>
              <w:t>Cíl:</w:t>
            </w:r>
            <w:r w:rsidRPr="0035187E">
              <w:rPr>
                <w:rFonts w:ascii="Times New Roman" w:eastAsia="Calibri" w:hAnsi="Times New Roman" w:cs="Times New Roman"/>
                <w:sz w:val="20"/>
                <w:szCs w:val="20"/>
                <w:lang w:eastAsia="en-US"/>
              </w:rPr>
              <w:t xml:space="preserve"> Odstranění nerovné nastavení mezi evidencí tržeb a paušální přirážkou.</w:t>
            </w:r>
          </w:p>
          <w:p w14:paraId="4410A594" w14:textId="77777777" w:rsidR="000B4BD4" w:rsidRPr="0035187E" w:rsidRDefault="000B4BD4" w:rsidP="0035187E">
            <w:pPr>
              <w:jc w:val="both"/>
              <w:rPr>
                <w:rFonts w:ascii="Times New Roman" w:eastAsia="Calibri" w:hAnsi="Times New Roman" w:cs="Times New Roman"/>
                <w:sz w:val="20"/>
                <w:szCs w:val="20"/>
                <w:lang w:eastAsia="en-US"/>
              </w:rPr>
            </w:pPr>
          </w:p>
          <w:p w14:paraId="4DAD027F"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u w:val="single"/>
                <w:lang w:eastAsia="en-US"/>
              </w:rPr>
              <w:t>Odůvodnění:</w:t>
            </w:r>
            <w:r w:rsidRPr="0035187E">
              <w:rPr>
                <w:rFonts w:ascii="Times New Roman" w:eastAsia="Calibri" w:hAnsi="Times New Roman" w:cs="Times New Roman"/>
                <w:sz w:val="20"/>
                <w:szCs w:val="20"/>
                <w:lang w:eastAsia="en-US"/>
              </w:rPr>
              <w:t xml:space="preserve"> Poplatníci v paušálním režimu, kteří se přihlásí k přirážce (1 400 Kč měsíčně), nemohou uplatnit slevu na evidenci tržeb (5 000 Kč), zatímco evidující poplatníci tuto slevu získají.</w:t>
            </w:r>
          </w:p>
          <w:p w14:paraId="014592EA" w14:textId="77777777" w:rsidR="000B4BD4" w:rsidRPr="0035187E" w:rsidRDefault="000B4BD4" w:rsidP="0035187E">
            <w:pPr>
              <w:jc w:val="both"/>
              <w:rPr>
                <w:rFonts w:ascii="Times New Roman" w:eastAsia="Calibri" w:hAnsi="Times New Roman" w:cs="Times New Roman"/>
                <w:sz w:val="20"/>
                <w:szCs w:val="20"/>
                <w:lang w:eastAsia="en-US"/>
              </w:rPr>
            </w:pPr>
          </w:p>
          <w:tbl>
            <w:tblPr>
              <w:tblW w:w="5000" w:type="pct"/>
              <w:tblLayout w:type="fixed"/>
              <w:tblLook w:val="04A0" w:firstRow="1" w:lastRow="0" w:firstColumn="1" w:lastColumn="0" w:noHBand="0" w:noVBand="1"/>
            </w:tblPr>
            <w:tblGrid>
              <w:gridCol w:w="1250"/>
              <w:gridCol w:w="2567"/>
              <w:gridCol w:w="1435"/>
              <w:gridCol w:w="1878"/>
            </w:tblGrid>
            <w:tr w:rsidR="000B4BD4" w:rsidRPr="0035187E" w14:paraId="57049D1E" w14:textId="77777777" w:rsidTr="00680276">
              <w:tc>
                <w:tcPr>
                  <w:tcW w:w="877" w:type="pct"/>
                  <w:tcBorders>
                    <w:top w:val="single" w:sz="12" w:space="0" w:color="000000"/>
                    <w:left w:val="single" w:sz="12" w:space="0" w:color="000000"/>
                    <w:bottom w:val="single" w:sz="12" w:space="0" w:color="000000"/>
                    <w:right w:val="single" w:sz="12" w:space="0" w:color="000000"/>
                  </w:tcBorders>
                  <w:shd w:val="clear" w:color="auto" w:fill="D3D3D3"/>
                  <w:tcMar>
                    <w:top w:w="0" w:type="dxa"/>
                    <w:left w:w="115" w:type="dxa"/>
                    <w:bottom w:w="0" w:type="dxa"/>
                    <w:right w:w="115" w:type="dxa"/>
                  </w:tcMar>
                  <w:hideMark/>
                </w:tcPr>
                <w:p w14:paraId="6521C723" w14:textId="77777777" w:rsidR="000B4BD4" w:rsidRPr="0035187E" w:rsidRDefault="000B4BD4" w:rsidP="0035187E">
                  <w:pPr>
                    <w:rPr>
                      <w:rFonts w:ascii="Times New Roman" w:eastAsia="Calibri" w:hAnsi="Times New Roman" w:cs="Times New Roman"/>
                      <w:b/>
                      <w:bCs/>
                      <w:sz w:val="20"/>
                      <w:szCs w:val="20"/>
                      <w:lang w:val="en-US" w:eastAsia="en-US"/>
                    </w:rPr>
                  </w:pPr>
                  <w:proofErr w:type="spellStart"/>
                  <w:r w:rsidRPr="0035187E">
                    <w:rPr>
                      <w:rFonts w:ascii="Times New Roman" w:eastAsia="Calibri" w:hAnsi="Times New Roman" w:cs="Times New Roman"/>
                      <w:b/>
                      <w:bCs/>
                      <w:sz w:val="20"/>
                      <w:szCs w:val="20"/>
                      <w:lang w:val="en-US" w:eastAsia="en-US"/>
                    </w:rPr>
                    <w:t>Režim</w:t>
                  </w:r>
                  <w:proofErr w:type="spellEnd"/>
                </w:p>
              </w:tc>
              <w:tc>
                <w:tcPr>
                  <w:tcW w:w="1800" w:type="pct"/>
                  <w:tcBorders>
                    <w:top w:val="single" w:sz="12" w:space="0" w:color="000000"/>
                    <w:left w:val="single" w:sz="12" w:space="0" w:color="000000"/>
                    <w:bottom w:val="single" w:sz="12" w:space="0" w:color="000000"/>
                    <w:right w:val="single" w:sz="12" w:space="0" w:color="000000"/>
                  </w:tcBorders>
                  <w:shd w:val="clear" w:color="auto" w:fill="D3D3D3"/>
                  <w:tcMar>
                    <w:top w:w="0" w:type="dxa"/>
                    <w:left w:w="115" w:type="dxa"/>
                    <w:bottom w:w="0" w:type="dxa"/>
                    <w:right w:w="115" w:type="dxa"/>
                  </w:tcMar>
                  <w:hideMark/>
                </w:tcPr>
                <w:p w14:paraId="5BE18964" w14:textId="77777777" w:rsidR="000B4BD4" w:rsidRPr="0035187E" w:rsidRDefault="000B4BD4" w:rsidP="0035187E">
                  <w:pPr>
                    <w:rPr>
                      <w:rFonts w:ascii="Times New Roman" w:eastAsia="Calibri" w:hAnsi="Times New Roman" w:cs="Times New Roman"/>
                      <w:b/>
                      <w:bCs/>
                      <w:sz w:val="20"/>
                      <w:szCs w:val="20"/>
                      <w:lang w:val="en-US" w:eastAsia="en-US"/>
                    </w:rPr>
                  </w:pPr>
                  <w:proofErr w:type="spellStart"/>
                  <w:r w:rsidRPr="0035187E">
                    <w:rPr>
                      <w:rFonts w:ascii="Times New Roman" w:eastAsia="Calibri" w:hAnsi="Times New Roman" w:cs="Times New Roman"/>
                      <w:b/>
                      <w:bCs/>
                      <w:sz w:val="20"/>
                      <w:szCs w:val="20"/>
                      <w:lang w:val="en-US" w:eastAsia="en-US"/>
                    </w:rPr>
                    <w:t>Roční</w:t>
                  </w:r>
                  <w:proofErr w:type="spellEnd"/>
                  <w:r w:rsidRPr="0035187E">
                    <w:rPr>
                      <w:rFonts w:ascii="Times New Roman" w:eastAsia="Calibri" w:hAnsi="Times New Roman" w:cs="Times New Roman"/>
                      <w:b/>
                      <w:bCs/>
                      <w:sz w:val="20"/>
                      <w:szCs w:val="20"/>
                      <w:lang w:val="en-US" w:eastAsia="en-US"/>
                    </w:rPr>
                    <w:t xml:space="preserve"> </w:t>
                  </w:r>
                  <w:proofErr w:type="spellStart"/>
                  <w:r w:rsidRPr="0035187E">
                    <w:rPr>
                      <w:rFonts w:ascii="Times New Roman" w:eastAsia="Calibri" w:hAnsi="Times New Roman" w:cs="Times New Roman"/>
                      <w:b/>
                      <w:bCs/>
                      <w:sz w:val="20"/>
                      <w:szCs w:val="20"/>
                      <w:lang w:val="en-US" w:eastAsia="en-US"/>
                    </w:rPr>
                    <w:t>náklad</w:t>
                  </w:r>
                  <w:proofErr w:type="spellEnd"/>
                </w:p>
              </w:tc>
              <w:tc>
                <w:tcPr>
                  <w:tcW w:w="1006" w:type="pct"/>
                  <w:tcBorders>
                    <w:top w:val="single" w:sz="12" w:space="0" w:color="000000"/>
                    <w:left w:val="single" w:sz="12" w:space="0" w:color="000000"/>
                    <w:bottom w:val="single" w:sz="12" w:space="0" w:color="000000"/>
                    <w:right w:val="single" w:sz="12" w:space="0" w:color="000000"/>
                  </w:tcBorders>
                  <w:shd w:val="clear" w:color="auto" w:fill="D3D3D3"/>
                  <w:tcMar>
                    <w:top w:w="0" w:type="dxa"/>
                    <w:left w:w="115" w:type="dxa"/>
                    <w:bottom w:w="0" w:type="dxa"/>
                    <w:right w:w="115" w:type="dxa"/>
                  </w:tcMar>
                  <w:hideMark/>
                </w:tcPr>
                <w:p w14:paraId="7660BA69" w14:textId="77777777" w:rsidR="000B4BD4" w:rsidRPr="0035187E" w:rsidRDefault="000B4BD4" w:rsidP="0035187E">
                  <w:pPr>
                    <w:rPr>
                      <w:rFonts w:ascii="Times New Roman" w:eastAsia="Calibri" w:hAnsi="Times New Roman" w:cs="Times New Roman"/>
                      <w:b/>
                      <w:bCs/>
                      <w:sz w:val="20"/>
                      <w:szCs w:val="20"/>
                      <w:lang w:val="en-US" w:eastAsia="en-US"/>
                    </w:rPr>
                  </w:pPr>
                  <w:proofErr w:type="spellStart"/>
                  <w:r w:rsidRPr="0035187E">
                    <w:rPr>
                      <w:rFonts w:ascii="Times New Roman" w:eastAsia="Calibri" w:hAnsi="Times New Roman" w:cs="Times New Roman"/>
                      <w:b/>
                      <w:bCs/>
                      <w:sz w:val="20"/>
                      <w:szCs w:val="20"/>
                      <w:lang w:val="en-US" w:eastAsia="en-US"/>
                    </w:rPr>
                    <w:t>Jednorázová</w:t>
                  </w:r>
                  <w:proofErr w:type="spellEnd"/>
                  <w:r w:rsidRPr="0035187E">
                    <w:rPr>
                      <w:rFonts w:ascii="Times New Roman" w:eastAsia="Calibri" w:hAnsi="Times New Roman" w:cs="Times New Roman"/>
                      <w:b/>
                      <w:bCs/>
                      <w:sz w:val="20"/>
                      <w:szCs w:val="20"/>
                      <w:lang w:val="en-US" w:eastAsia="en-US"/>
                    </w:rPr>
                    <w:t xml:space="preserve"> </w:t>
                  </w:r>
                  <w:proofErr w:type="spellStart"/>
                  <w:r w:rsidRPr="0035187E">
                    <w:rPr>
                      <w:rFonts w:ascii="Times New Roman" w:eastAsia="Calibri" w:hAnsi="Times New Roman" w:cs="Times New Roman"/>
                      <w:b/>
                      <w:bCs/>
                      <w:sz w:val="20"/>
                      <w:szCs w:val="20"/>
                      <w:lang w:val="en-US" w:eastAsia="en-US"/>
                    </w:rPr>
                    <w:t>sleva</w:t>
                  </w:r>
                  <w:proofErr w:type="spellEnd"/>
                </w:p>
              </w:tc>
              <w:tc>
                <w:tcPr>
                  <w:tcW w:w="1318" w:type="pct"/>
                  <w:tcBorders>
                    <w:top w:val="single" w:sz="12" w:space="0" w:color="000000"/>
                    <w:left w:val="single" w:sz="12" w:space="0" w:color="000000"/>
                    <w:bottom w:val="single" w:sz="12" w:space="0" w:color="000000"/>
                    <w:right w:val="single" w:sz="12" w:space="0" w:color="000000"/>
                  </w:tcBorders>
                  <w:shd w:val="clear" w:color="auto" w:fill="D3D3D3"/>
                  <w:tcMar>
                    <w:top w:w="0" w:type="dxa"/>
                    <w:left w:w="115" w:type="dxa"/>
                    <w:bottom w:w="0" w:type="dxa"/>
                    <w:right w:w="115" w:type="dxa"/>
                  </w:tcMar>
                  <w:hideMark/>
                </w:tcPr>
                <w:p w14:paraId="77DC3C5C" w14:textId="77777777" w:rsidR="000B4BD4" w:rsidRPr="0035187E" w:rsidRDefault="000B4BD4" w:rsidP="0035187E">
                  <w:pPr>
                    <w:rPr>
                      <w:rFonts w:ascii="Times New Roman" w:eastAsia="Calibri" w:hAnsi="Times New Roman" w:cs="Times New Roman"/>
                      <w:b/>
                      <w:bCs/>
                      <w:sz w:val="20"/>
                      <w:szCs w:val="20"/>
                      <w:lang w:val="en-US" w:eastAsia="en-US"/>
                    </w:rPr>
                  </w:pPr>
                  <w:proofErr w:type="spellStart"/>
                  <w:r w:rsidRPr="0035187E">
                    <w:rPr>
                      <w:rFonts w:ascii="Times New Roman" w:eastAsia="Calibri" w:hAnsi="Times New Roman" w:cs="Times New Roman"/>
                      <w:b/>
                      <w:bCs/>
                      <w:sz w:val="20"/>
                      <w:szCs w:val="20"/>
                      <w:lang w:val="en-US" w:eastAsia="en-US"/>
                    </w:rPr>
                    <w:t>Čistý</w:t>
                  </w:r>
                  <w:proofErr w:type="spellEnd"/>
                  <w:r w:rsidRPr="0035187E">
                    <w:rPr>
                      <w:rFonts w:ascii="Times New Roman" w:eastAsia="Calibri" w:hAnsi="Times New Roman" w:cs="Times New Roman"/>
                      <w:b/>
                      <w:bCs/>
                      <w:sz w:val="20"/>
                      <w:szCs w:val="20"/>
                      <w:lang w:val="en-US" w:eastAsia="en-US"/>
                    </w:rPr>
                    <w:t xml:space="preserve"> </w:t>
                  </w:r>
                  <w:proofErr w:type="spellStart"/>
                  <w:r w:rsidRPr="0035187E">
                    <w:rPr>
                      <w:rFonts w:ascii="Times New Roman" w:eastAsia="Calibri" w:hAnsi="Times New Roman" w:cs="Times New Roman"/>
                      <w:b/>
                      <w:bCs/>
                      <w:sz w:val="20"/>
                      <w:szCs w:val="20"/>
                      <w:lang w:val="en-US" w:eastAsia="en-US"/>
                    </w:rPr>
                    <w:t>roční</w:t>
                  </w:r>
                  <w:proofErr w:type="spellEnd"/>
                  <w:r w:rsidRPr="0035187E">
                    <w:rPr>
                      <w:rFonts w:ascii="Times New Roman" w:eastAsia="Calibri" w:hAnsi="Times New Roman" w:cs="Times New Roman"/>
                      <w:b/>
                      <w:bCs/>
                      <w:sz w:val="20"/>
                      <w:szCs w:val="20"/>
                      <w:lang w:val="en-US" w:eastAsia="en-US"/>
                    </w:rPr>
                    <w:t xml:space="preserve"> </w:t>
                  </w:r>
                  <w:proofErr w:type="spellStart"/>
                  <w:r w:rsidRPr="0035187E">
                    <w:rPr>
                      <w:rFonts w:ascii="Times New Roman" w:eastAsia="Calibri" w:hAnsi="Times New Roman" w:cs="Times New Roman"/>
                      <w:b/>
                      <w:bCs/>
                      <w:sz w:val="20"/>
                      <w:szCs w:val="20"/>
                      <w:lang w:val="en-US" w:eastAsia="en-US"/>
                    </w:rPr>
                    <w:t>dopad</w:t>
                  </w:r>
                  <w:proofErr w:type="spellEnd"/>
                </w:p>
              </w:tc>
            </w:tr>
            <w:tr w:rsidR="000B4BD4" w:rsidRPr="0035187E" w14:paraId="6BCEF424" w14:textId="77777777" w:rsidTr="00680276">
              <w:tc>
                <w:tcPr>
                  <w:tcW w:w="877" w:type="pct"/>
                  <w:tcBorders>
                    <w:top w:val="single" w:sz="12" w:space="0" w:color="000000"/>
                    <w:left w:val="single" w:sz="12" w:space="0" w:color="000000"/>
                    <w:bottom w:val="single" w:sz="12" w:space="0" w:color="000000"/>
                    <w:right w:val="single" w:sz="12" w:space="0" w:color="000000"/>
                  </w:tcBorders>
                  <w:tcMar>
                    <w:top w:w="0" w:type="dxa"/>
                    <w:left w:w="115" w:type="dxa"/>
                    <w:bottom w:w="0" w:type="dxa"/>
                    <w:right w:w="115" w:type="dxa"/>
                  </w:tcMar>
                  <w:hideMark/>
                </w:tcPr>
                <w:p w14:paraId="670C5FF0" w14:textId="77777777" w:rsidR="000B4BD4" w:rsidRPr="0035187E" w:rsidRDefault="000B4BD4" w:rsidP="0035187E">
                  <w:pPr>
                    <w:rPr>
                      <w:rFonts w:ascii="Times New Roman" w:eastAsia="Calibri" w:hAnsi="Times New Roman" w:cs="Times New Roman"/>
                      <w:b/>
                      <w:bCs/>
                      <w:sz w:val="20"/>
                      <w:szCs w:val="20"/>
                      <w:lang w:val="en-US" w:eastAsia="en-US"/>
                    </w:rPr>
                  </w:pPr>
                  <w:r w:rsidRPr="0035187E">
                    <w:rPr>
                      <w:rFonts w:ascii="Times New Roman" w:eastAsia="Calibri" w:hAnsi="Times New Roman" w:cs="Times New Roman"/>
                      <w:b/>
                      <w:bCs/>
                      <w:sz w:val="20"/>
                      <w:szCs w:val="20"/>
                      <w:lang w:val="en-US" w:eastAsia="en-US"/>
                    </w:rPr>
                    <w:t xml:space="preserve">Evidence </w:t>
                  </w:r>
                  <w:proofErr w:type="spellStart"/>
                  <w:r w:rsidRPr="0035187E">
                    <w:rPr>
                      <w:rFonts w:ascii="Times New Roman" w:eastAsia="Calibri" w:hAnsi="Times New Roman" w:cs="Times New Roman"/>
                      <w:b/>
                      <w:bCs/>
                      <w:sz w:val="20"/>
                      <w:szCs w:val="20"/>
                      <w:lang w:val="en-US" w:eastAsia="en-US"/>
                    </w:rPr>
                    <w:t>tržeb</w:t>
                  </w:r>
                  <w:proofErr w:type="spellEnd"/>
                </w:p>
              </w:tc>
              <w:tc>
                <w:tcPr>
                  <w:tcW w:w="1800" w:type="pct"/>
                  <w:tcBorders>
                    <w:top w:val="single" w:sz="12" w:space="0" w:color="000000"/>
                    <w:left w:val="single" w:sz="12" w:space="0" w:color="000000"/>
                    <w:bottom w:val="single" w:sz="12" w:space="0" w:color="000000"/>
                    <w:right w:val="single" w:sz="12" w:space="0" w:color="000000"/>
                  </w:tcBorders>
                  <w:tcMar>
                    <w:top w:w="0" w:type="dxa"/>
                    <w:left w:w="115" w:type="dxa"/>
                    <w:bottom w:w="0" w:type="dxa"/>
                    <w:right w:w="115" w:type="dxa"/>
                  </w:tcMar>
                  <w:hideMark/>
                </w:tcPr>
                <w:p w14:paraId="413C2BFC" w14:textId="77777777" w:rsidR="000B4BD4" w:rsidRPr="0035187E" w:rsidRDefault="000B4BD4" w:rsidP="0035187E">
                  <w:pPr>
                    <w:rPr>
                      <w:rFonts w:ascii="Times New Roman" w:eastAsia="Calibri" w:hAnsi="Times New Roman" w:cs="Times New Roman"/>
                      <w:b/>
                      <w:bCs/>
                      <w:sz w:val="20"/>
                      <w:szCs w:val="20"/>
                      <w:lang w:val="en-US" w:eastAsia="en-US"/>
                    </w:rPr>
                  </w:pPr>
                  <w:proofErr w:type="spellStart"/>
                  <w:r w:rsidRPr="0035187E">
                    <w:rPr>
                      <w:rFonts w:ascii="Times New Roman" w:eastAsia="Calibri" w:hAnsi="Times New Roman" w:cs="Times New Roman"/>
                      <w:b/>
                      <w:bCs/>
                      <w:sz w:val="20"/>
                      <w:szCs w:val="20"/>
                      <w:lang w:val="en-US" w:eastAsia="en-US"/>
                    </w:rPr>
                    <w:t>Náklady</w:t>
                  </w:r>
                  <w:proofErr w:type="spellEnd"/>
                  <w:r w:rsidRPr="0035187E">
                    <w:rPr>
                      <w:rFonts w:ascii="Times New Roman" w:eastAsia="Calibri" w:hAnsi="Times New Roman" w:cs="Times New Roman"/>
                      <w:b/>
                      <w:bCs/>
                      <w:sz w:val="20"/>
                      <w:szCs w:val="20"/>
                      <w:lang w:val="en-US" w:eastAsia="en-US"/>
                    </w:rPr>
                    <w:t xml:space="preserve"> </w:t>
                  </w:r>
                  <w:proofErr w:type="spellStart"/>
                  <w:r w:rsidRPr="0035187E">
                    <w:rPr>
                      <w:rFonts w:ascii="Times New Roman" w:eastAsia="Calibri" w:hAnsi="Times New Roman" w:cs="Times New Roman"/>
                      <w:b/>
                      <w:bCs/>
                      <w:sz w:val="20"/>
                      <w:szCs w:val="20"/>
                      <w:lang w:val="en-US" w:eastAsia="en-US"/>
                    </w:rPr>
                    <w:t>na</w:t>
                  </w:r>
                  <w:proofErr w:type="spellEnd"/>
                  <w:r w:rsidRPr="0035187E">
                    <w:rPr>
                      <w:rFonts w:ascii="Times New Roman" w:eastAsia="Calibri" w:hAnsi="Times New Roman" w:cs="Times New Roman"/>
                      <w:b/>
                      <w:bCs/>
                      <w:sz w:val="20"/>
                      <w:szCs w:val="20"/>
                      <w:lang w:val="en-US" w:eastAsia="en-US"/>
                    </w:rPr>
                    <w:t xml:space="preserve"> SW/HW (</w:t>
                  </w:r>
                  <w:proofErr w:type="spellStart"/>
                  <w:r w:rsidRPr="0035187E">
                    <w:rPr>
                      <w:rFonts w:ascii="Times New Roman" w:eastAsia="Calibri" w:hAnsi="Times New Roman" w:cs="Times New Roman"/>
                      <w:b/>
                      <w:bCs/>
                      <w:sz w:val="20"/>
                      <w:szCs w:val="20"/>
                      <w:lang w:val="en-US" w:eastAsia="en-US"/>
                    </w:rPr>
                    <w:t>odhad</w:t>
                  </w:r>
                  <w:proofErr w:type="spellEnd"/>
                  <w:r w:rsidRPr="0035187E">
                    <w:rPr>
                      <w:rFonts w:ascii="Times New Roman" w:eastAsia="Calibri" w:hAnsi="Times New Roman" w:cs="Times New Roman"/>
                      <w:b/>
                      <w:bCs/>
                      <w:sz w:val="20"/>
                      <w:szCs w:val="20"/>
                      <w:lang w:val="en-US" w:eastAsia="en-US"/>
                    </w:rPr>
                    <w:t xml:space="preserve"> </w:t>
                  </w:r>
                  <w:proofErr w:type="spellStart"/>
                  <w:r w:rsidRPr="0035187E">
                    <w:rPr>
                      <w:rFonts w:ascii="Times New Roman" w:eastAsia="Calibri" w:hAnsi="Times New Roman" w:cs="Times New Roman"/>
                      <w:b/>
                      <w:bCs/>
                      <w:sz w:val="20"/>
                      <w:szCs w:val="20"/>
                      <w:lang w:val="en-US" w:eastAsia="en-US"/>
                    </w:rPr>
                    <w:t>cca</w:t>
                  </w:r>
                  <w:proofErr w:type="spellEnd"/>
                  <w:r w:rsidRPr="0035187E">
                    <w:rPr>
                      <w:rFonts w:ascii="Times New Roman" w:eastAsia="Calibri" w:hAnsi="Times New Roman" w:cs="Times New Roman"/>
                      <w:b/>
                      <w:bCs/>
                      <w:sz w:val="20"/>
                      <w:szCs w:val="20"/>
                      <w:lang w:val="en-US" w:eastAsia="en-US"/>
                    </w:rPr>
                    <w:t xml:space="preserve"> </w:t>
                  </w:r>
                </w:p>
                <w:p w14:paraId="60C9646F" w14:textId="19B49EC8" w:rsidR="000B4BD4" w:rsidRPr="0035187E" w:rsidRDefault="000B4BD4" w:rsidP="0035187E">
                  <w:pPr>
                    <w:rPr>
                      <w:rFonts w:ascii="Times New Roman" w:eastAsia="Calibri" w:hAnsi="Times New Roman" w:cs="Times New Roman"/>
                      <w:b/>
                      <w:bCs/>
                      <w:sz w:val="20"/>
                      <w:szCs w:val="20"/>
                      <w:lang w:val="en-US" w:eastAsia="en-US"/>
                    </w:rPr>
                  </w:pPr>
                  <w:r w:rsidRPr="0035187E">
                    <w:rPr>
                      <w:rFonts w:ascii="Times New Roman" w:eastAsia="Calibri" w:hAnsi="Times New Roman" w:cs="Times New Roman"/>
                      <w:b/>
                      <w:bCs/>
                      <w:sz w:val="20"/>
                      <w:szCs w:val="20"/>
                      <w:lang w:val="en-US" w:eastAsia="en-US"/>
                    </w:rPr>
                    <w:t xml:space="preserve">2 000–5 000 </w:t>
                  </w:r>
                  <w:proofErr w:type="spellStart"/>
                  <w:r w:rsidRPr="0035187E">
                    <w:rPr>
                      <w:rFonts w:ascii="Times New Roman" w:eastAsia="Calibri" w:hAnsi="Times New Roman" w:cs="Times New Roman"/>
                      <w:b/>
                      <w:bCs/>
                      <w:sz w:val="20"/>
                      <w:szCs w:val="20"/>
                      <w:lang w:val="en-US" w:eastAsia="en-US"/>
                    </w:rPr>
                    <w:t>Kč</w:t>
                  </w:r>
                  <w:proofErr w:type="spellEnd"/>
                  <w:r w:rsidRPr="0035187E">
                    <w:rPr>
                      <w:rFonts w:ascii="Times New Roman" w:eastAsia="Calibri" w:hAnsi="Times New Roman" w:cs="Times New Roman"/>
                      <w:b/>
                      <w:bCs/>
                      <w:sz w:val="20"/>
                      <w:szCs w:val="20"/>
                      <w:lang w:val="en-US" w:eastAsia="en-US"/>
                    </w:rPr>
                    <w:t>)</w:t>
                  </w:r>
                </w:p>
              </w:tc>
              <w:tc>
                <w:tcPr>
                  <w:tcW w:w="1006" w:type="pct"/>
                  <w:tcBorders>
                    <w:top w:val="single" w:sz="12" w:space="0" w:color="000000"/>
                    <w:left w:val="single" w:sz="12" w:space="0" w:color="000000"/>
                    <w:bottom w:val="single" w:sz="12" w:space="0" w:color="000000"/>
                    <w:right w:val="single" w:sz="12" w:space="0" w:color="000000"/>
                  </w:tcBorders>
                  <w:tcMar>
                    <w:top w:w="0" w:type="dxa"/>
                    <w:left w:w="115" w:type="dxa"/>
                    <w:bottom w:w="0" w:type="dxa"/>
                    <w:right w:w="115" w:type="dxa"/>
                  </w:tcMar>
                  <w:hideMark/>
                </w:tcPr>
                <w:p w14:paraId="291EE5E5" w14:textId="77777777" w:rsidR="000B4BD4" w:rsidRPr="0035187E" w:rsidRDefault="000B4BD4" w:rsidP="0035187E">
                  <w:pPr>
                    <w:rPr>
                      <w:rFonts w:ascii="Times New Roman" w:eastAsia="Calibri" w:hAnsi="Times New Roman" w:cs="Times New Roman"/>
                      <w:b/>
                      <w:bCs/>
                      <w:sz w:val="20"/>
                      <w:szCs w:val="20"/>
                      <w:lang w:val="en-US" w:eastAsia="en-US"/>
                    </w:rPr>
                  </w:pPr>
                  <w:r w:rsidRPr="0035187E">
                    <w:rPr>
                      <w:rFonts w:ascii="Times New Roman" w:eastAsia="Calibri" w:hAnsi="Times New Roman" w:cs="Times New Roman"/>
                      <w:b/>
                      <w:bCs/>
                      <w:sz w:val="20"/>
                      <w:szCs w:val="20"/>
                      <w:lang w:val="en-US" w:eastAsia="en-US"/>
                    </w:rPr>
                    <w:t xml:space="preserve">+5 000 </w:t>
                  </w:r>
                  <w:proofErr w:type="spellStart"/>
                  <w:r w:rsidRPr="0035187E">
                    <w:rPr>
                      <w:rFonts w:ascii="Times New Roman" w:eastAsia="Calibri" w:hAnsi="Times New Roman" w:cs="Times New Roman"/>
                      <w:b/>
                      <w:bCs/>
                      <w:sz w:val="20"/>
                      <w:szCs w:val="20"/>
                      <w:lang w:val="en-US" w:eastAsia="en-US"/>
                    </w:rPr>
                    <w:t>Kč</w:t>
                  </w:r>
                  <w:proofErr w:type="spellEnd"/>
                </w:p>
              </w:tc>
              <w:tc>
                <w:tcPr>
                  <w:tcW w:w="1318" w:type="pct"/>
                  <w:tcBorders>
                    <w:top w:val="single" w:sz="12" w:space="0" w:color="000000"/>
                    <w:left w:val="single" w:sz="12" w:space="0" w:color="000000"/>
                    <w:bottom w:val="single" w:sz="12" w:space="0" w:color="000000"/>
                    <w:right w:val="single" w:sz="12" w:space="0" w:color="000000"/>
                  </w:tcBorders>
                  <w:tcMar>
                    <w:top w:w="0" w:type="dxa"/>
                    <w:left w:w="115" w:type="dxa"/>
                    <w:bottom w:w="0" w:type="dxa"/>
                    <w:right w:w="115" w:type="dxa"/>
                  </w:tcMar>
                  <w:hideMark/>
                </w:tcPr>
                <w:p w14:paraId="2166476D" w14:textId="77777777" w:rsidR="000B4BD4" w:rsidRPr="0035187E" w:rsidRDefault="000B4BD4" w:rsidP="0035187E">
                  <w:pPr>
                    <w:rPr>
                      <w:rFonts w:ascii="Times New Roman" w:eastAsia="Calibri" w:hAnsi="Times New Roman" w:cs="Times New Roman"/>
                      <w:b/>
                      <w:bCs/>
                      <w:sz w:val="20"/>
                      <w:szCs w:val="20"/>
                      <w:lang w:val="en-US" w:eastAsia="en-US"/>
                    </w:rPr>
                  </w:pPr>
                  <w:proofErr w:type="spellStart"/>
                  <w:r w:rsidRPr="0035187E">
                    <w:rPr>
                      <w:rFonts w:ascii="Times New Roman" w:eastAsia="Calibri" w:hAnsi="Times New Roman" w:cs="Times New Roman"/>
                      <w:b/>
                      <w:bCs/>
                      <w:sz w:val="20"/>
                      <w:szCs w:val="20"/>
                      <w:lang w:val="en-US" w:eastAsia="en-US"/>
                    </w:rPr>
                    <w:t>Prakticky</w:t>
                  </w:r>
                  <w:proofErr w:type="spellEnd"/>
                  <w:r w:rsidRPr="0035187E">
                    <w:rPr>
                      <w:rFonts w:ascii="Times New Roman" w:eastAsia="Calibri" w:hAnsi="Times New Roman" w:cs="Times New Roman"/>
                      <w:b/>
                      <w:bCs/>
                      <w:sz w:val="20"/>
                      <w:szCs w:val="20"/>
                      <w:lang w:val="en-US" w:eastAsia="en-US"/>
                    </w:rPr>
                    <w:t xml:space="preserve"> </w:t>
                  </w:r>
                  <w:proofErr w:type="spellStart"/>
                  <w:r w:rsidRPr="0035187E">
                    <w:rPr>
                      <w:rFonts w:ascii="Times New Roman" w:eastAsia="Calibri" w:hAnsi="Times New Roman" w:cs="Times New Roman"/>
                      <w:b/>
                      <w:bCs/>
                      <w:sz w:val="20"/>
                      <w:szCs w:val="20"/>
                      <w:lang w:val="en-US" w:eastAsia="en-US"/>
                    </w:rPr>
                    <w:t>nulový</w:t>
                  </w:r>
                  <w:proofErr w:type="spellEnd"/>
                  <w:r w:rsidRPr="0035187E">
                    <w:rPr>
                      <w:rFonts w:ascii="Times New Roman" w:eastAsia="Calibri" w:hAnsi="Times New Roman" w:cs="Times New Roman"/>
                      <w:b/>
                      <w:bCs/>
                      <w:sz w:val="20"/>
                      <w:szCs w:val="20"/>
                      <w:lang w:val="en-US" w:eastAsia="en-US"/>
                    </w:rPr>
                    <w:t xml:space="preserve"> </w:t>
                  </w:r>
                  <w:proofErr w:type="spellStart"/>
                  <w:r w:rsidRPr="0035187E">
                    <w:rPr>
                      <w:rFonts w:ascii="Times New Roman" w:eastAsia="Calibri" w:hAnsi="Times New Roman" w:cs="Times New Roman"/>
                      <w:b/>
                      <w:bCs/>
                      <w:sz w:val="20"/>
                      <w:szCs w:val="20"/>
                      <w:lang w:val="en-US" w:eastAsia="en-US"/>
                    </w:rPr>
                    <w:t>nebo</w:t>
                  </w:r>
                  <w:proofErr w:type="spellEnd"/>
                  <w:r w:rsidRPr="0035187E">
                    <w:rPr>
                      <w:rFonts w:ascii="Times New Roman" w:eastAsia="Calibri" w:hAnsi="Times New Roman" w:cs="Times New Roman"/>
                      <w:b/>
                      <w:bCs/>
                      <w:sz w:val="20"/>
                      <w:szCs w:val="20"/>
                      <w:lang w:val="en-US" w:eastAsia="en-US"/>
                    </w:rPr>
                    <w:t xml:space="preserve"> </w:t>
                  </w:r>
                  <w:proofErr w:type="spellStart"/>
                  <w:r w:rsidRPr="0035187E">
                    <w:rPr>
                      <w:rFonts w:ascii="Times New Roman" w:eastAsia="Calibri" w:hAnsi="Times New Roman" w:cs="Times New Roman"/>
                      <w:b/>
                      <w:bCs/>
                      <w:sz w:val="20"/>
                      <w:szCs w:val="20"/>
                      <w:lang w:val="en-US" w:eastAsia="en-US"/>
                    </w:rPr>
                    <w:t>kladný</w:t>
                  </w:r>
                  <w:proofErr w:type="spellEnd"/>
                </w:p>
              </w:tc>
            </w:tr>
            <w:tr w:rsidR="000B4BD4" w:rsidRPr="0035187E" w14:paraId="075524DA" w14:textId="77777777" w:rsidTr="00680276">
              <w:tc>
                <w:tcPr>
                  <w:tcW w:w="877" w:type="pct"/>
                  <w:tcBorders>
                    <w:top w:val="single" w:sz="12" w:space="0" w:color="000000"/>
                    <w:left w:val="single" w:sz="12" w:space="0" w:color="000000"/>
                    <w:bottom w:val="single" w:sz="12" w:space="0" w:color="000000"/>
                    <w:right w:val="single" w:sz="12" w:space="0" w:color="000000"/>
                  </w:tcBorders>
                  <w:tcMar>
                    <w:top w:w="0" w:type="dxa"/>
                    <w:left w:w="115" w:type="dxa"/>
                    <w:bottom w:w="0" w:type="dxa"/>
                    <w:right w:w="115" w:type="dxa"/>
                  </w:tcMar>
                  <w:hideMark/>
                </w:tcPr>
                <w:p w14:paraId="7D78F738" w14:textId="77777777" w:rsidR="000B4BD4" w:rsidRPr="0035187E" w:rsidRDefault="000B4BD4" w:rsidP="0035187E">
                  <w:pPr>
                    <w:rPr>
                      <w:rFonts w:ascii="Times New Roman" w:eastAsia="Calibri" w:hAnsi="Times New Roman" w:cs="Times New Roman"/>
                      <w:b/>
                      <w:bCs/>
                      <w:sz w:val="20"/>
                      <w:szCs w:val="20"/>
                      <w:lang w:val="en-US" w:eastAsia="en-US"/>
                    </w:rPr>
                  </w:pPr>
                  <w:proofErr w:type="spellStart"/>
                  <w:r w:rsidRPr="0035187E">
                    <w:rPr>
                      <w:rFonts w:ascii="Times New Roman" w:eastAsia="Calibri" w:hAnsi="Times New Roman" w:cs="Times New Roman"/>
                      <w:b/>
                      <w:bCs/>
                      <w:sz w:val="20"/>
                      <w:szCs w:val="20"/>
                      <w:lang w:val="en-US" w:eastAsia="en-US"/>
                    </w:rPr>
                    <w:lastRenderedPageBreak/>
                    <w:t>Přirážka</w:t>
                  </w:r>
                  <w:proofErr w:type="spellEnd"/>
                </w:p>
              </w:tc>
              <w:tc>
                <w:tcPr>
                  <w:tcW w:w="1800" w:type="pct"/>
                  <w:tcBorders>
                    <w:top w:val="single" w:sz="12" w:space="0" w:color="000000"/>
                    <w:left w:val="single" w:sz="12" w:space="0" w:color="000000"/>
                    <w:bottom w:val="single" w:sz="12" w:space="0" w:color="000000"/>
                    <w:right w:val="single" w:sz="12" w:space="0" w:color="000000"/>
                  </w:tcBorders>
                  <w:tcMar>
                    <w:top w:w="0" w:type="dxa"/>
                    <w:left w:w="115" w:type="dxa"/>
                    <w:bottom w:w="0" w:type="dxa"/>
                    <w:right w:w="115" w:type="dxa"/>
                  </w:tcMar>
                  <w:hideMark/>
                </w:tcPr>
                <w:p w14:paraId="24B12026" w14:textId="77777777" w:rsidR="000B4BD4" w:rsidRPr="0035187E" w:rsidRDefault="000B4BD4" w:rsidP="0035187E">
                  <w:pPr>
                    <w:rPr>
                      <w:rFonts w:ascii="Times New Roman" w:eastAsia="Calibri" w:hAnsi="Times New Roman" w:cs="Times New Roman"/>
                      <w:b/>
                      <w:bCs/>
                      <w:sz w:val="20"/>
                      <w:szCs w:val="20"/>
                      <w:lang w:val="en-US" w:eastAsia="en-US"/>
                    </w:rPr>
                  </w:pPr>
                  <w:r w:rsidRPr="0035187E">
                    <w:rPr>
                      <w:rFonts w:ascii="Times New Roman" w:eastAsia="Calibri" w:hAnsi="Times New Roman" w:cs="Times New Roman"/>
                      <w:b/>
                      <w:bCs/>
                      <w:sz w:val="20"/>
                      <w:szCs w:val="20"/>
                      <w:lang w:val="en-US" w:eastAsia="en-US"/>
                    </w:rPr>
                    <w:t xml:space="preserve">16 800 </w:t>
                  </w:r>
                  <w:proofErr w:type="spellStart"/>
                  <w:r w:rsidRPr="0035187E">
                    <w:rPr>
                      <w:rFonts w:ascii="Times New Roman" w:eastAsia="Calibri" w:hAnsi="Times New Roman" w:cs="Times New Roman"/>
                      <w:b/>
                      <w:bCs/>
                      <w:sz w:val="20"/>
                      <w:szCs w:val="20"/>
                      <w:lang w:val="en-US" w:eastAsia="en-US"/>
                    </w:rPr>
                    <w:t>Kč</w:t>
                  </w:r>
                  <w:proofErr w:type="spellEnd"/>
                </w:p>
              </w:tc>
              <w:tc>
                <w:tcPr>
                  <w:tcW w:w="1006" w:type="pct"/>
                  <w:tcBorders>
                    <w:top w:val="single" w:sz="12" w:space="0" w:color="000000"/>
                    <w:left w:val="single" w:sz="12" w:space="0" w:color="000000"/>
                    <w:bottom w:val="single" w:sz="12" w:space="0" w:color="000000"/>
                    <w:right w:val="single" w:sz="12" w:space="0" w:color="000000"/>
                  </w:tcBorders>
                  <w:tcMar>
                    <w:top w:w="0" w:type="dxa"/>
                    <w:left w:w="115" w:type="dxa"/>
                    <w:bottom w:w="0" w:type="dxa"/>
                    <w:right w:w="115" w:type="dxa"/>
                  </w:tcMar>
                  <w:hideMark/>
                </w:tcPr>
                <w:p w14:paraId="3A2B0E92" w14:textId="77777777" w:rsidR="000B4BD4" w:rsidRPr="0035187E" w:rsidRDefault="000B4BD4" w:rsidP="0035187E">
                  <w:pPr>
                    <w:rPr>
                      <w:rFonts w:ascii="Times New Roman" w:eastAsia="Calibri" w:hAnsi="Times New Roman" w:cs="Times New Roman"/>
                      <w:b/>
                      <w:bCs/>
                      <w:sz w:val="20"/>
                      <w:szCs w:val="20"/>
                      <w:lang w:val="en-US" w:eastAsia="en-US"/>
                    </w:rPr>
                  </w:pPr>
                  <w:proofErr w:type="spellStart"/>
                  <w:r w:rsidRPr="0035187E">
                    <w:rPr>
                      <w:rFonts w:ascii="Times New Roman" w:eastAsia="Calibri" w:hAnsi="Times New Roman" w:cs="Times New Roman"/>
                      <w:b/>
                      <w:bCs/>
                      <w:sz w:val="20"/>
                      <w:szCs w:val="20"/>
                      <w:lang w:val="en-US" w:eastAsia="en-US"/>
                    </w:rPr>
                    <w:t>Žádná</w:t>
                  </w:r>
                  <w:proofErr w:type="spellEnd"/>
                </w:p>
              </w:tc>
              <w:tc>
                <w:tcPr>
                  <w:tcW w:w="1318" w:type="pct"/>
                  <w:tcBorders>
                    <w:top w:val="single" w:sz="12" w:space="0" w:color="000000"/>
                    <w:left w:val="single" w:sz="12" w:space="0" w:color="000000"/>
                    <w:bottom w:val="single" w:sz="12" w:space="0" w:color="000000"/>
                    <w:right w:val="single" w:sz="12" w:space="0" w:color="000000"/>
                  </w:tcBorders>
                  <w:tcMar>
                    <w:top w:w="0" w:type="dxa"/>
                    <w:left w:w="115" w:type="dxa"/>
                    <w:bottom w:w="0" w:type="dxa"/>
                    <w:right w:w="115" w:type="dxa"/>
                  </w:tcMar>
                  <w:hideMark/>
                </w:tcPr>
                <w:p w14:paraId="20DADCCB" w14:textId="77777777" w:rsidR="000B4BD4" w:rsidRPr="0035187E" w:rsidRDefault="000B4BD4" w:rsidP="0035187E">
                  <w:pPr>
                    <w:rPr>
                      <w:rFonts w:ascii="Times New Roman" w:eastAsia="Calibri" w:hAnsi="Times New Roman" w:cs="Times New Roman"/>
                      <w:b/>
                      <w:bCs/>
                      <w:sz w:val="20"/>
                      <w:szCs w:val="20"/>
                      <w:lang w:val="en-US" w:eastAsia="en-US"/>
                    </w:rPr>
                  </w:pPr>
                  <w:r w:rsidRPr="0035187E">
                    <w:rPr>
                      <w:rFonts w:ascii="Times New Roman" w:eastAsia="Calibri" w:hAnsi="Times New Roman" w:cs="Times New Roman"/>
                      <w:b/>
                      <w:bCs/>
                      <w:sz w:val="20"/>
                      <w:szCs w:val="20"/>
                      <w:lang w:val="en-US" w:eastAsia="en-US"/>
                    </w:rPr>
                    <w:t xml:space="preserve">−16 800 </w:t>
                  </w:r>
                  <w:proofErr w:type="spellStart"/>
                  <w:r w:rsidRPr="0035187E">
                    <w:rPr>
                      <w:rFonts w:ascii="Times New Roman" w:eastAsia="Calibri" w:hAnsi="Times New Roman" w:cs="Times New Roman"/>
                      <w:b/>
                      <w:bCs/>
                      <w:sz w:val="20"/>
                      <w:szCs w:val="20"/>
                      <w:lang w:val="en-US" w:eastAsia="en-US"/>
                    </w:rPr>
                    <w:t>Kč</w:t>
                  </w:r>
                  <w:proofErr w:type="spellEnd"/>
                </w:p>
              </w:tc>
            </w:tr>
          </w:tbl>
          <w:p w14:paraId="68736F26" w14:textId="77777777" w:rsidR="000B4BD4" w:rsidRPr="0035187E" w:rsidRDefault="000B4BD4" w:rsidP="0035187E">
            <w:pPr>
              <w:jc w:val="both"/>
              <w:rPr>
                <w:rFonts w:ascii="Times New Roman" w:eastAsia="Calibri" w:hAnsi="Times New Roman" w:cs="Times New Roman"/>
                <w:b/>
                <w:bCs/>
                <w:sz w:val="20"/>
                <w:szCs w:val="20"/>
                <w:lang w:val="en-US" w:eastAsia="en-US"/>
              </w:rPr>
            </w:pPr>
          </w:p>
          <w:p w14:paraId="2F7BE83C"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Důvodová zpráva uvádí, že přirážka má dvojí funkci – zohledňuje náklady na evidenci a „fiskální rizika spojená s možnými daňovými úniky".</w:t>
            </w:r>
          </w:p>
          <w:p w14:paraId="3F89210F" w14:textId="77777777" w:rsidR="000B4BD4" w:rsidRPr="0035187E" w:rsidRDefault="000B4BD4" w:rsidP="0035187E">
            <w:pPr>
              <w:jc w:val="both"/>
              <w:rPr>
                <w:rFonts w:ascii="Times New Roman" w:eastAsia="Calibri" w:hAnsi="Times New Roman" w:cs="Times New Roman"/>
                <w:sz w:val="20"/>
                <w:szCs w:val="20"/>
                <w:lang w:eastAsia="en-US"/>
              </w:rPr>
            </w:pPr>
          </w:p>
          <w:p w14:paraId="6180134F" w14:textId="6FC2B403" w:rsidR="000B4BD4" w:rsidRPr="0035187E" w:rsidRDefault="000B4BD4" w:rsidP="0035187E">
            <w:pPr>
              <w:jc w:val="both"/>
              <w:rPr>
                <w:rFonts w:ascii="Times New Roman" w:hAnsi="Times New Roman" w:cs="Times New Roman"/>
                <w:sz w:val="20"/>
                <w:szCs w:val="20"/>
                <w:lang w:eastAsia="ar-SA"/>
              </w:rPr>
            </w:pPr>
            <w:r w:rsidRPr="0035187E">
              <w:rPr>
                <w:rFonts w:ascii="Times New Roman" w:eastAsia="Calibri" w:hAnsi="Times New Roman" w:cs="Times New Roman"/>
                <w:b/>
                <w:bCs/>
                <w:sz w:val="20"/>
                <w:szCs w:val="20"/>
                <w:lang w:eastAsia="en-US"/>
              </w:rPr>
              <w:t>Tato připomínka je zásadní.</w:t>
            </w:r>
          </w:p>
        </w:tc>
        <w:tc>
          <w:tcPr>
            <w:tcW w:w="1453" w:type="pct"/>
            <w:tcBorders>
              <w:top w:val="single" w:sz="4" w:space="0" w:color="auto"/>
              <w:left w:val="single" w:sz="4" w:space="0" w:color="auto"/>
              <w:right w:val="single" w:sz="4" w:space="0" w:color="auto"/>
            </w:tcBorders>
            <w:shd w:val="clear" w:color="auto" w:fill="auto"/>
          </w:tcPr>
          <w:p w14:paraId="64D1FFB6" w14:textId="77777777" w:rsidR="0021550B" w:rsidRPr="0035187E" w:rsidRDefault="0021550B" w:rsidP="0035187E">
            <w:pPr>
              <w:jc w:val="both"/>
              <w:rPr>
                <w:rFonts w:ascii="Times New Roman" w:hAnsi="Times New Roman" w:cs="Times New Roman"/>
                <w:sz w:val="20"/>
                <w:szCs w:val="20"/>
              </w:rPr>
            </w:pPr>
            <w:r w:rsidRPr="0035187E">
              <w:rPr>
                <w:rFonts w:ascii="Times New Roman" w:hAnsi="Times New Roman" w:cs="Times New Roman"/>
                <w:b/>
                <w:sz w:val="20"/>
                <w:szCs w:val="20"/>
              </w:rPr>
              <w:lastRenderedPageBreak/>
              <w:t>Nevyhověno.</w:t>
            </w:r>
          </w:p>
          <w:p w14:paraId="674BE1C0" w14:textId="77777777" w:rsidR="0021550B" w:rsidRPr="0035187E" w:rsidRDefault="0021550B" w:rsidP="0035187E">
            <w:pPr>
              <w:jc w:val="both"/>
              <w:rPr>
                <w:rFonts w:ascii="Times New Roman" w:hAnsi="Times New Roman" w:cs="Times New Roman"/>
                <w:sz w:val="20"/>
                <w:szCs w:val="20"/>
              </w:rPr>
            </w:pPr>
            <w:r w:rsidRPr="0035187E">
              <w:rPr>
                <w:rFonts w:ascii="Times New Roman" w:hAnsi="Times New Roman" w:cs="Times New Roman"/>
                <w:sz w:val="20"/>
                <w:szCs w:val="20"/>
              </w:rPr>
              <w:t>Poplatníci, kteří se rozhodnou pro přirážku ve výši 1 400 Kč měsíčně, neevidují tržby podle zákona o evidenci tržeb. Z toho důvodu nemohou uplatnit slevu na evidenci tržeb (5 000 Kč), protože tato sleva je přímo vázána na aktivní evidenci tržeb. Přirážka se v paušálním režimu připočítává k paušální dani a zároveň zohledňuje jak náklady spojené s evidencí, tak fiskální rizika plynoucí z možné daňové optimalizace či úniků, jak je uvedeno v důvodové zprávě.</w:t>
            </w:r>
          </w:p>
          <w:p w14:paraId="0971A926" w14:textId="4C380E9B" w:rsidR="000B4BD4" w:rsidRPr="0035187E" w:rsidRDefault="0021550B"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Tento mechanismus je tedy konzistentní s principem, že sleva na evidenci tržeb je poskytována pouze těm </w:t>
            </w:r>
            <w:r w:rsidRPr="0035187E">
              <w:rPr>
                <w:rFonts w:ascii="Times New Roman" w:hAnsi="Times New Roman" w:cs="Times New Roman"/>
                <w:sz w:val="20"/>
                <w:szCs w:val="20"/>
              </w:rPr>
              <w:lastRenderedPageBreak/>
              <w:t>poplatníkům, kteří skutečně plní povinnost evidence tržeb, a zajišťuje spravedlivé nastavení mezi režimy.</w:t>
            </w:r>
          </w:p>
        </w:tc>
      </w:tr>
      <w:tr w:rsidR="0035187E" w:rsidRPr="0035187E" w14:paraId="1B9EF65F"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89874B3" w14:textId="219C95F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21.</w:t>
            </w:r>
          </w:p>
        </w:tc>
        <w:tc>
          <w:tcPr>
            <w:tcW w:w="583" w:type="pct"/>
            <w:tcBorders>
              <w:top w:val="single" w:sz="4" w:space="0" w:color="auto"/>
              <w:left w:val="single" w:sz="4" w:space="0" w:color="auto"/>
              <w:right w:val="single" w:sz="4" w:space="0" w:color="auto"/>
            </w:tcBorders>
            <w:shd w:val="clear" w:color="auto" w:fill="auto"/>
          </w:tcPr>
          <w:p w14:paraId="0BC1F6EF" w14:textId="0F313FC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Asociace malých a středních podniků a živnostníků ČR</w:t>
            </w:r>
          </w:p>
        </w:tc>
        <w:tc>
          <w:tcPr>
            <w:tcW w:w="168" w:type="pct"/>
            <w:tcBorders>
              <w:top w:val="single" w:sz="4" w:space="0" w:color="auto"/>
              <w:left w:val="single" w:sz="4" w:space="0" w:color="auto"/>
              <w:right w:val="single" w:sz="4" w:space="0" w:color="auto"/>
            </w:tcBorders>
            <w:shd w:val="clear" w:color="auto" w:fill="auto"/>
          </w:tcPr>
          <w:p w14:paraId="2B2AE4B3" w14:textId="6E628F8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9.</w:t>
            </w:r>
          </w:p>
        </w:tc>
        <w:tc>
          <w:tcPr>
            <w:tcW w:w="169" w:type="pct"/>
            <w:tcBorders>
              <w:top w:val="single" w:sz="4" w:space="0" w:color="auto"/>
              <w:left w:val="single" w:sz="4" w:space="0" w:color="auto"/>
              <w:right w:val="single" w:sz="4" w:space="0" w:color="auto"/>
            </w:tcBorders>
            <w:shd w:val="clear" w:color="auto" w:fill="auto"/>
          </w:tcPr>
          <w:p w14:paraId="27947182" w14:textId="56287FA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D0E2A28" w14:textId="77777777" w:rsidR="000B4BD4" w:rsidRPr="0035187E" w:rsidRDefault="000B4BD4" w:rsidP="0035187E">
            <w:pPr>
              <w:jc w:val="both"/>
              <w:rPr>
                <w:rFonts w:ascii="Times New Roman" w:hAnsi="Times New Roman" w:cs="Times New Roman"/>
                <w:bCs/>
                <w:sz w:val="20"/>
                <w:szCs w:val="20"/>
                <w:u w:val="single"/>
              </w:rPr>
            </w:pPr>
            <w:r w:rsidRPr="0035187E">
              <w:rPr>
                <w:rFonts w:ascii="Times New Roman" w:hAnsi="Times New Roman" w:cs="Times New Roman"/>
                <w:b/>
                <w:sz w:val="20"/>
                <w:szCs w:val="20"/>
                <w:u w:val="single"/>
              </w:rPr>
              <w:t>9) K podstatě předkládaného návrhu</w:t>
            </w:r>
            <w:r w:rsidRPr="0035187E">
              <w:rPr>
                <w:rFonts w:ascii="Times New Roman" w:hAnsi="Times New Roman" w:cs="Times New Roman"/>
                <w:bCs/>
                <w:sz w:val="20"/>
                <w:szCs w:val="20"/>
                <w:u w:val="single"/>
              </w:rPr>
              <w:t>:</w:t>
            </w:r>
          </w:p>
          <w:p w14:paraId="437414AD" w14:textId="77777777" w:rsidR="000B4BD4" w:rsidRPr="0035187E" w:rsidRDefault="000B4BD4" w:rsidP="0035187E">
            <w:pPr>
              <w:jc w:val="both"/>
              <w:rPr>
                <w:rFonts w:ascii="Times New Roman" w:hAnsi="Times New Roman" w:cs="Times New Roman"/>
                <w:bCs/>
                <w:sz w:val="20"/>
                <w:szCs w:val="20"/>
                <w:u w:val="single"/>
              </w:rPr>
            </w:pPr>
          </w:p>
          <w:p w14:paraId="574A0A03" w14:textId="77777777" w:rsidR="000B4BD4" w:rsidRPr="0035187E" w:rsidRDefault="000B4BD4" w:rsidP="0035187E">
            <w:pPr>
              <w:jc w:val="both"/>
              <w:rPr>
                <w:rFonts w:ascii="Times New Roman" w:hAnsi="Times New Roman" w:cs="Times New Roman"/>
                <w:bCs/>
                <w:sz w:val="20"/>
                <w:szCs w:val="20"/>
                <w:u w:val="single"/>
              </w:rPr>
            </w:pPr>
            <w:r w:rsidRPr="0035187E">
              <w:rPr>
                <w:rFonts w:ascii="Times New Roman" w:hAnsi="Times New Roman" w:cs="Times New Roman"/>
                <w:bCs/>
                <w:sz w:val="20"/>
                <w:szCs w:val="20"/>
                <w:u w:val="single"/>
              </w:rPr>
              <w:t>Cíl:</w:t>
            </w:r>
            <w:r w:rsidRPr="0035187E">
              <w:rPr>
                <w:rFonts w:ascii="Times New Roman" w:hAnsi="Times New Roman" w:cs="Times New Roman"/>
                <w:bCs/>
                <w:sz w:val="20"/>
                <w:szCs w:val="20"/>
              </w:rPr>
              <w:t xml:space="preserve"> Zjednodušení úpravy benefitů a odstranit samostatný limit pro rekreaci a zájezdy.</w:t>
            </w:r>
          </w:p>
          <w:p w14:paraId="4E6EF4C6" w14:textId="77777777" w:rsidR="000B4BD4" w:rsidRPr="0035187E" w:rsidRDefault="000B4BD4" w:rsidP="0035187E">
            <w:pPr>
              <w:jc w:val="both"/>
              <w:rPr>
                <w:rFonts w:ascii="Times New Roman" w:eastAsia="Calibri" w:hAnsi="Times New Roman" w:cs="Times New Roman"/>
                <w:sz w:val="20"/>
                <w:szCs w:val="20"/>
                <w:lang w:eastAsia="en-US"/>
              </w:rPr>
            </w:pPr>
          </w:p>
          <w:p w14:paraId="11B1280C"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u w:val="single"/>
                <w:lang w:eastAsia="en-US"/>
              </w:rPr>
              <w:t>Odůvodnění:</w:t>
            </w:r>
            <w:r w:rsidRPr="0035187E">
              <w:rPr>
                <w:rFonts w:ascii="Times New Roman" w:eastAsia="Calibri" w:hAnsi="Times New Roman" w:cs="Times New Roman"/>
                <w:sz w:val="20"/>
                <w:szCs w:val="20"/>
                <w:lang w:eastAsia="en-US"/>
              </w:rPr>
              <w:t xml:space="preserve"> Navrhujeme v navrhovaném znění § 6 odst. 9 písm. d) bodě 2 ponechat slova „poskytnutí rekreace nebo zájezdu,“ a v § 6 odst. 9 písm. d) vymazat navrhovaný bod 3. </w:t>
            </w:r>
          </w:p>
          <w:p w14:paraId="545A1F36" w14:textId="77777777" w:rsidR="000B4BD4" w:rsidRPr="0035187E" w:rsidRDefault="000B4BD4" w:rsidP="0035187E">
            <w:pPr>
              <w:jc w:val="both"/>
              <w:rPr>
                <w:rFonts w:ascii="Times New Roman" w:eastAsia="Calibri" w:hAnsi="Times New Roman" w:cs="Times New Roman"/>
                <w:sz w:val="20"/>
                <w:szCs w:val="20"/>
                <w:lang w:eastAsia="en-US"/>
              </w:rPr>
            </w:pPr>
          </w:p>
          <w:p w14:paraId="206C4611" w14:textId="77777777" w:rsidR="000B4BD4" w:rsidRPr="0035187E" w:rsidRDefault="000B4BD4" w:rsidP="0035187E">
            <w:pPr>
              <w:jc w:val="both"/>
              <w:rPr>
                <w:rFonts w:ascii="Times New Roman" w:eastAsia="Calibri" w:hAnsi="Times New Roman" w:cs="Times New Roman"/>
                <w:sz w:val="20"/>
                <w:szCs w:val="20"/>
                <w:u w:val="single"/>
                <w:lang w:eastAsia="en-US"/>
              </w:rPr>
            </w:pPr>
            <w:r w:rsidRPr="0035187E">
              <w:rPr>
                <w:rFonts w:ascii="Times New Roman" w:eastAsia="Calibri" w:hAnsi="Times New Roman" w:cs="Times New Roman"/>
                <w:sz w:val="20"/>
                <w:szCs w:val="20"/>
                <w:lang w:eastAsia="en-US"/>
              </w:rPr>
              <w:t xml:space="preserve">Vytvoření samostatného limitu pro rekreace a zájezdy představuje vytvoření další administrativní překážky, která zesložiťuje systém zaměstnaneckých benefitů. Mimo limit samotný zde vznikají pak interpretační nejednoznačnosti- např. není zřejmá hranice mezi rekreací a využitím rekreačního zařízení. Dalším problémem může být i rozlišení, kdy jde o dovolenou a kdy o jinou volnočasovou aktivitu s odlišným daňovým režimem. Je běžné, že v případě pobytu v hotelu dochází k využívání např. nabízených sportovišť či lázní. Tyto hraniční případy, které však nebudou neobvyklé, pak zvyšují riziko sporů s daňovou správou.  </w:t>
            </w:r>
          </w:p>
          <w:p w14:paraId="74C8BFC8"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 </w:t>
            </w:r>
          </w:p>
          <w:p w14:paraId="04D350D6" w14:textId="2A73DC56" w:rsidR="000B4BD4" w:rsidRPr="0035187E" w:rsidRDefault="000B4BD4" w:rsidP="0035187E">
            <w:pPr>
              <w:jc w:val="both"/>
              <w:rPr>
                <w:rFonts w:ascii="Times New Roman" w:hAnsi="Times New Roman" w:cs="Times New Roman"/>
                <w:sz w:val="20"/>
                <w:szCs w:val="20"/>
                <w:lang w:eastAsia="ar-SA"/>
              </w:rPr>
            </w:pPr>
            <w:r w:rsidRPr="0035187E">
              <w:rPr>
                <w:rFonts w:ascii="Times New Roman" w:eastAsia="Calibri" w:hAnsi="Times New Roman" w:cs="Times New Roman"/>
                <w:b/>
                <w:bCs/>
                <w:sz w:val="20"/>
                <w:szCs w:val="20"/>
                <w:lang w:eastAsia="en-US"/>
              </w:rPr>
              <w:t>Tato připomínka je zásadní.</w:t>
            </w:r>
          </w:p>
        </w:tc>
        <w:tc>
          <w:tcPr>
            <w:tcW w:w="1453" w:type="pct"/>
            <w:tcBorders>
              <w:top w:val="single" w:sz="4" w:space="0" w:color="auto"/>
              <w:left w:val="single" w:sz="4" w:space="0" w:color="auto"/>
              <w:right w:val="single" w:sz="4" w:space="0" w:color="auto"/>
            </w:tcBorders>
            <w:shd w:val="clear" w:color="auto" w:fill="auto"/>
          </w:tcPr>
          <w:p w14:paraId="1BED89D7" w14:textId="77777777" w:rsidR="0021550B" w:rsidRPr="0035187E" w:rsidRDefault="0021550B"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Nevyhověno.</w:t>
            </w:r>
          </w:p>
          <w:p w14:paraId="02CDD048" w14:textId="77777777" w:rsidR="0021550B" w:rsidRPr="0035187E" w:rsidRDefault="0021550B" w:rsidP="0035187E">
            <w:pPr>
              <w:contextualSpacing/>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 xml:space="preserve">Poskytnutí rekreace a zájezdu bude ponecháno mezi volnočasovými benefity v § 6 odst. 9 písm. d) ZDP. </w:t>
            </w:r>
          </w:p>
          <w:p w14:paraId="2CBBFF19" w14:textId="77777777" w:rsidR="0021550B" w:rsidRPr="0035187E" w:rsidRDefault="0021550B" w:rsidP="0035187E">
            <w:pPr>
              <w:jc w:val="both"/>
              <w:rPr>
                <w:rFonts w:ascii="Times New Roman" w:hAnsi="Times New Roman" w:cs="Times New Roman"/>
                <w:sz w:val="20"/>
                <w:szCs w:val="20"/>
              </w:rPr>
            </w:pPr>
            <w:r w:rsidRPr="0035187E">
              <w:rPr>
                <w:rFonts w:ascii="Times New Roman" w:hAnsi="Times New Roman" w:cs="Times New Roman"/>
                <w:sz w:val="20"/>
                <w:szCs w:val="20"/>
              </w:rPr>
              <w:t>Návrh zákona o evidenci tržeb</w:t>
            </w:r>
            <w:r w:rsidRPr="0035187E">
              <w:rPr>
                <w:rFonts w:ascii="Times New Roman" w:hAnsi="Times New Roman" w:cs="Times New Roman"/>
                <w:b/>
                <w:bCs/>
                <w:sz w:val="20"/>
                <w:szCs w:val="20"/>
              </w:rPr>
              <w:t xml:space="preserve"> </w:t>
            </w:r>
            <w:r w:rsidRPr="0035187E">
              <w:rPr>
                <w:rFonts w:ascii="Times New Roman" w:hAnsi="Times New Roman" w:cs="Times New Roman"/>
                <w:sz w:val="20"/>
                <w:szCs w:val="20"/>
              </w:rPr>
              <w:t xml:space="preserve">počítá se zrušením stropu volnočasových benefitů zaměstnanců tak, jak se vláda zavázala prostřednictvím svého programového prohlášení. </w:t>
            </w:r>
          </w:p>
          <w:p w14:paraId="43362A9D" w14:textId="77777777" w:rsidR="0021550B" w:rsidRPr="0035187E" w:rsidRDefault="0021550B"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 xml:space="preserve">Celá konstrukce výše cit. ustanovení dává poplatníků rozšířené možnosti využití daňových benefitů. </w:t>
            </w:r>
            <w:proofErr w:type="spellStart"/>
            <w:r w:rsidRPr="0035187E">
              <w:rPr>
                <w:rFonts w:ascii="Times New Roman" w:hAnsi="Times New Roman" w:cs="Times New Roman"/>
                <w:iCs/>
                <w:sz w:val="20"/>
                <w:szCs w:val="20"/>
              </w:rPr>
              <w:t>Zastropování</w:t>
            </w:r>
            <w:proofErr w:type="spellEnd"/>
            <w:r w:rsidRPr="0035187E">
              <w:rPr>
                <w:rFonts w:ascii="Times New Roman" w:hAnsi="Times New Roman" w:cs="Times New Roman"/>
                <w:iCs/>
                <w:sz w:val="20"/>
                <w:szCs w:val="20"/>
              </w:rPr>
              <w:t xml:space="preserve"> daňového osvobození nepeněžního plnění na rekreaci a zájezdy omezuje dopady na veřejné rozpočty a brání nepřímému zvýhodňování ekonomicky zdatnějších zaměstnavatelů. Současně zajišťuje, že daňové zvýhodnění plní svůj sociální účel podpory běžné rekreace a regenerace pracovní síly, nikoli financování nadstandardních forem dovolené. </w:t>
            </w:r>
          </w:p>
          <w:p w14:paraId="100DB349" w14:textId="77777777" w:rsidR="0021550B" w:rsidRPr="0035187E" w:rsidRDefault="0021550B"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Rekreační zařízení zaměstnavatele se na limit nevztahuje, což odlišuje běžnou nízkonákladovou rekreaci od rekreace zajišťované zaměstnavatelem prostřednictvím externích subjektů. </w:t>
            </w:r>
          </w:p>
          <w:p w14:paraId="39D0D598" w14:textId="78A3C0B9" w:rsidR="000B4BD4" w:rsidRPr="0035187E" w:rsidRDefault="0021550B" w:rsidP="0035187E">
            <w:pPr>
              <w:jc w:val="both"/>
              <w:rPr>
                <w:rFonts w:ascii="Times New Roman" w:hAnsi="Times New Roman" w:cs="Times New Roman"/>
                <w:sz w:val="20"/>
                <w:szCs w:val="20"/>
              </w:rPr>
            </w:pPr>
            <w:r w:rsidRPr="0035187E">
              <w:rPr>
                <w:rFonts w:ascii="Times New Roman" w:hAnsi="Times New Roman" w:cs="Times New Roman"/>
                <w:iCs/>
                <w:sz w:val="20"/>
                <w:szCs w:val="20"/>
              </w:rPr>
              <w:t>Návrh vychází z legislativní úpravy účinné do konce roku 2023, podle níž byla hodnota nepeněžního plnění ve formě rekreace a zájezdu na straně zaměstnance osvobozena od daně až do výše 20 000 Kč za zdaňovací období.</w:t>
            </w:r>
          </w:p>
        </w:tc>
      </w:tr>
      <w:tr w:rsidR="0035187E" w:rsidRPr="0035187E" w14:paraId="4ED70386"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C5E5F4C" w14:textId="6F6981F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21.</w:t>
            </w:r>
          </w:p>
        </w:tc>
        <w:tc>
          <w:tcPr>
            <w:tcW w:w="583" w:type="pct"/>
            <w:tcBorders>
              <w:top w:val="single" w:sz="4" w:space="0" w:color="auto"/>
              <w:left w:val="single" w:sz="4" w:space="0" w:color="auto"/>
              <w:right w:val="single" w:sz="4" w:space="0" w:color="auto"/>
            </w:tcBorders>
            <w:shd w:val="clear" w:color="auto" w:fill="auto"/>
          </w:tcPr>
          <w:p w14:paraId="0B7AB6B6" w14:textId="3DAC19E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Asociace malých a středních podniků a živnostníků ČR</w:t>
            </w:r>
          </w:p>
        </w:tc>
        <w:tc>
          <w:tcPr>
            <w:tcW w:w="168" w:type="pct"/>
            <w:tcBorders>
              <w:top w:val="single" w:sz="4" w:space="0" w:color="auto"/>
              <w:left w:val="single" w:sz="4" w:space="0" w:color="auto"/>
              <w:right w:val="single" w:sz="4" w:space="0" w:color="auto"/>
            </w:tcBorders>
            <w:shd w:val="clear" w:color="auto" w:fill="auto"/>
          </w:tcPr>
          <w:p w14:paraId="7DC01E42" w14:textId="2CBDCC4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10.</w:t>
            </w:r>
          </w:p>
        </w:tc>
        <w:tc>
          <w:tcPr>
            <w:tcW w:w="169" w:type="pct"/>
            <w:tcBorders>
              <w:top w:val="single" w:sz="4" w:space="0" w:color="auto"/>
              <w:left w:val="single" w:sz="4" w:space="0" w:color="auto"/>
              <w:right w:val="single" w:sz="4" w:space="0" w:color="auto"/>
            </w:tcBorders>
            <w:shd w:val="clear" w:color="auto" w:fill="auto"/>
          </w:tcPr>
          <w:p w14:paraId="4E55C861" w14:textId="085287A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3B1B1086" w14:textId="77777777" w:rsidR="000B4BD4" w:rsidRPr="0035187E" w:rsidRDefault="000B4BD4" w:rsidP="0035187E">
            <w:pPr>
              <w:jc w:val="both"/>
              <w:rPr>
                <w:rFonts w:ascii="Times New Roman" w:hAnsi="Times New Roman" w:cs="Times New Roman"/>
                <w:bCs/>
                <w:sz w:val="20"/>
                <w:szCs w:val="20"/>
                <w:u w:val="single"/>
              </w:rPr>
            </w:pPr>
            <w:r w:rsidRPr="0035187E">
              <w:rPr>
                <w:rFonts w:ascii="Times New Roman" w:hAnsi="Times New Roman" w:cs="Times New Roman"/>
                <w:b/>
                <w:sz w:val="20"/>
                <w:szCs w:val="20"/>
                <w:u w:val="single"/>
              </w:rPr>
              <w:t>10) K podstatě předkládaného návrhu</w:t>
            </w:r>
            <w:r w:rsidRPr="0035187E">
              <w:rPr>
                <w:rFonts w:ascii="Times New Roman" w:hAnsi="Times New Roman" w:cs="Times New Roman"/>
                <w:bCs/>
                <w:sz w:val="20"/>
                <w:szCs w:val="20"/>
                <w:u w:val="single"/>
              </w:rPr>
              <w:t>:</w:t>
            </w:r>
          </w:p>
          <w:p w14:paraId="1855B4DB" w14:textId="77777777" w:rsidR="000B4BD4" w:rsidRPr="0035187E" w:rsidRDefault="000B4BD4" w:rsidP="0035187E">
            <w:pPr>
              <w:jc w:val="both"/>
              <w:rPr>
                <w:rFonts w:ascii="Times New Roman" w:hAnsi="Times New Roman" w:cs="Times New Roman"/>
                <w:bCs/>
                <w:sz w:val="20"/>
                <w:szCs w:val="20"/>
                <w:u w:val="single"/>
              </w:rPr>
            </w:pPr>
          </w:p>
          <w:p w14:paraId="2B07F6AC" w14:textId="7777777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u w:val="single"/>
              </w:rPr>
              <w:t>Cíl:</w:t>
            </w:r>
            <w:r w:rsidRPr="0035187E">
              <w:rPr>
                <w:rFonts w:ascii="Times New Roman" w:hAnsi="Times New Roman" w:cs="Times New Roman"/>
                <w:bCs/>
                <w:sz w:val="20"/>
                <w:szCs w:val="20"/>
              </w:rPr>
              <w:t xml:space="preserve"> Zrušení podmínky „obvyklosti“ u daňového osvobození volnočasových benefitů, aby se odstranila právní nejistota a podpořila flexibilita zaměstnavatelů při zavádění nových či neobvyklých benefitů.</w:t>
            </w:r>
          </w:p>
          <w:p w14:paraId="6B8EF867" w14:textId="77777777" w:rsidR="000B4BD4" w:rsidRPr="0035187E" w:rsidRDefault="000B4BD4" w:rsidP="0035187E">
            <w:pPr>
              <w:jc w:val="both"/>
              <w:rPr>
                <w:rFonts w:ascii="Times New Roman" w:eastAsia="Calibri" w:hAnsi="Times New Roman" w:cs="Times New Roman"/>
                <w:sz w:val="20"/>
                <w:szCs w:val="20"/>
                <w:lang w:eastAsia="en-US"/>
              </w:rPr>
            </w:pPr>
          </w:p>
          <w:p w14:paraId="66DC720A" w14:textId="77777777" w:rsidR="000B4BD4" w:rsidRPr="0035187E" w:rsidRDefault="000B4BD4" w:rsidP="0035187E">
            <w:pPr>
              <w:jc w:val="both"/>
              <w:rPr>
                <w:rFonts w:ascii="Times New Roman" w:eastAsia="Calibri" w:hAnsi="Times New Roman" w:cs="Times New Roman"/>
                <w:sz w:val="20"/>
                <w:szCs w:val="20"/>
                <w:u w:val="single"/>
                <w:lang w:eastAsia="en-US"/>
              </w:rPr>
            </w:pPr>
            <w:r w:rsidRPr="0035187E">
              <w:rPr>
                <w:rFonts w:ascii="Times New Roman" w:eastAsia="Calibri" w:hAnsi="Times New Roman" w:cs="Times New Roman"/>
                <w:sz w:val="20"/>
                <w:szCs w:val="20"/>
                <w:u w:val="single"/>
                <w:lang w:eastAsia="en-US"/>
              </w:rPr>
              <w:t>Odůvodnění:</w:t>
            </w:r>
            <w:r w:rsidRPr="0035187E">
              <w:rPr>
                <w:rFonts w:ascii="Times New Roman" w:eastAsia="Calibri" w:hAnsi="Times New Roman" w:cs="Times New Roman"/>
                <w:sz w:val="20"/>
                <w:szCs w:val="20"/>
                <w:lang w:eastAsia="en-US"/>
              </w:rPr>
              <w:t xml:space="preserve"> Navrhujeme vypustit z navrhované právní úpravy podmínku, podle níž je osvobození vybraných volnočasových benefitů od daně z příjmů fyzických osob podmíněno tím, že jejich poskytování musí být vzhledem k jejich povaze u daného zaměstnavatele obvyklé. V návrhu zákona je potřeba provést úpravu v navrhované změně </w:t>
            </w:r>
            <w:r w:rsidRPr="0035187E">
              <w:rPr>
                <w:rFonts w:ascii="Times New Roman" w:eastAsia="Calibri" w:hAnsi="Times New Roman" w:cs="Times New Roman"/>
                <w:sz w:val="20"/>
                <w:szCs w:val="20"/>
                <w:lang w:eastAsia="en-US"/>
              </w:rPr>
              <w:lastRenderedPageBreak/>
              <w:t>§6 odst. 9 písm. d) bod 2. ZDP, a to buď vypuštěním slov „nebo poskytnutí příspěvku na kulturní nebo sportovní akce“ nebo vypuštěním slov „je jejich poskytování zaměstnavateli obvyklé a“ a jazykovou korekcí zbytku textu.</w:t>
            </w:r>
          </w:p>
          <w:p w14:paraId="320FD5C1" w14:textId="77777777" w:rsidR="000B4BD4" w:rsidRPr="0035187E" w:rsidRDefault="000B4BD4" w:rsidP="0035187E">
            <w:pPr>
              <w:jc w:val="both"/>
              <w:rPr>
                <w:rFonts w:ascii="Times New Roman" w:eastAsia="Calibri" w:hAnsi="Times New Roman" w:cs="Times New Roman"/>
                <w:sz w:val="20"/>
                <w:szCs w:val="20"/>
                <w:lang w:eastAsia="en-US"/>
              </w:rPr>
            </w:pPr>
          </w:p>
          <w:p w14:paraId="24882B13"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V navrhované změně zákona jsou v současném znění přidány dvě nové podmínky </w:t>
            </w:r>
            <w:proofErr w:type="gramStart"/>
            <w:r w:rsidRPr="0035187E">
              <w:rPr>
                <w:rFonts w:ascii="Times New Roman" w:eastAsia="Calibri" w:hAnsi="Times New Roman" w:cs="Times New Roman"/>
                <w:sz w:val="20"/>
                <w:szCs w:val="20"/>
                <w:lang w:eastAsia="en-US"/>
              </w:rPr>
              <w:t>–„</w:t>
            </w:r>
            <w:proofErr w:type="gramEnd"/>
            <w:r w:rsidRPr="0035187E">
              <w:rPr>
                <w:rFonts w:ascii="Times New Roman" w:eastAsia="Calibri" w:hAnsi="Times New Roman" w:cs="Times New Roman"/>
                <w:sz w:val="20"/>
                <w:szCs w:val="20"/>
                <w:lang w:eastAsia="en-US"/>
              </w:rPr>
              <w:t xml:space="preserve">přiměřenost“ a „obvyklost“. Zatímco podmínka přiměřenosti je v daňově praxi poměrně běžná a neměla by pro zaměstnavatele představovat výraznější problém, u obvyklosti tomu tak není. Pojem není zákonem definován a může být vykládán značně různorodě. To, co je pro jednoho zaměstnavatele obvyklé, může být při jiné velikosti firmy či v jiném regionu neobvyklé. Zaměstnavatelé tak nevyhnutelně budou postaveni před značnou právní nejistotu. </w:t>
            </w:r>
          </w:p>
          <w:p w14:paraId="16E94934" w14:textId="77777777" w:rsidR="000B4BD4" w:rsidRPr="0035187E" w:rsidRDefault="000B4BD4" w:rsidP="0035187E">
            <w:pPr>
              <w:jc w:val="both"/>
              <w:rPr>
                <w:rFonts w:ascii="Times New Roman" w:eastAsia="Calibri" w:hAnsi="Times New Roman" w:cs="Times New Roman"/>
                <w:sz w:val="20"/>
                <w:szCs w:val="20"/>
                <w:lang w:eastAsia="en-US"/>
              </w:rPr>
            </w:pPr>
          </w:p>
          <w:p w14:paraId="0EAA0671"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Benefity představují jeden z důležitých nástrojů, kterými se zaměstnavatelé mezi sebou chtějí odlišovat. Zavedení „neobvyklého“ benefitu tak často představuje potenciální konkurenční výhodu na trhu práce, případně lepší zacílení na zájmy a potřeby svých zaměstnanců. Znění zákona od toho přístupu může zaměstnavatele aktivně odrazovat, aniž by k tomu byl nějaký zřejmý důvod (např. malá regionální firma, která doteď benefity neposkytovala, je začne poskytovat, což představuje neobvyklou situaci pro tu konkrétní firmu, ale zároveň ji to při náboru umožní konkurovat větším firmám, pro které jsou zaměstnanecké benefity již obvyklé). </w:t>
            </w:r>
          </w:p>
          <w:p w14:paraId="2BC5D985" w14:textId="77777777" w:rsidR="000B4BD4" w:rsidRPr="0035187E" w:rsidRDefault="000B4BD4" w:rsidP="0035187E">
            <w:pPr>
              <w:jc w:val="both"/>
              <w:rPr>
                <w:rFonts w:ascii="Times New Roman" w:eastAsia="Calibri" w:hAnsi="Times New Roman" w:cs="Times New Roman"/>
                <w:sz w:val="20"/>
                <w:szCs w:val="20"/>
                <w:lang w:eastAsia="en-US"/>
              </w:rPr>
            </w:pPr>
          </w:p>
          <w:p w14:paraId="60368D32"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Setrvání uvedené podmínky tak může působit jako překážka v odměňovací praxi, konkurenceschopnosti, při zavádění nových benefitů či při změně struktury stávajících. Současně zvyšuje riziko rozdílného výkladu a sporů při daňových kontrolách napříč Českou republikou. Pokud na jednu stranu podporujeme inovace, start-upy, nová řešení a nové služby a produkty, působí omezení benefitů pouze na neurčité „obvyklé“ jako relikt. Pro naplnění cílů zákonodárce by tak mělo stačit nové kritérium přiměřenosti. </w:t>
            </w:r>
          </w:p>
          <w:p w14:paraId="27D394C0" w14:textId="77777777" w:rsidR="000B4BD4" w:rsidRPr="0035187E" w:rsidRDefault="000B4BD4" w:rsidP="0035187E">
            <w:pPr>
              <w:jc w:val="both"/>
              <w:rPr>
                <w:rFonts w:ascii="Times New Roman" w:eastAsia="Calibri" w:hAnsi="Times New Roman" w:cs="Times New Roman"/>
                <w:sz w:val="20"/>
                <w:szCs w:val="20"/>
                <w:lang w:eastAsia="en-US"/>
              </w:rPr>
            </w:pPr>
          </w:p>
          <w:p w14:paraId="4BF51B90" w14:textId="477207D6" w:rsidR="000B4BD4" w:rsidRPr="0035187E" w:rsidRDefault="000B4BD4" w:rsidP="0035187E">
            <w:pPr>
              <w:jc w:val="both"/>
              <w:rPr>
                <w:rFonts w:ascii="Times New Roman" w:hAnsi="Times New Roman" w:cs="Times New Roman"/>
                <w:sz w:val="20"/>
                <w:szCs w:val="20"/>
                <w:lang w:eastAsia="ar-SA"/>
              </w:rPr>
            </w:pPr>
            <w:r w:rsidRPr="0035187E">
              <w:rPr>
                <w:rFonts w:ascii="Times New Roman" w:eastAsia="Calibri" w:hAnsi="Times New Roman" w:cs="Times New Roman"/>
                <w:b/>
                <w:bCs/>
                <w:sz w:val="20"/>
                <w:szCs w:val="20"/>
                <w:lang w:eastAsia="en-US"/>
              </w:rPr>
              <w:t>Tato připomínka je zásadní.</w:t>
            </w:r>
          </w:p>
        </w:tc>
        <w:tc>
          <w:tcPr>
            <w:tcW w:w="1453" w:type="pct"/>
            <w:tcBorders>
              <w:top w:val="single" w:sz="4" w:space="0" w:color="auto"/>
              <w:left w:val="single" w:sz="4" w:space="0" w:color="auto"/>
              <w:right w:val="single" w:sz="4" w:space="0" w:color="auto"/>
            </w:tcBorders>
            <w:shd w:val="clear" w:color="auto" w:fill="auto"/>
          </w:tcPr>
          <w:p w14:paraId="70D163D5" w14:textId="77777777" w:rsidR="0021550B" w:rsidRPr="0035187E" w:rsidRDefault="0021550B"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Nevyhověno.</w:t>
            </w:r>
          </w:p>
          <w:p w14:paraId="2BEFDD6A" w14:textId="77777777" w:rsidR="0021550B" w:rsidRPr="0035187E" w:rsidRDefault="0021550B"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Kritérium obvyklosti vychází z dosavadního § 6 odst. 9 písm. g) zákona o daních z příjmů, který upravuje daňové osvobození nepeněžních příjmů plynoucích z účasti zaměstnance nebo jeho rodinného příslušníka na společenské akci pořádané zaměstnavatelem pro omezený okruh účastníků, a to včetně akcí s kulturním či sportovním prvkem. Toto ustanovení bude v návaznosti na zrušení příslušného stropu v § 6 odst. 9 písm. d) bodu 2 zákona o daních z příjmů </w:t>
            </w:r>
            <w:r w:rsidRPr="0035187E">
              <w:rPr>
                <w:rFonts w:ascii="Times New Roman" w:hAnsi="Times New Roman" w:cs="Times New Roman"/>
                <w:sz w:val="20"/>
                <w:szCs w:val="20"/>
              </w:rPr>
              <w:lastRenderedPageBreak/>
              <w:t xml:space="preserve">zrušeno, přičemž dané akce budou nově podřazeny pod toto ustanovení. </w:t>
            </w:r>
          </w:p>
          <w:p w14:paraId="2C0DE8E0" w14:textId="77777777" w:rsidR="0021550B" w:rsidRPr="0035187E" w:rsidRDefault="0021550B" w:rsidP="0035187E">
            <w:pPr>
              <w:jc w:val="both"/>
              <w:rPr>
                <w:rFonts w:ascii="Times New Roman" w:hAnsi="Times New Roman" w:cs="Times New Roman"/>
                <w:sz w:val="20"/>
                <w:szCs w:val="20"/>
              </w:rPr>
            </w:pPr>
            <w:r w:rsidRPr="0035187E">
              <w:rPr>
                <w:rFonts w:ascii="Times New Roman" w:hAnsi="Times New Roman" w:cs="Times New Roman"/>
                <w:sz w:val="20"/>
                <w:szCs w:val="20"/>
              </w:rPr>
              <w:t>Výklad jednotlivých kritérií uvedených v dosavadním § 6 odst. 9 písm. g) zákona o daních z příjmů, rozpracovává metodická informace GFŘ k zaměstnaneckým benefitům z roku 2024. Ta mimo jiné uvádí, že obvyklost pořádání akce se posuzuje zejména s ohledem na běžné standardy v podnikatelské praxi, a to ve vazbě na okruh účastníků (např. pouze zaměstnanci, zaměstnanci včetně rodinných příslušníků či obchodní partneři), charakter akce (např. sportovní den pro děti, zaměstnanecké sportovní hry apod.) a její pravidelnost.</w:t>
            </w:r>
          </w:p>
          <w:p w14:paraId="2CABAA26" w14:textId="77777777" w:rsidR="0021550B" w:rsidRPr="0035187E" w:rsidRDefault="0021550B" w:rsidP="0035187E">
            <w:pPr>
              <w:jc w:val="both"/>
              <w:rPr>
                <w:rFonts w:ascii="Times New Roman" w:hAnsi="Times New Roman" w:cs="Times New Roman"/>
                <w:sz w:val="20"/>
                <w:szCs w:val="20"/>
              </w:rPr>
            </w:pPr>
            <w:r w:rsidRPr="0035187E">
              <w:rPr>
                <w:rFonts w:ascii="Times New Roman" w:hAnsi="Times New Roman" w:cs="Times New Roman"/>
                <w:sz w:val="20"/>
                <w:szCs w:val="20"/>
              </w:rPr>
              <w:t>Navrhuje se toto kritérium výslovně zakotvit nejen pro akce pořádané přímo zaměstnavatelem, ale i pro sportovní a kulturní akce zajišťované zaměstnavatelem prostřednictvím externích subjektů (např. cestovních kanceláří). Takové upřesnění poskytne potřebnou legislativní oporu pro posuzování případů, které mohou spíše nasvědčovat zneužívání daňové podpory než skutečné snaze o podporu a stabilizaci pracovního prostředí.</w:t>
            </w:r>
          </w:p>
          <w:p w14:paraId="152F337D" w14:textId="34E5D962" w:rsidR="000B4BD4" w:rsidRPr="0035187E" w:rsidRDefault="000B4BD4" w:rsidP="0035187E">
            <w:pPr>
              <w:jc w:val="both"/>
              <w:rPr>
                <w:rFonts w:ascii="Times New Roman" w:hAnsi="Times New Roman" w:cs="Times New Roman"/>
                <w:sz w:val="20"/>
                <w:szCs w:val="20"/>
              </w:rPr>
            </w:pPr>
          </w:p>
        </w:tc>
      </w:tr>
      <w:tr w:rsidR="0035187E" w:rsidRPr="0035187E" w14:paraId="3F5EBFEC"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9AEFF9A" w14:textId="0E69A04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21.</w:t>
            </w:r>
          </w:p>
        </w:tc>
        <w:tc>
          <w:tcPr>
            <w:tcW w:w="583" w:type="pct"/>
            <w:tcBorders>
              <w:top w:val="single" w:sz="4" w:space="0" w:color="auto"/>
              <w:left w:val="single" w:sz="4" w:space="0" w:color="auto"/>
              <w:right w:val="single" w:sz="4" w:space="0" w:color="auto"/>
            </w:tcBorders>
            <w:shd w:val="clear" w:color="auto" w:fill="auto"/>
          </w:tcPr>
          <w:p w14:paraId="39907B35" w14:textId="0536D84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Asociace malých a středních podniků a živnostníků ČR</w:t>
            </w:r>
          </w:p>
        </w:tc>
        <w:tc>
          <w:tcPr>
            <w:tcW w:w="168" w:type="pct"/>
            <w:tcBorders>
              <w:top w:val="single" w:sz="4" w:space="0" w:color="auto"/>
              <w:left w:val="single" w:sz="4" w:space="0" w:color="auto"/>
              <w:right w:val="single" w:sz="4" w:space="0" w:color="auto"/>
            </w:tcBorders>
            <w:shd w:val="clear" w:color="auto" w:fill="auto"/>
          </w:tcPr>
          <w:p w14:paraId="76D365EF" w14:textId="28CB9B1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11.</w:t>
            </w:r>
          </w:p>
        </w:tc>
        <w:tc>
          <w:tcPr>
            <w:tcW w:w="169" w:type="pct"/>
            <w:tcBorders>
              <w:top w:val="single" w:sz="4" w:space="0" w:color="auto"/>
              <w:left w:val="single" w:sz="4" w:space="0" w:color="auto"/>
              <w:right w:val="single" w:sz="4" w:space="0" w:color="auto"/>
            </w:tcBorders>
            <w:shd w:val="clear" w:color="auto" w:fill="auto"/>
          </w:tcPr>
          <w:p w14:paraId="26FA7F2E" w14:textId="260A016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9946264" w14:textId="77777777" w:rsidR="000B4BD4" w:rsidRPr="0035187E" w:rsidRDefault="000B4BD4" w:rsidP="0035187E">
            <w:pPr>
              <w:jc w:val="both"/>
              <w:rPr>
                <w:rFonts w:ascii="Times New Roman" w:hAnsi="Times New Roman" w:cs="Times New Roman"/>
                <w:bCs/>
                <w:sz w:val="20"/>
                <w:szCs w:val="20"/>
                <w:u w:val="single"/>
              </w:rPr>
            </w:pPr>
            <w:r w:rsidRPr="0035187E">
              <w:rPr>
                <w:rFonts w:ascii="Times New Roman" w:hAnsi="Times New Roman" w:cs="Times New Roman"/>
                <w:b/>
                <w:sz w:val="20"/>
                <w:szCs w:val="20"/>
                <w:u w:val="single"/>
              </w:rPr>
              <w:t>11) K podstatě předkládaného návrhu</w:t>
            </w:r>
            <w:r w:rsidRPr="0035187E">
              <w:rPr>
                <w:rFonts w:ascii="Times New Roman" w:hAnsi="Times New Roman" w:cs="Times New Roman"/>
                <w:bCs/>
                <w:sz w:val="20"/>
                <w:szCs w:val="20"/>
                <w:u w:val="single"/>
              </w:rPr>
              <w:t>:</w:t>
            </w:r>
          </w:p>
          <w:p w14:paraId="1C8F5D70" w14:textId="77777777" w:rsidR="000B4BD4" w:rsidRPr="0035187E" w:rsidRDefault="000B4BD4" w:rsidP="0035187E">
            <w:pPr>
              <w:jc w:val="both"/>
              <w:rPr>
                <w:rFonts w:ascii="Times New Roman" w:eastAsia="Calibri" w:hAnsi="Times New Roman" w:cs="Times New Roman"/>
                <w:sz w:val="20"/>
                <w:szCs w:val="20"/>
                <w:lang w:eastAsia="en-US"/>
              </w:rPr>
            </w:pPr>
          </w:p>
          <w:p w14:paraId="430053A0"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u w:val="single"/>
                <w:lang w:eastAsia="en-US"/>
              </w:rPr>
              <w:t>Cíl:</w:t>
            </w:r>
            <w:r w:rsidRPr="0035187E">
              <w:rPr>
                <w:rFonts w:ascii="Times New Roman" w:eastAsia="Calibri" w:hAnsi="Times New Roman" w:cs="Times New Roman"/>
                <w:sz w:val="20"/>
                <w:szCs w:val="20"/>
                <w:lang w:eastAsia="en-US"/>
              </w:rPr>
              <w:t xml:space="preserve"> Zrušení stropu u zdravotních benefitů, za účelem stanovení systémové konzistence s volnočasovými benefity, podpory prevence a motivace zaměstnanců a snížila administrativní zátěž zaměstnavatelů.</w:t>
            </w:r>
          </w:p>
          <w:p w14:paraId="7E94F4F7" w14:textId="77777777" w:rsidR="000B4BD4" w:rsidRPr="0035187E" w:rsidRDefault="000B4BD4" w:rsidP="0035187E">
            <w:pPr>
              <w:jc w:val="both"/>
              <w:rPr>
                <w:rFonts w:ascii="Times New Roman" w:eastAsia="Calibri" w:hAnsi="Times New Roman" w:cs="Times New Roman"/>
                <w:sz w:val="20"/>
                <w:szCs w:val="20"/>
                <w:lang w:eastAsia="en-US"/>
              </w:rPr>
            </w:pPr>
          </w:p>
          <w:p w14:paraId="3386B1C0" w14:textId="77777777" w:rsidR="000B4BD4" w:rsidRPr="0035187E" w:rsidRDefault="000B4BD4" w:rsidP="0035187E">
            <w:pPr>
              <w:jc w:val="both"/>
              <w:rPr>
                <w:rFonts w:ascii="Times New Roman" w:eastAsia="Calibri" w:hAnsi="Times New Roman" w:cs="Times New Roman"/>
                <w:sz w:val="20"/>
                <w:szCs w:val="20"/>
                <w:u w:val="single"/>
                <w:lang w:eastAsia="en-US"/>
              </w:rPr>
            </w:pPr>
            <w:r w:rsidRPr="0035187E">
              <w:rPr>
                <w:rFonts w:ascii="Times New Roman" w:eastAsia="Calibri" w:hAnsi="Times New Roman" w:cs="Times New Roman"/>
                <w:sz w:val="20"/>
                <w:szCs w:val="20"/>
                <w:u w:val="single"/>
                <w:lang w:eastAsia="en-US"/>
              </w:rPr>
              <w:t>Odůvodnění:</w:t>
            </w:r>
            <w:r w:rsidRPr="0035187E">
              <w:rPr>
                <w:rFonts w:ascii="Times New Roman" w:eastAsia="Calibri" w:hAnsi="Times New Roman" w:cs="Times New Roman"/>
                <w:sz w:val="20"/>
                <w:szCs w:val="20"/>
                <w:lang w:eastAsia="en-US"/>
              </w:rPr>
              <w:t xml:space="preserve"> Navrhujeme zrušit </w:t>
            </w:r>
            <w:proofErr w:type="spellStart"/>
            <w:r w:rsidRPr="0035187E">
              <w:rPr>
                <w:rFonts w:ascii="Times New Roman" w:eastAsia="Calibri" w:hAnsi="Times New Roman" w:cs="Times New Roman"/>
                <w:sz w:val="20"/>
                <w:szCs w:val="20"/>
                <w:lang w:eastAsia="en-US"/>
              </w:rPr>
              <w:t>zastropování</w:t>
            </w:r>
            <w:proofErr w:type="spellEnd"/>
            <w:r w:rsidRPr="0035187E">
              <w:rPr>
                <w:rFonts w:ascii="Times New Roman" w:eastAsia="Calibri" w:hAnsi="Times New Roman" w:cs="Times New Roman"/>
                <w:sz w:val="20"/>
                <w:szCs w:val="20"/>
                <w:lang w:eastAsia="en-US"/>
              </w:rPr>
              <w:t xml:space="preserve"> tzv. zdravotních benefitů v §6 odst. 9 písm. d) bodě 1.</w:t>
            </w:r>
          </w:p>
          <w:p w14:paraId="515DDCB4" w14:textId="77777777" w:rsidR="000B4BD4" w:rsidRPr="0035187E" w:rsidRDefault="000B4BD4" w:rsidP="0035187E">
            <w:pPr>
              <w:jc w:val="both"/>
              <w:rPr>
                <w:rFonts w:ascii="Times New Roman" w:eastAsia="Calibri" w:hAnsi="Times New Roman" w:cs="Times New Roman"/>
                <w:sz w:val="20"/>
                <w:szCs w:val="20"/>
                <w:lang w:eastAsia="en-US"/>
              </w:rPr>
            </w:pPr>
          </w:p>
          <w:p w14:paraId="18E8C9F2"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Historicky byly benefity v oblasti zdraví a volného času posuzovány shodně a bez limitů. Současný záměr zrušit strop pouze u volnočasových benefitů a ponechat zdravotní plnění v omezeném režimu je systémově nekonzistentní. Zdravotní benefity mají pro společnost i ekonomiku vysokou přidanou hodnotu, neboť efektivně napomáhají prevenci a přispívají ke snížení nemocnosti zaměstnanců a šetří výdaje z veřejného zdravotního pojištění. </w:t>
            </w:r>
            <w:r w:rsidRPr="0035187E">
              <w:rPr>
                <w:rFonts w:ascii="Times New Roman" w:eastAsia="Calibri" w:hAnsi="Times New Roman" w:cs="Times New Roman"/>
                <w:sz w:val="20"/>
                <w:szCs w:val="20"/>
                <w:lang w:eastAsia="en-US"/>
              </w:rPr>
              <w:lastRenderedPageBreak/>
              <w:t>Signál, že jsou volnočasové benefity preferovány před zdravím, by tak nepůsobil příliš pozitivně. Proto považujme za žádoucí, aby by byla dodržen několikrát deklarovaný záměr o návratu k pravidlům platným před přijetím tzv. konsolidačního balíčku.</w:t>
            </w:r>
          </w:p>
          <w:p w14:paraId="3598199D" w14:textId="77777777" w:rsidR="000B4BD4" w:rsidRPr="0035187E" w:rsidRDefault="000B4BD4" w:rsidP="0035187E">
            <w:pPr>
              <w:jc w:val="both"/>
              <w:rPr>
                <w:rFonts w:ascii="Times New Roman" w:eastAsia="Calibri" w:hAnsi="Times New Roman" w:cs="Times New Roman"/>
                <w:sz w:val="20"/>
                <w:szCs w:val="20"/>
                <w:lang w:eastAsia="en-US"/>
              </w:rPr>
            </w:pPr>
          </w:p>
          <w:p w14:paraId="271B6791"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Navrhujeme proto zrušení limitu i u zdravotních benefitů. Pro zaměstnavatele bude tento krok představovat administrativně výrazně snazší řešení této agendy, a zároveň motivaci svým zaměstnancům na zdravotní oblast přispívat. </w:t>
            </w:r>
          </w:p>
          <w:p w14:paraId="6160DCBF" w14:textId="77777777" w:rsidR="000B4BD4" w:rsidRPr="0035187E" w:rsidRDefault="000B4BD4" w:rsidP="0035187E">
            <w:pPr>
              <w:jc w:val="both"/>
              <w:rPr>
                <w:rFonts w:ascii="Times New Roman" w:eastAsia="Calibri" w:hAnsi="Times New Roman" w:cs="Times New Roman"/>
                <w:sz w:val="20"/>
                <w:szCs w:val="20"/>
                <w:lang w:eastAsia="en-US"/>
              </w:rPr>
            </w:pPr>
          </w:p>
          <w:p w14:paraId="72EDDD34" w14:textId="364CAA40" w:rsidR="000B4BD4" w:rsidRPr="0035187E" w:rsidRDefault="000B4BD4" w:rsidP="0035187E">
            <w:pPr>
              <w:jc w:val="both"/>
              <w:rPr>
                <w:rFonts w:ascii="Times New Roman" w:hAnsi="Times New Roman" w:cs="Times New Roman"/>
                <w:sz w:val="20"/>
                <w:szCs w:val="20"/>
                <w:lang w:eastAsia="ar-SA"/>
              </w:rPr>
            </w:pPr>
            <w:r w:rsidRPr="0035187E">
              <w:rPr>
                <w:rFonts w:ascii="Times New Roman" w:eastAsia="Calibri" w:hAnsi="Times New Roman" w:cs="Times New Roman"/>
                <w:b/>
                <w:bCs/>
                <w:sz w:val="20"/>
                <w:szCs w:val="20"/>
                <w:lang w:eastAsia="en-US"/>
              </w:rPr>
              <w:t>Tato připomínka je zásadní.</w:t>
            </w:r>
          </w:p>
        </w:tc>
        <w:tc>
          <w:tcPr>
            <w:tcW w:w="1453" w:type="pct"/>
            <w:tcBorders>
              <w:top w:val="single" w:sz="4" w:space="0" w:color="auto"/>
              <w:left w:val="single" w:sz="4" w:space="0" w:color="auto"/>
              <w:right w:val="single" w:sz="4" w:space="0" w:color="auto"/>
            </w:tcBorders>
            <w:shd w:val="clear" w:color="auto" w:fill="auto"/>
          </w:tcPr>
          <w:p w14:paraId="43415F21" w14:textId="77777777" w:rsidR="0021550B" w:rsidRPr="0035187E" w:rsidRDefault="0021550B"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Nevyhověno.</w:t>
            </w:r>
          </w:p>
          <w:p w14:paraId="3DEB5007" w14:textId="77777777" w:rsidR="0021550B" w:rsidRPr="0035187E" w:rsidRDefault="0021550B" w:rsidP="0035187E">
            <w:pPr>
              <w:jc w:val="both"/>
              <w:rPr>
                <w:rFonts w:ascii="Times New Roman" w:hAnsi="Times New Roman" w:cs="Times New Roman"/>
                <w:sz w:val="20"/>
                <w:szCs w:val="20"/>
              </w:rPr>
            </w:pPr>
            <w:r w:rsidRPr="0035187E">
              <w:rPr>
                <w:rFonts w:ascii="Times New Roman" w:hAnsi="Times New Roman" w:cs="Times New Roman"/>
                <w:sz w:val="20"/>
                <w:szCs w:val="20"/>
              </w:rPr>
              <w:t>Podnět přesahuje rámec navrhované úpravy zákona o evidenci tržeb.</w:t>
            </w:r>
          </w:p>
          <w:p w14:paraId="0769EA9F" w14:textId="77777777" w:rsidR="0021550B" w:rsidRPr="0035187E" w:rsidRDefault="0021550B" w:rsidP="0035187E">
            <w:pPr>
              <w:jc w:val="both"/>
              <w:rPr>
                <w:rFonts w:ascii="Times New Roman" w:hAnsi="Times New Roman" w:cs="Times New Roman"/>
                <w:sz w:val="20"/>
                <w:szCs w:val="20"/>
              </w:rPr>
            </w:pPr>
            <w:r w:rsidRPr="0035187E">
              <w:rPr>
                <w:rFonts w:ascii="Times New Roman" w:hAnsi="Times New Roman" w:cs="Times New Roman"/>
                <w:sz w:val="20"/>
                <w:szCs w:val="20"/>
              </w:rPr>
              <w:t>Zachování limitu pro zdravotní benefity považujeme za opodstatněné. Zatímco volnočasové benefity mají převážně společenský či relaxační charakter a jejich hodnotové limity neovlivňují prevenci ani udržení pracovní schopnosti, zdravotní benefity přímo podporují zdraví zaměstnanců, prevenci nemocí a přispívají k dlouhodobé pracovní výkonnosti.</w:t>
            </w:r>
          </w:p>
          <w:p w14:paraId="055A9395" w14:textId="77777777" w:rsidR="0021550B" w:rsidRPr="0035187E" w:rsidRDefault="0021550B"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Zrušení limitu u zdravotních benefitů by mohlo vést k jejich zneužívání pro daňovou optimalizaci, kdy výhody přesahující skutečné potřeby zdraví zaměstnanců by byly osvobozeny od daně, aniž by </w:t>
            </w:r>
            <w:r w:rsidRPr="0035187E">
              <w:rPr>
                <w:rFonts w:ascii="Times New Roman" w:hAnsi="Times New Roman" w:cs="Times New Roman"/>
                <w:sz w:val="20"/>
                <w:szCs w:val="20"/>
              </w:rPr>
              <w:lastRenderedPageBreak/>
              <w:t>přinášely reálný zdravotní prospěch. Zachování limitu proto umožňuje cílené a efektivní využití zdravotních benefitů, které přináší skutečný pozitivní dopad jak pro zaměstnance, tak pro veřejný zdravotní systém.</w:t>
            </w:r>
          </w:p>
          <w:p w14:paraId="2A4BF766" w14:textId="7EDC68FB" w:rsidR="000B4BD4" w:rsidRPr="0035187E" w:rsidRDefault="0021550B" w:rsidP="0035187E">
            <w:pPr>
              <w:jc w:val="both"/>
              <w:rPr>
                <w:rFonts w:ascii="Times New Roman" w:hAnsi="Times New Roman" w:cs="Times New Roman"/>
                <w:sz w:val="20"/>
                <w:szCs w:val="20"/>
              </w:rPr>
            </w:pPr>
            <w:r w:rsidRPr="0035187E">
              <w:rPr>
                <w:rFonts w:ascii="Times New Roman" w:hAnsi="Times New Roman" w:cs="Times New Roman"/>
                <w:sz w:val="20"/>
                <w:szCs w:val="20"/>
              </w:rPr>
              <w:t>Odlišné zacházení s volnočasovými a zdravotními benefity tedy odpovídá jejich odlišné společenské a ekonomické hodnotě.</w:t>
            </w:r>
          </w:p>
        </w:tc>
      </w:tr>
      <w:tr w:rsidR="0035187E" w:rsidRPr="0035187E" w14:paraId="2A33DAF4"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0F59F98" w14:textId="2414DC4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21.</w:t>
            </w:r>
          </w:p>
        </w:tc>
        <w:tc>
          <w:tcPr>
            <w:tcW w:w="583" w:type="pct"/>
            <w:tcBorders>
              <w:top w:val="single" w:sz="4" w:space="0" w:color="auto"/>
              <w:left w:val="single" w:sz="4" w:space="0" w:color="auto"/>
              <w:right w:val="single" w:sz="4" w:space="0" w:color="auto"/>
            </w:tcBorders>
            <w:shd w:val="clear" w:color="auto" w:fill="auto"/>
          </w:tcPr>
          <w:p w14:paraId="59F86268" w14:textId="4F52CB7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Asociace malých a středních podniků a živnostníků ČR</w:t>
            </w:r>
          </w:p>
        </w:tc>
        <w:tc>
          <w:tcPr>
            <w:tcW w:w="168" w:type="pct"/>
            <w:tcBorders>
              <w:top w:val="single" w:sz="4" w:space="0" w:color="auto"/>
              <w:left w:val="single" w:sz="4" w:space="0" w:color="auto"/>
              <w:right w:val="single" w:sz="4" w:space="0" w:color="auto"/>
            </w:tcBorders>
            <w:shd w:val="clear" w:color="auto" w:fill="auto"/>
          </w:tcPr>
          <w:p w14:paraId="28E427F8" w14:textId="6A6DA82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12.</w:t>
            </w:r>
          </w:p>
        </w:tc>
        <w:tc>
          <w:tcPr>
            <w:tcW w:w="169" w:type="pct"/>
            <w:tcBorders>
              <w:top w:val="single" w:sz="4" w:space="0" w:color="auto"/>
              <w:left w:val="single" w:sz="4" w:space="0" w:color="auto"/>
              <w:right w:val="single" w:sz="4" w:space="0" w:color="auto"/>
            </w:tcBorders>
            <w:shd w:val="clear" w:color="auto" w:fill="auto"/>
          </w:tcPr>
          <w:p w14:paraId="53DE160E" w14:textId="0BD8A3D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06FCECA" w14:textId="77777777" w:rsidR="000B4BD4" w:rsidRPr="0035187E" w:rsidRDefault="000B4BD4" w:rsidP="0035187E">
            <w:pPr>
              <w:jc w:val="both"/>
              <w:rPr>
                <w:rFonts w:ascii="Times New Roman" w:hAnsi="Times New Roman" w:cs="Times New Roman"/>
                <w:bCs/>
                <w:sz w:val="20"/>
                <w:szCs w:val="20"/>
                <w:u w:val="single"/>
              </w:rPr>
            </w:pPr>
            <w:r w:rsidRPr="0035187E">
              <w:rPr>
                <w:rFonts w:ascii="Times New Roman" w:hAnsi="Times New Roman" w:cs="Times New Roman"/>
                <w:b/>
                <w:sz w:val="20"/>
                <w:szCs w:val="20"/>
                <w:u w:val="single"/>
              </w:rPr>
              <w:t>12) K podstatě předkládaného návrhu</w:t>
            </w:r>
            <w:r w:rsidRPr="0035187E">
              <w:rPr>
                <w:rFonts w:ascii="Times New Roman" w:hAnsi="Times New Roman" w:cs="Times New Roman"/>
                <w:bCs/>
                <w:sz w:val="20"/>
                <w:szCs w:val="20"/>
                <w:u w:val="single"/>
              </w:rPr>
              <w:t>:</w:t>
            </w:r>
          </w:p>
          <w:p w14:paraId="2C5CE710" w14:textId="77777777" w:rsidR="000B4BD4" w:rsidRPr="0035187E" w:rsidRDefault="000B4BD4" w:rsidP="0035187E">
            <w:pPr>
              <w:jc w:val="both"/>
              <w:rPr>
                <w:rFonts w:ascii="Times New Roman" w:hAnsi="Times New Roman" w:cs="Times New Roman"/>
                <w:bCs/>
                <w:sz w:val="20"/>
                <w:szCs w:val="20"/>
                <w:u w:val="single"/>
              </w:rPr>
            </w:pPr>
          </w:p>
          <w:p w14:paraId="031915D3" w14:textId="7777777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u w:val="single"/>
              </w:rPr>
              <w:t>Cíl:</w:t>
            </w:r>
            <w:r w:rsidRPr="0035187E">
              <w:rPr>
                <w:rFonts w:ascii="Times New Roman" w:hAnsi="Times New Roman" w:cs="Times New Roman"/>
                <w:bCs/>
                <w:sz w:val="20"/>
                <w:szCs w:val="20"/>
              </w:rPr>
              <w:t xml:space="preserve"> Umožnění poskytování zdravotních benefitů jako daňově osvobozeného zaměstnaneckého plnění bez hodnotového limitu a zároveň umožnit dobrovolné čerpání části mzdy zaměstnance na tyto benefity do výše jedné průměrné měsíční mzdy ročně, čímž se podporuje prevence, flexibilní financování péče o zdraví a snížení administrativní zátěže zaměstnavatelů.</w:t>
            </w:r>
          </w:p>
          <w:p w14:paraId="7466FE4A" w14:textId="77777777" w:rsidR="000B4BD4" w:rsidRPr="0035187E" w:rsidRDefault="000B4BD4" w:rsidP="0035187E">
            <w:pPr>
              <w:jc w:val="both"/>
              <w:rPr>
                <w:rFonts w:ascii="Times New Roman" w:eastAsia="Calibri" w:hAnsi="Times New Roman" w:cs="Times New Roman"/>
                <w:sz w:val="20"/>
                <w:szCs w:val="20"/>
                <w:lang w:eastAsia="en-US"/>
              </w:rPr>
            </w:pPr>
          </w:p>
          <w:p w14:paraId="2E365765"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u w:val="single"/>
                <w:lang w:eastAsia="en-US"/>
              </w:rPr>
              <w:t>Odůvodnění:</w:t>
            </w:r>
            <w:r w:rsidRPr="0035187E">
              <w:rPr>
                <w:rFonts w:ascii="Times New Roman" w:eastAsia="Calibri" w:hAnsi="Times New Roman" w:cs="Times New Roman"/>
                <w:sz w:val="20"/>
                <w:szCs w:val="20"/>
                <w:lang w:eastAsia="en-US"/>
              </w:rPr>
              <w:t xml:space="preserve"> Navrhujeme, aby zdravotní benefity byly poskytovány jako osvobozený zaměstnanecký benefit bez hodnotového limitu, a současně bylo do limitu jedné průměrné měsíční mzdy za rok umožněno převádět mzdu nebo plat do zdravotních benefitů, které by byly osvobozeny od daně z příjmů fyzických osob.</w:t>
            </w:r>
          </w:p>
          <w:p w14:paraId="75C3877E" w14:textId="77777777" w:rsidR="000B4BD4" w:rsidRPr="0035187E" w:rsidRDefault="000B4BD4" w:rsidP="0035187E">
            <w:pPr>
              <w:jc w:val="both"/>
              <w:rPr>
                <w:rFonts w:ascii="Times New Roman" w:eastAsia="Calibri" w:hAnsi="Times New Roman" w:cs="Times New Roman"/>
                <w:sz w:val="20"/>
                <w:szCs w:val="20"/>
                <w:lang w:eastAsia="en-US"/>
              </w:rPr>
            </w:pPr>
          </w:p>
          <w:p w14:paraId="6931E9C0"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Návrh legislativní úpravy:</w:t>
            </w:r>
          </w:p>
          <w:p w14:paraId="3AE16A0E" w14:textId="77777777" w:rsidR="000B4BD4" w:rsidRPr="0035187E" w:rsidRDefault="000B4BD4" w:rsidP="0035187E">
            <w:pPr>
              <w:jc w:val="both"/>
              <w:rPr>
                <w:rFonts w:ascii="Times New Roman" w:eastAsia="Calibri" w:hAnsi="Times New Roman" w:cs="Times New Roman"/>
                <w:sz w:val="20"/>
                <w:szCs w:val="20"/>
                <w:lang w:eastAsia="en-US"/>
              </w:rPr>
            </w:pPr>
          </w:p>
          <w:p w14:paraId="74AE65DD" w14:textId="77777777" w:rsidR="000B4BD4" w:rsidRPr="0035187E" w:rsidRDefault="000B4BD4" w:rsidP="0035187E">
            <w:pPr>
              <w:numPr>
                <w:ilvl w:val="0"/>
                <w:numId w:val="29"/>
              </w:num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6</w:t>
            </w:r>
          </w:p>
          <w:p w14:paraId="6186B3C3" w14:textId="77777777" w:rsidR="000B4BD4" w:rsidRPr="0035187E" w:rsidRDefault="000B4BD4" w:rsidP="0035187E">
            <w:pPr>
              <w:jc w:val="both"/>
              <w:rPr>
                <w:rFonts w:ascii="Times New Roman" w:eastAsia="Calibri" w:hAnsi="Times New Roman" w:cs="Times New Roman"/>
                <w:b/>
                <w:sz w:val="20"/>
                <w:szCs w:val="20"/>
                <w:lang w:eastAsia="en-US"/>
              </w:rPr>
            </w:pPr>
            <w:r w:rsidRPr="0035187E">
              <w:rPr>
                <w:rFonts w:ascii="Times New Roman" w:eastAsia="Calibri" w:hAnsi="Times New Roman" w:cs="Times New Roman"/>
                <w:b/>
                <w:sz w:val="20"/>
                <w:szCs w:val="20"/>
                <w:lang w:eastAsia="en-US"/>
              </w:rPr>
              <w:t>Příjmy ze závislé činnosti</w:t>
            </w:r>
          </w:p>
          <w:p w14:paraId="07AB3003"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(9) Od daně jsou, kromě příjmů uvedených v § 4, dále osvobozeny</w:t>
            </w:r>
          </w:p>
          <w:p w14:paraId="4D5D9358"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d) nepeněžní plnění</w:t>
            </w:r>
            <w:r w:rsidRPr="0035187E">
              <w:rPr>
                <w:rFonts w:ascii="Times New Roman" w:eastAsia="Calibri" w:hAnsi="Times New Roman" w:cs="Times New Roman"/>
                <w:b/>
                <w:bCs/>
                <w:sz w:val="20"/>
                <w:szCs w:val="20"/>
                <w:lang w:eastAsia="en-US"/>
              </w:rPr>
              <w:t>, která nejsou mzdou, platem, odměnou ani náhradou za ušlý příjem,</w:t>
            </w:r>
            <w:r w:rsidRPr="0035187E">
              <w:rPr>
                <w:rFonts w:ascii="Times New Roman" w:eastAsia="Calibri" w:hAnsi="Times New Roman" w:cs="Times New Roman"/>
                <w:sz w:val="20"/>
                <w:szCs w:val="20"/>
                <w:lang w:eastAsia="en-US"/>
              </w:rPr>
              <w:t xml:space="preserve"> poskytovaná zaměstnavatelem zaměstnanci nebo jeho rodinnému příslušníkovi z fondu kulturních a sociálních potřeb, ze sociálního fondu, ze zisku (příjmu) po jeho zdanění anebo na vrub výdajů (nákladů), které nejsou výdaji (náklady) na dosažení, zajištění a udržení příjmů, ve formě:</w:t>
            </w:r>
          </w:p>
          <w:p w14:paraId="19EA6FE9" w14:textId="77777777" w:rsidR="000B4BD4" w:rsidRPr="0035187E" w:rsidRDefault="000B4BD4" w:rsidP="0035187E">
            <w:pPr>
              <w:jc w:val="both"/>
              <w:rPr>
                <w:rFonts w:ascii="Times New Roman" w:eastAsia="Calibri" w:hAnsi="Times New Roman" w:cs="Times New Roman"/>
                <w:sz w:val="20"/>
                <w:szCs w:val="20"/>
                <w:lang w:eastAsia="en-US"/>
              </w:rPr>
            </w:pPr>
          </w:p>
          <w:p w14:paraId="51D4086C" w14:textId="77777777" w:rsidR="000B4BD4" w:rsidRPr="0035187E" w:rsidRDefault="000B4BD4" w:rsidP="0035187E">
            <w:pPr>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sz w:val="20"/>
                <w:szCs w:val="20"/>
                <w:lang w:eastAsia="en-US"/>
              </w:rPr>
              <w:t xml:space="preserve">1. pořízení zboží nebo služeb zdravotního, léčebného, hygienického a obdobného charakteru od zdravotnických zařízení nebo pořízení zdravotnických prostředků na lékařský předpis; </w:t>
            </w:r>
            <w:r w:rsidRPr="0035187E">
              <w:rPr>
                <w:rFonts w:ascii="Times New Roman" w:eastAsia="Calibri" w:hAnsi="Times New Roman" w:cs="Times New Roman"/>
                <w:b/>
                <w:bCs/>
                <w:sz w:val="20"/>
                <w:szCs w:val="20"/>
                <w:lang w:eastAsia="en-US"/>
              </w:rPr>
              <w:t>tato plnění jsou osvobozena v úhrnu do výše průměrné mzdy za zdaňovací období, pokud jsou poskytována jako součást mzdy, platu nebo odměny; jsou-li poskytována jinak než jako mzda, plat, odměna nebo náhrada za ušlý příjem, může být jejich osvobození uplatněno i nad tuto výši, tato plnění jsou osvobozena v úhrnu do výše průměrné mzdy za zdaňovací období,</w:t>
            </w:r>
          </w:p>
          <w:p w14:paraId="4E53FBB6" w14:textId="77777777" w:rsidR="000B4BD4" w:rsidRPr="0035187E" w:rsidRDefault="000B4BD4" w:rsidP="0035187E">
            <w:pPr>
              <w:jc w:val="both"/>
              <w:rPr>
                <w:rFonts w:ascii="Times New Roman" w:eastAsia="Calibri" w:hAnsi="Times New Roman" w:cs="Times New Roman"/>
                <w:b/>
                <w:bCs/>
                <w:sz w:val="20"/>
                <w:szCs w:val="20"/>
                <w:lang w:eastAsia="en-US"/>
              </w:rPr>
            </w:pPr>
          </w:p>
          <w:p w14:paraId="06EC6537"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2. použití vzdělávacích nebo rekreačních zařízení, poskytnutí rekreace nebo zájezdu, použití zařízení péče o děti předškolního věku včetně mateřské školy podle školského </w:t>
            </w:r>
            <w:r w:rsidRPr="0035187E">
              <w:rPr>
                <w:rFonts w:ascii="Times New Roman" w:eastAsia="Calibri" w:hAnsi="Times New Roman" w:cs="Times New Roman"/>
                <w:sz w:val="20"/>
                <w:szCs w:val="20"/>
                <w:lang w:eastAsia="en-US"/>
              </w:rPr>
              <w:lastRenderedPageBreak/>
              <w:t>zákona, knihovny zaměstnavatele nebo tělovýchovných a sportovních zařízení</w:t>
            </w:r>
            <w:r w:rsidRPr="0035187E">
              <w:rPr>
                <w:rFonts w:ascii="Times New Roman" w:eastAsia="Calibri" w:hAnsi="Times New Roman" w:cs="Times New Roman"/>
                <w:b/>
                <w:bCs/>
                <w:sz w:val="20"/>
                <w:szCs w:val="20"/>
                <w:lang w:eastAsia="en-US"/>
              </w:rPr>
              <w:t>, účasti  na společenské akci, včetně té s kulturním nebo sportovním prvkem, pořádané zaměstnavatelem pro omezený okruh účastníků</w:t>
            </w:r>
            <w:r w:rsidRPr="0035187E">
              <w:rPr>
                <w:rFonts w:ascii="Times New Roman" w:eastAsia="Calibri" w:hAnsi="Times New Roman" w:cs="Times New Roman"/>
                <w:sz w:val="20"/>
                <w:szCs w:val="20"/>
                <w:lang w:eastAsia="en-US"/>
              </w:rPr>
              <w:t xml:space="preserve"> nebo poskytnutí příspěvku na kulturní nebo sportovní akce nebo příspěvku na tištěné knihy, včetně obrázkových knih pro děti, mimo knih, ve kterých reklama přesahuje 50 % plochy; tato plnění jsou osvobozena v úhrnu do výše poloviny průměrné mzdy za zdaňovací období</w:t>
            </w:r>
            <w:r w:rsidRPr="0035187E">
              <w:rPr>
                <w:rFonts w:ascii="Times New Roman" w:eastAsia="Calibri" w:hAnsi="Times New Roman" w:cs="Times New Roman"/>
                <w:b/>
                <w:bCs/>
                <w:sz w:val="20"/>
                <w:szCs w:val="20"/>
                <w:lang w:eastAsia="en-US"/>
              </w:rPr>
              <w:t xml:space="preserve"> plnění ve formě účasti  na společenské akci, včetně té s kulturním nebo sportovním prvkem, pořádané zaměstnavatelem pro omezený okruh účastníků</w:t>
            </w:r>
            <w:r w:rsidRPr="0035187E">
              <w:rPr>
                <w:rFonts w:ascii="Times New Roman" w:eastAsia="Calibri" w:hAnsi="Times New Roman" w:cs="Times New Roman"/>
                <w:sz w:val="20"/>
                <w:szCs w:val="20"/>
                <w:lang w:eastAsia="en-US"/>
              </w:rPr>
              <w:t xml:space="preserve"> </w:t>
            </w:r>
            <w:r w:rsidRPr="0035187E">
              <w:rPr>
                <w:rFonts w:ascii="Times New Roman" w:eastAsia="Calibri" w:hAnsi="Times New Roman" w:cs="Times New Roman"/>
                <w:b/>
                <w:bCs/>
                <w:sz w:val="20"/>
                <w:szCs w:val="20"/>
                <w:lang w:eastAsia="en-US"/>
              </w:rPr>
              <w:t>nebo poskytnutí příspěvku na kulturní nebo sportovní akce jsou osvobozena pouze tehdy, pokud vzhledem k jejich povaze je jejich poskytování zaměstnavateli obvyklé a jejich forma a rozsah jsou přiměřené</w:t>
            </w:r>
            <w:r w:rsidRPr="0035187E">
              <w:rPr>
                <w:rFonts w:ascii="Times New Roman" w:eastAsia="Calibri" w:hAnsi="Times New Roman" w:cs="Times New Roman"/>
                <w:sz w:val="20"/>
                <w:szCs w:val="20"/>
                <w:lang w:eastAsia="en-US"/>
              </w:rPr>
              <w:t>,</w:t>
            </w:r>
          </w:p>
          <w:p w14:paraId="35F39844" w14:textId="77777777" w:rsidR="000B4BD4" w:rsidRPr="0035187E" w:rsidRDefault="000B4BD4" w:rsidP="0035187E">
            <w:pPr>
              <w:jc w:val="both"/>
              <w:rPr>
                <w:rFonts w:ascii="Times New Roman" w:eastAsia="Calibri" w:hAnsi="Times New Roman" w:cs="Times New Roman"/>
                <w:sz w:val="20"/>
                <w:szCs w:val="20"/>
                <w:lang w:eastAsia="en-US"/>
              </w:rPr>
            </w:pPr>
          </w:p>
          <w:p w14:paraId="5D2545C3" w14:textId="77777777" w:rsidR="000B4BD4" w:rsidRPr="0035187E" w:rsidRDefault="000B4BD4" w:rsidP="0035187E">
            <w:pPr>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3. poskytnutí rekreace nebo zájezdu; tato plnění jsou osvobozena v úhrnu do výše 20 000 Kč za zdaňovací období,</w:t>
            </w:r>
          </w:p>
          <w:p w14:paraId="79F23A9B" w14:textId="77777777" w:rsidR="000B4BD4" w:rsidRPr="0035187E" w:rsidRDefault="000B4BD4" w:rsidP="0035187E">
            <w:pPr>
              <w:jc w:val="both"/>
              <w:rPr>
                <w:rFonts w:ascii="Times New Roman" w:eastAsia="Calibri" w:hAnsi="Times New Roman" w:cs="Times New Roman"/>
                <w:b/>
                <w:bCs/>
                <w:sz w:val="20"/>
                <w:szCs w:val="20"/>
                <w:lang w:eastAsia="en-US"/>
              </w:rPr>
            </w:pPr>
          </w:p>
          <w:p w14:paraId="5CBF344F" w14:textId="77777777" w:rsidR="000B4BD4" w:rsidRPr="0035187E" w:rsidRDefault="000B4BD4" w:rsidP="0035187E">
            <w:pPr>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4. poskytnutí příspěvku na osobní asistenci, pečovatelskou službu, tísňovou péči, odlehčovací službu, ranou péči nebo službu centra denních služeb nebo denního stacionáře, pokud jsou poskytovány jako služby komunitního charakteru a na základě oprávnění podle zákona upravujícího sociální služby,</w:t>
            </w:r>
          </w:p>
          <w:p w14:paraId="2E469909" w14:textId="77777777" w:rsidR="000B4BD4" w:rsidRPr="0035187E" w:rsidRDefault="000B4BD4" w:rsidP="0035187E">
            <w:pPr>
              <w:jc w:val="both"/>
              <w:rPr>
                <w:rFonts w:ascii="Times New Roman" w:eastAsia="Calibri" w:hAnsi="Times New Roman" w:cs="Times New Roman"/>
                <w:b/>
                <w:bCs/>
                <w:sz w:val="20"/>
                <w:szCs w:val="20"/>
                <w:lang w:eastAsia="en-US"/>
              </w:rPr>
            </w:pPr>
          </w:p>
          <w:p w14:paraId="6569BC0B" w14:textId="77777777" w:rsidR="000B4BD4" w:rsidRPr="0035187E" w:rsidRDefault="000B4BD4" w:rsidP="0035187E">
            <w:pPr>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Plnění podle bodů 2 až 4 jsou osvobozena pouze tehdy, pokud nejsou poskytována jako mzda, plat, odměna ani náhrada za ušlý příjem.</w:t>
            </w:r>
          </w:p>
          <w:p w14:paraId="245FE0AB" w14:textId="77777777" w:rsidR="000B4BD4" w:rsidRPr="0035187E" w:rsidRDefault="000B4BD4" w:rsidP="0035187E">
            <w:pPr>
              <w:jc w:val="both"/>
              <w:rPr>
                <w:rFonts w:ascii="Times New Roman" w:eastAsia="Calibri" w:hAnsi="Times New Roman" w:cs="Times New Roman"/>
                <w:sz w:val="20"/>
                <w:szCs w:val="20"/>
                <w:lang w:eastAsia="en-US"/>
              </w:rPr>
            </w:pPr>
          </w:p>
          <w:p w14:paraId="0D3ABE77"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Navrhujeme, aby vedle zrušení limitu u zdravotních benefitů vznikla možnost jejich financování z mezd, způsobem, který je obdobný tomu, který byl možný před 1. 1. 2026. Nově by však tato možnost existovala pouze v omezené míře a byla </w:t>
            </w:r>
            <w:proofErr w:type="spellStart"/>
            <w:r w:rsidRPr="0035187E">
              <w:rPr>
                <w:rFonts w:ascii="Times New Roman" w:eastAsia="Calibri" w:hAnsi="Times New Roman" w:cs="Times New Roman"/>
                <w:sz w:val="20"/>
                <w:szCs w:val="20"/>
                <w:lang w:eastAsia="en-US"/>
              </w:rPr>
              <w:t>zastropována</w:t>
            </w:r>
            <w:proofErr w:type="spellEnd"/>
            <w:r w:rsidRPr="0035187E">
              <w:rPr>
                <w:rFonts w:ascii="Times New Roman" w:eastAsia="Calibri" w:hAnsi="Times New Roman" w:cs="Times New Roman"/>
                <w:sz w:val="20"/>
                <w:szCs w:val="20"/>
                <w:lang w:eastAsia="en-US"/>
              </w:rPr>
              <w:t xml:space="preserve"> výší jedné průměrné mzdy ročně. Zaměstnanec by se mohl dobrovolně vzdát části své peněžní mzdy, platu nebo bonusu ve prospěch nepeněžního zdravotního benefitu, který by byl za splnění zákonných podmínek osvobozen od daně z příjmů. Limit by zároveň představoval garanci, že nedojde ke zneužívání této možnosti jako náhrady za mzdu nebo její navýšení.  </w:t>
            </w:r>
          </w:p>
          <w:p w14:paraId="21A99381" w14:textId="77777777" w:rsidR="000B4BD4" w:rsidRPr="0035187E" w:rsidRDefault="000B4BD4" w:rsidP="0035187E">
            <w:pPr>
              <w:jc w:val="both"/>
              <w:rPr>
                <w:rFonts w:ascii="Times New Roman" w:eastAsia="Calibri" w:hAnsi="Times New Roman" w:cs="Times New Roman"/>
                <w:sz w:val="20"/>
                <w:szCs w:val="20"/>
                <w:lang w:eastAsia="en-US"/>
              </w:rPr>
            </w:pPr>
          </w:p>
          <w:p w14:paraId="018C7F27"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Navrhovaná úprava reflektuje potřebu flexibility při financování péče o zdraví zaměstnanců. Současná praxe ukazuje, že mnoho zákroků (např. v zubní oblasti jako rovnátka nebo zubní implantáty, případně plně nehrazené zdravotní prostředky či služby), není předem </w:t>
            </w:r>
            <w:proofErr w:type="spellStart"/>
            <w:r w:rsidRPr="0035187E">
              <w:rPr>
                <w:rFonts w:ascii="Times New Roman" w:eastAsia="Calibri" w:hAnsi="Times New Roman" w:cs="Times New Roman"/>
                <w:sz w:val="20"/>
                <w:szCs w:val="20"/>
                <w:lang w:eastAsia="en-US"/>
              </w:rPr>
              <w:t>naplánovatelných</w:t>
            </w:r>
            <w:proofErr w:type="spellEnd"/>
            <w:r w:rsidRPr="0035187E">
              <w:rPr>
                <w:rFonts w:ascii="Times New Roman" w:eastAsia="Calibri" w:hAnsi="Times New Roman" w:cs="Times New Roman"/>
                <w:sz w:val="20"/>
                <w:szCs w:val="20"/>
                <w:lang w:eastAsia="en-US"/>
              </w:rPr>
              <w:t xml:space="preserve"> a zaměstnanec na ně potřebuje prostředky v konkrétním čase a případě. Proto by měla být zaměstnancům a zaměstnavatelům dána možnost dohodnout se, že část jejich finanční odměny, mzdy nebo platu bude nahrazena daňově zvýhodněným zdravotním benefitem. Tento nástroj umožní zaměstnancům řešit zdravotní potíže bez odkladu, což nejen zvyšuje jejich pracovní schopnost, ale v konečném důsledku generuje úspory v systému veřejného zdravotního pojištění díky preferenci včasné prevence a léčby. </w:t>
            </w:r>
          </w:p>
          <w:p w14:paraId="05F6B2FE" w14:textId="77777777" w:rsidR="000B4BD4" w:rsidRPr="0035187E" w:rsidRDefault="000B4BD4" w:rsidP="0035187E">
            <w:pPr>
              <w:jc w:val="both"/>
              <w:rPr>
                <w:rFonts w:ascii="Times New Roman" w:eastAsia="Calibri" w:hAnsi="Times New Roman" w:cs="Times New Roman"/>
                <w:sz w:val="20"/>
                <w:szCs w:val="20"/>
                <w:lang w:eastAsia="en-US"/>
              </w:rPr>
            </w:pPr>
          </w:p>
          <w:p w14:paraId="643D7A1D"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lastRenderedPageBreak/>
              <w:t>Nástroj de facto představuje umožnění dobrovolné spoluúčasti zaměstnance na financování vlastního zdraví prostřednictvím daňově zvýhodněného režimu. To reflektuje dlouhodobý cíl dostat do zdravotnictví více soukromých prostředků v situaci, kdy jsou prostředky ve veřejném zdravotním pojištění na dlouhodobě špatné úrovni. Současně se jedná o formu sdílené odpovědnosti – zaměstnanec se vědomě vzdává části své mzdy ve prospěch zdravotního plnění. Nejde tedy o jednostranné zvýhodnění.</w:t>
            </w:r>
          </w:p>
          <w:p w14:paraId="25828695" w14:textId="77777777" w:rsidR="000B4BD4" w:rsidRPr="0035187E" w:rsidRDefault="000B4BD4" w:rsidP="0035187E">
            <w:pPr>
              <w:jc w:val="both"/>
              <w:rPr>
                <w:rFonts w:ascii="Times New Roman" w:eastAsia="Calibri" w:hAnsi="Times New Roman" w:cs="Times New Roman"/>
                <w:sz w:val="20"/>
                <w:szCs w:val="20"/>
                <w:lang w:eastAsia="en-US"/>
              </w:rPr>
            </w:pPr>
          </w:p>
          <w:p w14:paraId="1B71C6C4"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Stanovený limit zároveň minimalizuje riziko fiskálních dopadů a systémového zneužívání. Přeměna části mzdy na osvobozený benefit sice představuje nižší inkaso daně z příjmů a pojistného, avšak jedná se také o daňově neuznatelný náklad na straně zaměstnavatele, což tento výpadek částečně kompenzuje. Zároveň však opatření má sloužit k nižší nemocnosti a čerpání zdravotní péče, čímž by z dlouhodobého hlediska mělo dojít i ke snížení tlaku na výdaje z veřejného zdravotního pojištění. </w:t>
            </w:r>
          </w:p>
          <w:p w14:paraId="76E30F5D" w14:textId="77777777" w:rsidR="000B4BD4" w:rsidRPr="0035187E" w:rsidRDefault="000B4BD4" w:rsidP="0035187E">
            <w:pPr>
              <w:jc w:val="both"/>
              <w:rPr>
                <w:rFonts w:ascii="Times New Roman" w:eastAsia="Calibri" w:hAnsi="Times New Roman" w:cs="Times New Roman"/>
                <w:sz w:val="20"/>
                <w:szCs w:val="20"/>
                <w:lang w:eastAsia="en-US"/>
              </w:rPr>
            </w:pPr>
          </w:p>
          <w:p w14:paraId="0A010370" w14:textId="65EFBC1A" w:rsidR="000B4BD4" w:rsidRPr="0035187E" w:rsidRDefault="000B4BD4" w:rsidP="0035187E">
            <w:pPr>
              <w:jc w:val="both"/>
              <w:rPr>
                <w:rFonts w:ascii="Times New Roman" w:hAnsi="Times New Roman" w:cs="Times New Roman"/>
                <w:sz w:val="20"/>
                <w:szCs w:val="20"/>
                <w:lang w:eastAsia="ar-SA"/>
              </w:rPr>
            </w:pPr>
            <w:r w:rsidRPr="0035187E">
              <w:rPr>
                <w:rFonts w:ascii="Times New Roman" w:eastAsia="Calibri" w:hAnsi="Times New Roman" w:cs="Times New Roman"/>
                <w:b/>
                <w:bCs/>
                <w:sz w:val="20"/>
                <w:szCs w:val="20"/>
                <w:lang w:eastAsia="en-US"/>
              </w:rPr>
              <w:t>Tato připomínka je zásadní.</w:t>
            </w:r>
          </w:p>
        </w:tc>
        <w:tc>
          <w:tcPr>
            <w:tcW w:w="1453" w:type="pct"/>
            <w:tcBorders>
              <w:top w:val="single" w:sz="4" w:space="0" w:color="auto"/>
              <w:left w:val="single" w:sz="4" w:space="0" w:color="auto"/>
              <w:right w:val="single" w:sz="4" w:space="0" w:color="auto"/>
            </w:tcBorders>
            <w:shd w:val="clear" w:color="auto" w:fill="auto"/>
          </w:tcPr>
          <w:p w14:paraId="41F74472" w14:textId="77777777" w:rsidR="0021550B" w:rsidRPr="0035187E" w:rsidRDefault="0021550B"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Nevyhověno.</w:t>
            </w:r>
          </w:p>
          <w:p w14:paraId="460997F0" w14:textId="77777777" w:rsidR="0021550B" w:rsidRPr="0035187E" w:rsidRDefault="0021550B" w:rsidP="0035187E">
            <w:pPr>
              <w:jc w:val="both"/>
              <w:rPr>
                <w:rFonts w:ascii="Times New Roman" w:hAnsi="Times New Roman" w:cs="Times New Roman"/>
                <w:sz w:val="20"/>
                <w:szCs w:val="20"/>
              </w:rPr>
            </w:pPr>
            <w:r w:rsidRPr="0035187E">
              <w:rPr>
                <w:rFonts w:ascii="Times New Roman" w:hAnsi="Times New Roman" w:cs="Times New Roman"/>
                <w:sz w:val="20"/>
                <w:szCs w:val="20"/>
              </w:rPr>
              <w:t>Podnět přesahuje rámec navrhované úpravy zákona o evidenci tržeb.</w:t>
            </w:r>
          </w:p>
          <w:p w14:paraId="7916B9CF" w14:textId="77777777" w:rsidR="0021550B" w:rsidRPr="0035187E" w:rsidRDefault="0021550B"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Zavedení možnosti převodu části mzdy by vedlo k úbytku daňových příjmů a současně by zvýšilo administrativní náročnost pro zaměstnavatele a správce daně. </w:t>
            </w:r>
          </w:p>
          <w:p w14:paraId="77E3426A" w14:textId="77777777" w:rsidR="0021550B" w:rsidRPr="0035187E" w:rsidRDefault="0021550B"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Tento mechanismus přináší riziko nerovnosti mezi zaměstnanci. Zaměstnanci s vyššími příjmy mohou převést větší část mzdy a získat výraznější daňovou úlevu než zaměstnanci s nižšími mzdami, kteří si podobný převod nemohou dovolit. To vytváří nerovnoměrné odměňování a nespravedlivou výhodu pro některé pracovníky. Zaměstnanci s nižšími příjmy mohou zároveň cítit tlak převést část mzdy, aby „nebyli v nevýhodě“ vůči kolegům, což ohrožuje princip dobrovolnosti. </w:t>
            </w:r>
          </w:p>
          <w:p w14:paraId="6477E566" w14:textId="77777777" w:rsidR="0021550B" w:rsidRPr="0035187E" w:rsidRDefault="0021550B"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Dalším rizikem je, že zaměstnavatelé by mohli systém využít ke snížení nákladů práce. Dobrovolným převodem části mzdy do benefitů by se totiž snížila tzv. hrubá mzda zaměstnanců, což by mohlo vést k jednostrannému přesunu části mzdových nákladů na zaměstnance. </w:t>
            </w:r>
          </w:p>
          <w:p w14:paraId="66A874DC" w14:textId="77777777" w:rsidR="0021550B" w:rsidRPr="0035187E" w:rsidRDefault="0021550B"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Dále je třeba vzít do úvahy ustanovení § 109 zákoníku práce, který stanoví, že za vykonanou práci přísluší zaměstnanci mzda, plat nebo odměna z dohody za podmínek stanovených tímto zákonem, pokud nestanoví zákoník práce či jiný zvláštní právní předpis jinak. Tato plnění podléhají nejen zdanění daní ze závislé činnosti v souladu s ustanovením § 6 odst. 1 zákona o daních z příjmů, ale i odvodům na sociální a zdravotní pojištění. Oproti tomu jsou jako zaměstnanecké benefity v praxi obvykle označována plnění poskytovaná zaměstnavatelem nad rámec </w:t>
            </w:r>
            <w:r w:rsidRPr="0035187E">
              <w:rPr>
                <w:rFonts w:ascii="Times New Roman" w:hAnsi="Times New Roman" w:cs="Times New Roman"/>
                <w:sz w:val="20"/>
                <w:szCs w:val="20"/>
              </w:rPr>
              <w:lastRenderedPageBreak/>
              <w:t>běžné mzdy, platu či odměn z dohod o pracích konaných mimo pracovní poměr, přičemž jejich poskytnutí nesouvisí s vykonanou prací zaměstnance, tzn., že se jedná o nenárokovou složku.</w:t>
            </w:r>
            <w:r w:rsidRPr="0035187E">
              <w:rPr>
                <w:rFonts w:ascii="Times New Roman" w:hAnsi="Times New Roman" w:cs="Times New Roman"/>
                <w:sz w:val="20"/>
                <w:szCs w:val="20"/>
                <w:lang w:eastAsia="en-US"/>
              </w:rPr>
              <w:t xml:space="preserve"> </w:t>
            </w:r>
            <w:r w:rsidRPr="0035187E">
              <w:rPr>
                <w:rFonts w:ascii="Times New Roman" w:hAnsi="Times New Roman" w:cs="Times New Roman"/>
                <w:sz w:val="20"/>
                <w:szCs w:val="20"/>
              </w:rPr>
              <w:t xml:space="preserve">Ve výsledku, pokud by, jak se uvádí v návrhu, se zaměstnanec dobrovolně vzdal části své peněžní mzdy, mělo by to dopad do dalších oblastí, jako je nižší započitatelný příjem pro výpočet nároku na výplatu budoucího důchodu zaměstnance a také nižší částky nemocenského čerpané v případě pracovní neschopnosti.  </w:t>
            </w:r>
          </w:p>
          <w:p w14:paraId="63ED85D3" w14:textId="679810F5" w:rsidR="000B4BD4" w:rsidRPr="0035187E" w:rsidRDefault="0021550B" w:rsidP="0035187E">
            <w:pPr>
              <w:jc w:val="both"/>
              <w:rPr>
                <w:rFonts w:ascii="Times New Roman" w:hAnsi="Times New Roman" w:cs="Times New Roman"/>
                <w:sz w:val="20"/>
                <w:szCs w:val="20"/>
              </w:rPr>
            </w:pPr>
            <w:r w:rsidRPr="0035187E">
              <w:rPr>
                <w:rFonts w:ascii="Times New Roman" w:hAnsi="Times New Roman" w:cs="Times New Roman"/>
                <w:sz w:val="20"/>
                <w:szCs w:val="20"/>
              </w:rPr>
              <w:t>Celkově by tedy návrh mohl vést k nerovnému systému, kde část zaměstnanců získává nesprávnou výhodu a ostatní jsou nepřímo tlačeni k finančním kompromisům, zatímco zaměstnavatelé mohou využít daňově zvýhodněný mechanismus ke snížení svých nákladů. To odporuje principům spravedlivého, dobrovolného a rovného využívání benefitů.</w:t>
            </w:r>
          </w:p>
        </w:tc>
      </w:tr>
      <w:tr w:rsidR="0035187E" w:rsidRPr="0035187E" w14:paraId="09A1F9D4"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2637A51" w14:textId="36542E8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21.</w:t>
            </w:r>
          </w:p>
        </w:tc>
        <w:tc>
          <w:tcPr>
            <w:tcW w:w="583" w:type="pct"/>
            <w:tcBorders>
              <w:top w:val="single" w:sz="4" w:space="0" w:color="auto"/>
              <w:left w:val="single" w:sz="4" w:space="0" w:color="auto"/>
              <w:right w:val="single" w:sz="4" w:space="0" w:color="auto"/>
            </w:tcBorders>
            <w:shd w:val="clear" w:color="auto" w:fill="auto"/>
          </w:tcPr>
          <w:p w14:paraId="5D582754" w14:textId="5689E7E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Asociace malých a středních podniků a živnostníků ČR</w:t>
            </w:r>
          </w:p>
        </w:tc>
        <w:tc>
          <w:tcPr>
            <w:tcW w:w="168" w:type="pct"/>
            <w:tcBorders>
              <w:top w:val="single" w:sz="4" w:space="0" w:color="auto"/>
              <w:left w:val="single" w:sz="4" w:space="0" w:color="auto"/>
              <w:right w:val="single" w:sz="4" w:space="0" w:color="auto"/>
            </w:tcBorders>
            <w:shd w:val="clear" w:color="auto" w:fill="auto"/>
          </w:tcPr>
          <w:p w14:paraId="19E99A4F" w14:textId="7A23B19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13.</w:t>
            </w:r>
          </w:p>
        </w:tc>
        <w:tc>
          <w:tcPr>
            <w:tcW w:w="169" w:type="pct"/>
            <w:tcBorders>
              <w:top w:val="single" w:sz="4" w:space="0" w:color="auto"/>
              <w:left w:val="single" w:sz="4" w:space="0" w:color="auto"/>
              <w:right w:val="single" w:sz="4" w:space="0" w:color="auto"/>
            </w:tcBorders>
            <w:shd w:val="clear" w:color="auto" w:fill="auto"/>
          </w:tcPr>
          <w:p w14:paraId="31D1858B" w14:textId="4661F31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FEB058F" w14:textId="77777777" w:rsidR="000B4BD4" w:rsidRPr="0035187E" w:rsidRDefault="000B4BD4" w:rsidP="0035187E">
            <w:pPr>
              <w:jc w:val="both"/>
              <w:rPr>
                <w:rFonts w:ascii="Times New Roman" w:hAnsi="Times New Roman" w:cs="Times New Roman"/>
                <w:bCs/>
                <w:sz w:val="20"/>
                <w:szCs w:val="20"/>
                <w:u w:val="single"/>
              </w:rPr>
            </w:pPr>
            <w:r w:rsidRPr="0035187E">
              <w:rPr>
                <w:rFonts w:ascii="Times New Roman" w:hAnsi="Times New Roman" w:cs="Times New Roman"/>
                <w:b/>
                <w:sz w:val="20"/>
                <w:szCs w:val="20"/>
                <w:u w:val="single"/>
              </w:rPr>
              <w:t>13) K podstatě předkládaného návrhu</w:t>
            </w:r>
            <w:r w:rsidRPr="0035187E">
              <w:rPr>
                <w:rFonts w:ascii="Times New Roman" w:hAnsi="Times New Roman" w:cs="Times New Roman"/>
                <w:bCs/>
                <w:sz w:val="20"/>
                <w:szCs w:val="20"/>
                <w:u w:val="single"/>
              </w:rPr>
              <w:t>:</w:t>
            </w:r>
          </w:p>
          <w:p w14:paraId="16410469" w14:textId="77777777" w:rsidR="000B4BD4" w:rsidRPr="0035187E" w:rsidRDefault="000B4BD4" w:rsidP="0035187E">
            <w:pPr>
              <w:jc w:val="both"/>
              <w:rPr>
                <w:rFonts w:ascii="Times New Roman" w:hAnsi="Times New Roman" w:cs="Times New Roman"/>
                <w:bCs/>
                <w:sz w:val="20"/>
                <w:szCs w:val="20"/>
                <w:u w:val="single"/>
              </w:rPr>
            </w:pPr>
          </w:p>
          <w:p w14:paraId="5752F23B" w14:textId="7777777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u w:val="single"/>
              </w:rPr>
              <w:t>Cíl:</w:t>
            </w:r>
            <w:r w:rsidRPr="0035187E">
              <w:rPr>
                <w:rFonts w:ascii="Times New Roman" w:hAnsi="Times New Roman" w:cs="Times New Roman"/>
                <w:bCs/>
                <w:sz w:val="20"/>
                <w:szCs w:val="20"/>
              </w:rPr>
              <w:t xml:space="preserve"> Zvýšení účelové podpory zaměstnaneckého stravování tím, že nepeněžní formy příspěvku na jídlo (např. závodní stravování, digitální stravenky) budou daňově zvýhodněny až do 100 % horní hranice stravného pro směny trvající 5–12 hodin, čímž se podporuje pravidelné stravování zaměstnanců, snižuje administrativní zátěž, umožňuje využití moderních digitálních nástrojů a zároveň posiluje hospodářský a preventivní zdravotní přínos.</w:t>
            </w:r>
          </w:p>
          <w:p w14:paraId="2423A338" w14:textId="77777777" w:rsidR="000B4BD4" w:rsidRPr="0035187E" w:rsidRDefault="000B4BD4" w:rsidP="0035187E">
            <w:pPr>
              <w:jc w:val="both"/>
              <w:rPr>
                <w:rFonts w:ascii="Times New Roman" w:eastAsia="Calibri" w:hAnsi="Times New Roman" w:cs="Times New Roman"/>
                <w:sz w:val="20"/>
                <w:szCs w:val="20"/>
                <w:lang w:eastAsia="en-US"/>
              </w:rPr>
            </w:pPr>
          </w:p>
          <w:p w14:paraId="06395066" w14:textId="77777777" w:rsidR="000B4BD4" w:rsidRPr="0035187E" w:rsidRDefault="000B4BD4" w:rsidP="0035187E">
            <w:pPr>
              <w:jc w:val="both"/>
              <w:rPr>
                <w:rFonts w:ascii="Times New Roman" w:eastAsia="Arial" w:hAnsi="Times New Roman" w:cs="Times New Roman"/>
                <w:sz w:val="20"/>
                <w:szCs w:val="20"/>
                <w:lang w:eastAsia="en-US"/>
              </w:rPr>
            </w:pPr>
            <w:r w:rsidRPr="0035187E">
              <w:rPr>
                <w:rFonts w:ascii="Times New Roman" w:eastAsia="Arial" w:hAnsi="Times New Roman" w:cs="Times New Roman"/>
                <w:sz w:val="20"/>
                <w:szCs w:val="20"/>
                <w:u w:val="single"/>
                <w:lang w:eastAsia="en-US"/>
              </w:rPr>
              <w:t>Odůvodnění:</w:t>
            </w:r>
            <w:r w:rsidRPr="0035187E">
              <w:rPr>
                <w:rFonts w:ascii="Times New Roman" w:eastAsia="Arial" w:hAnsi="Times New Roman" w:cs="Times New Roman"/>
                <w:sz w:val="20"/>
                <w:szCs w:val="20"/>
                <w:lang w:eastAsia="en-US"/>
              </w:rPr>
              <w:t xml:space="preserve"> Navrhujeme navýšit účelovou podporu zaměstnaneckého stravování, konkrétně formou úpravy výše příspěvku na stravování na hranici 100 % horní hranice stravného v případě tzv. nepeněžních plnění, které lze poskytnout zaměstnancům odměňovaným mzdou při pracovní cestě trvající 5 až 12 hodin. </w:t>
            </w:r>
          </w:p>
          <w:p w14:paraId="5FCDFD3E" w14:textId="77777777" w:rsidR="000B4BD4" w:rsidRPr="0035187E" w:rsidRDefault="000B4BD4" w:rsidP="0035187E">
            <w:pPr>
              <w:jc w:val="both"/>
              <w:rPr>
                <w:rFonts w:ascii="Times New Roman" w:eastAsia="Arial" w:hAnsi="Times New Roman" w:cs="Times New Roman"/>
                <w:b/>
                <w:bCs/>
                <w:sz w:val="20"/>
                <w:szCs w:val="20"/>
                <w:lang w:eastAsia="en-US"/>
              </w:rPr>
            </w:pPr>
            <w:r w:rsidRPr="0035187E">
              <w:rPr>
                <w:rFonts w:ascii="Times New Roman" w:eastAsia="Arial" w:hAnsi="Times New Roman" w:cs="Times New Roman"/>
                <w:sz w:val="20"/>
                <w:szCs w:val="20"/>
                <w:lang w:eastAsia="en-US"/>
              </w:rPr>
              <w:t>V navrhovaném znění změny zákona o daních z příjmů se doplňuje nový bod 4, dosavadní a následující se přečíslují.</w:t>
            </w:r>
          </w:p>
          <w:p w14:paraId="7C792975" w14:textId="77777777" w:rsidR="000B4BD4" w:rsidRPr="0035187E" w:rsidRDefault="000B4BD4" w:rsidP="0035187E">
            <w:pPr>
              <w:jc w:val="both"/>
              <w:rPr>
                <w:rFonts w:ascii="Times New Roman" w:eastAsia="Arial" w:hAnsi="Times New Roman" w:cs="Times New Roman"/>
                <w:sz w:val="20"/>
                <w:szCs w:val="20"/>
                <w:lang w:eastAsia="en-US"/>
              </w:rPr>
            </w:pPr>
            <w:r w:rsidRPr="0035187E">
              <w:rPr>
                <w:rFonts w:ascii="Times New Roman" w:eastAsia="Arial" w:hAnsi="Times New Roman" w:cs="Times New Roman"/>
                <w:sz w:val="20"/>
                <w:szCs w:val="20"/>
                <w:u w:val="single"/>
                <w:lang w:eastAsia="en-US"/>
              </w:rPr>
              <w:t xml:space="preserve">Ustanovení § 6 odst. 9 písm. b) se mění následovně: </w:t>
            </w:r>
          </w:p>
          <w:p w14:paraId="4F3869F6" w14:textId="77777777" w:rsidR="000B4BD4" w:rsidRPr="0035187E" w:rsidRDefault="000B4BD4" w:rsidP="0035187E">
            <w:pPr>
              <w:jc w:val="both"/>
              <w:rPr>
                <w:rFonts w:ascii="Times New Roman" w:eastAsia="Arial" w:hAnsi="Times New Roman" w:cs="Times New Roman"/>
                <w:sz w:val="20"/>
                <w:szCs w:val="20"/>
                <w:lang w:eastAsia="en-US"/>
              </w:rPr>
            </w:pPr>
            <w:r w:rsidRPr="0035187E">
              <w:rPr>
                <w:rFonts w:ascii="Times New Roman" w:eastAsia="Arial" w:hAnsi="Times New Roman" w:cs="Times New Roman"/>
                <w:b/>
                <w:bCs/>
                <w:i/>
                <w:iCs/>
                <w:sz w:val="20"/>
                <w:szCs w:val="20"/>
                <w:lang w:eastAsia="en-US"/>
              </w:rPr>
              <w:t>b)</w:t>
            </w:r>
            <w:r w:rsidRPr="0035187E">
              <w:rPr>
                <w:rFonts w:ascii="Times New Roman" w:eastAsia="Arial" w:hAnsi="Times New Roman" w:cs="Times New Roman"/>
                <w:sz w:val="20"/>
                <w:szCs w:val="20"/>
                <w:lang w:eastAsia="en-US"/>
              </w:rPr>
              <w:t> příjem zaměstnance ve formě příspěvku na stravování poskytnutého zaměstnavatelem za jednu směnu podle jiného právního předpisu, pokud během této směny zaměstnanec vykonával práci alespoň 3 hodiny a nevznikl mu během této směny nárok na stravné v rámci cestovních náhrad podle jiného právního předpisu, a to v úhrnu do výše 70 % horní hranice stravného </w:t>
            </w:r>
            <w:r w:rsidRPr="0035187E">
              <w:rPr>
                <w:rFonts w:ascii="Times New Roman" w:eastAsia="Arial" w:hAnsi="Times New Roman" w:cs="Times New Roman"/>
                <w:b/>
                <w:bCs/>
                <w:sz w:val="20"/>
                <w:szCs w:val="20"/>
                <w:lang w:eastAsia="en-US"/>
              </w:rPr>
              <w:t>v případě peněžitého příspěvku na stravování</w:t>
            </w:r>
            <w:r w:rsidRPr="0035187E">
              <w:rPr>
                <w:rFonts w:ascii="Times New Roman" w:eastAsia="Arial" w:hAnsi="Times New Roman" w:cs="Times New Roman"/>
                <w:sz w:val="20"/>
                <w:szCs w:val="20"/>
                <w:lang w:eastAsia="en-US"/>
              </w:rPr>
              <w:t> </w:t>
            </w:r>
            <w:r w:rsidRPr="0035187E">
              <w:rPr>
                <w:rFonts w:ascii="Times New Roman" w:eastAsia="Arial" w:hAnsi="Times New Roman" w:cs="Times New Roman"/>
                <w:b/>
                <w:bCs/>
                <w:sz w:val="20"/>
                <w:szCs w:val="20"/>
                <w:lang w:eastAsia="en-US"/>
              </w:rPr>
              <w:t>nebo v úhrnu do výše 100 % horní hranice stravného v případě stravování poskytované jako nepeněžní plnění ke spotřebě na pracovišti zaměstnance nebo v rámci stravování zajišťovaného prostřednictvím jiného subjektu než zaměstnavatele</w:t>
            </w:r>
            <w:r w:rsidRPr="0035187E">
              <w:rPr>
                <w:rFonts w:ascii="Times New Roman" w:eastAsia="Arial" w:hAnsi="Times New Roman" w:cs="Times New Roman"/>
                <w:sz w:val="20"/>
                <w:szCs w:val="20"/>
                <w:lang w:eastAsia="en-US"/>
              </w:rPr>
              <w:t>, které lze poskytnout zaměstnancům odměňovaným platem při pracovní cestě trvající 5 až 12 hodin, a v úhrnu do výše 70 % této hranice </w:t>
            </w:r>
            <w:r w:rsidRPr="0035187E">
              <w:rPr>
                <w:rFonts w:ascii="Times New Roman" w:eastAsia="Arial" w:hAnsi="Times New Roman" w:cs="Times New Roman"/>
                <w:b/>
                <w:bCs/>
                <w:sz w:val="20"/>
                <w:szCs w:val="20"/>
                <w:lang w:eastAsia="en-US"/>
              </w:rPr>
              <w:t xml:space="preserve">v případě peněžitého příspěvku na stravování nebo v úhrnu do výše 100 % horní hranice stravného v případě stravování poskytované jako nepeněžní plnění ke spotřebě na pracovišti zaměstnance nebo v rámci stravování </w:t>
            </w:r>
            <w:r w:rsidRPr="0035187E">
              <w:rPr>
                <w:rFonts w:ascii="Times New Roman" w:eastAsia="Arial" w:hAnsi="Times New Roman" w:cs="Times New Roman"/>
                <w:b/>
                <w:bCs/>
                <w:sz w:val="20"/>
                <w:szCs w:val="20"/>
                <w:lang w:eastAsia="en-US"/>
              </w:rPr>
              <w:lastRenderedPageBreak/>
              <w:t>zajišťovaného prostřednictvím jiného subjektu než zaměstnavatele</w:t>
            </w:r>
            <w:r w:rsidRPr="0035187E">
              <w:rPr>
                <w:rFonts w:ascii="Times New Roman" w:eastAsia="Arial" w:hAnsi="Times New Roman" w:cs="Times New Roman"/>
                <w:sz w:val="20"/>
                <w:szCs w:val="20"/>
                <w:lang w:eastAsia="en-US"/>
              </w:rPr>
              <w:t>, je-li příspěvek poskytnut jako další příspěvek v rámci stejné směny, pokud její délka v úhrnu s přestávkou v práci povinně poskytovanou zaměstnavatelem podle jiného právního předpisu je delší než 11 hodin; v případě zaměstnance vykonávajícího činnost, ze které plyne příjem ze závislé činnosti, jejíž výkon není rozvržen na směny podle jiného právního předpisu, je příjem ve formě příspěvku na stravování poskytnutého zaměstnavatelem od daně osvobozen, pokud během kalendářního dne zaměstnanec vykonával práci alespoň 3 hodiny a nevznikl mu během tohoto dne nárok na stravné v rámci cestovních náhrad podle jiného právního předpisu ani na stravné v rámci cestovních náhrad na základě smlouvy, a to v úhrnu do výše 70 % horní hranice stravného </w:t>
            </w:r>
            <w:r w:rsidRPr="0035187E">
              <w:rPr>
                <w:rFonts w:ascii="Times New Roman" w:eastAsia="Arial" w:hAnsi="Times New Roman" w:cs="Times New Roman"/>
                <w:b/>
                <w:bCs/>
                <w:sz w:val="20"/>
                <w:szCs w:val="20"/>
                <w:lang w:eastAsia="en-US"/>
              </w:rPr>
              <w:t>v případě peněžitého příspěvku na stravování nebo v úhrnu do výše 100 % horní hranice stravného v případě stravování poskytované jako nepeněžní plnění ke spotřebě na pracovišti zaměstnance nebo v rámci stravování zajišťovaného prostřednictvím jiného subjektu než zaměstnavatele</w:t>
            </w:r>
            <w:r w:rsidRPr="0035187E">
              <w:rPr>
                <w:rFonts w:ascii="Times New Roman" w:eastAsia="Arial" w:hAnsi="Times New Roman" w:cs="Times New Roman"/>
                <w:sz w:val="20"/>
                <w:szCs w:val="20"/>
                <w:lang w:eastAsia="en-US"/>
              </w:rPr>
              <w:t>, které lze poskytnout zaměstnancům odměňovaným platem při pracovní cestě trvající 5 až 12 hodin, a v úhrnu do výše 70 % této hranice </w:t>
            </w:r>
            <w:r w:rsidRPr="0035187E">
              <w:rPr>
                <w:rFonts w:ascii="Times New Roman" w:eastAsia="Arial" w:hAnsi="Times New Roman" w:cs="Times New Roman"/>
                <w:b/>
                <w:bCs/>
                <w:sz w:val="20"/>
                <w:szCs w:val="20"/>
                <w:lang w:eastAsia="en-US"/>
              </w:rPr>
              <w:t>v případě peněžitého příspěvku na stravování nebo v úhrnu do výše 100 % horní hranice stravného v případě stravování poskytované jako nepeněžní plnění ke spotřebě na pracovišti zaměstnance nebo v rámci stravování zajišťovaného prostřednictvím jiného subjektu než zaměstnavatele</w:t>
            </w:r>
            <w:r w:rsidRPr="0035187E">
              <w:rPr>
                <w:rFonts w:ascii="Times New Roman" w:eastAsia="Arial" w:hAnsi="Times New Roman" w:cs="Times New Roman"/>
                <w:sz w:val="20"/>
                <w:szCs w:val="20"/>
                <w:lang w:eastAsia="en-US"/>
              </w:rPr>
              <w:t>, je-li příspěvek poskytnut jako další příspěvek v rámci stejného kalendářního dne, pokud během tohoto dne zaměstnanec vykonával práci alespoň 11 hodin. </w:t>
            </w:r>
          </w:p>
          <w:p w14:paraId="4245D0F8" w14:textId="77777777" w:rsidR="000B4BD4" w:rsidRPr="0035187E" w:rsidRDefault="000B4BD4" w:rsidP="0035187E">
            <w:pPr>
              <w:jc w:val="both"/>
              <w:rPr>
                <w:rFonts w:ascii="Times New Roman" w:eastAsia="Arial" w:hAnsi="Times New Roman" w:cs="Times New Roman"/>
                <w:sz w:val="20"/>
                <w:szCs w:val="20"/>
                <w:lang w:eastAsia="en-US"/>
              </w:rPr>
            </w:pPr>
          </w:p>
          <w:p w14:paraId="0B6E8254" w14:textId="77777777" w:rsidR="000B4BD4" w:rsidRPr="0035187E" w:rsidRDefault="000B4BD4" w:rsidP="0035187E">
            <w:pPr>
              <w:jc w:val="both"/>
              <w:rPr>
                <w:rFonts w:ascii="Times New Roman" w:eastAsiaTheme="minorHAnsi" w:hAnsi="Times New Roman" w:cs="Times New Roman"/>
                <w:sz w:val="20"/>
                <w:szCs w:val="20"/>
                <w:lang w:eastAsia="en-US"/>
              </w:rPr>
            </w:pPr>
            <w:r w:rsidRPr="0035187E">
              <w:rPr>
                <w:rFonts w:ascii="Times New Roman" w:eastAsiaTheme="minorHAnsi" w:hAnsi="Times New Roman" w:cs="Times New Roman"/>
                <w:sz w:val="20"/>
                <w:szCs w:val="20"/>
                <w:lang w:eastAsia="en-US"/>
              </w:rPr>
              <w:t xml:space="preserve">Navržená úprava směřuje k přesnějšímu rozlišení mezi peněžitou a účelově vázanou podporou zaměstnaneckého stravování. Jejím cílem je nastavit daňovou podporu tak, aby více zohledňovala míru účelovosti jednotlivých forem. Vyšší limit u nepeněžních forem odpovídá tomu, že tyto nástroje jsou bezprostředně spojeny s pořízením jídla, a lépe tak naplňují smysl podpory zaměstnaneckého stravování. </w:t>
            </w:r>
          </w:p>
          <w:p w14:paraId="298A87E4" w14:textId="77777777" w:rsidR="000B4BD4" w:rsidRPr="0035187E" w:rsidRDefault="000B4BD4" w:rsidP="0035187E">
            <w:pPr>
              <w:jc w:val="both"/>
              <w:rPr>
                <w:rFonts w:ascii="Times New Roman" w:eastAsiaTheme="minorHAnsi" w:hAnsi="Times New Roman" w:cs="Times New Roman"/>
                <w:sz w:val="20"/>
                <w:szCs w:val="20"/>
                <w:lang w:eastAsia="en-US"/>
              </w:rPr>
            </w:pPr>
            <w:r w:rsidRPr="0035187E">
              <w:rPr>
                <w:rFonts w:ascii="Times New Roman" w:eastAsiaTheme="minorHAnsi" w:hAnsi="Times New Roman" w:cs="Times New Roman"/>
                <w:sz w:val="20"/>
                <w:szCs w:val="20"/>
                <w:lang w:eastAsia="en-US"/>
              </w:rPr>
              <w:t xml:space="preserve">Navrhované řešení současně reflektuje vývoj v oblasti digitalizace zaměstnaneckých benefitů. Účelové nepeněžní formy stravování jsou dnes často poskytovány elektronicky, například prostřednictvím digitálních stravenek, mobilních aplikací nebo jiných bezhotovostních nástrojů. Tyto formy přinášejí nižší administrativní zátěž, vyšší uživatelský komfort i lepší přehled o využití prostředků. Právní úprava by proto měla podporovat technologicky neutrální prostředí, ve kterém mohou vedle tradičních forem fungovat i moderní digitální řešení, pokud jsou vázána na skutečné čerpání stravování, čemuž předložený návrh změny zákona o daních z příjmů plně odpovídá.  </w:t>
            </w:r>
          </w:p>
          <w:p w14:paraId="428BF238" w14:textId="77777777" w:rsidR="000B4BD4" w:rsidRPr="0035187E" w:rsidRDefault="000B4BD4" w:rsidP="0035187E">
            <w:pPr>
              <w:jc w:val="both"/>
              <w:rPr>
                <w:rFonts w:ascii="Times New Roman" w:eastAsiaTheme="minorHAnsi" w:hAnsi="Times New Roman" w:cs="Times New Roman"/>
                <w:sz w:val="20"/>
                <w:szCs w:val="20"/>
                <w:lang w:eastAsia="en-US"/>
              </w:rPr>
            </w:pPr>
            <w:r w:rsidRPr="0035187E">
              <w:rPr>
                <w:rFonts w:ascii="Times New Roman" w:eastAsiaTheme="minorHAnsi" w:hAnsi="Times New Roman" w:cs="Times New Roman"/>
                <w:sz w:val="20"/>
                <w:szCs w:val="20"/>
                <w:lang w:eastAsia="en-US"/>
              </w:rPr>
              <w:t xml:space="preserve">Návrh má vedle toho i širší hospodářský význam. Účelové formy zaměstnaneckého stravování podporují pravidelnou denní spotřebu ve službách, které byly v uplynulých letech výrazně zatíženy změnami spotřebitelského chování i růstem nákladů. </w:t>
            </w:r>
          </w:p>
          <w:p w14:paraId="4DFCEBDA" w14:textId="43B0801A" w:rsidR="000B4BD4" w:rsidRPr="0035187E" w:rsidRDefault="000B4BD4" w:rsidP="0035187E">
            <w:pPr>
              <w:jc w:val="both"/>
              <w:rPr>
                <w:rFonts w:ascii="Times New Roman" w:hAnsi="Times New Roman" w:cs="Times New Roman"/>
                <w:sz w:val="20"/>
                <w:szCs w:val="20"/>
                <w:lang w:eastAsia="ar-SA"/>
              </w:rPr>
            </w:pPr>
            <w:r w:rsidRPr="0035187E">
              <w:rPr>
                <w:rFonts w:ascii="Times New Roman" w:eastAsiaTheme="minorHAnsi" w:hAnsi="Times New Roman" w:cs="Times New Roman"/>
                <w:b/>
                <w:bCs/>
                <w:sz w:val="20"/>
                <w:szCs w:val="20"/>
                <w:lang w:eastAsia="en-US"/>
              </w:rPr>
              <w:t>Tato připomínka je zásadní.</w:t>
            </w:r>
          </w:p>
        </w:tc>
        <w:tc>
          <w:tcPr>
            <w:tcW w:w="1453" w:type="pct"/>
            <w:tcBorders>
              <w:top w:val="single" w:sz="4" w:space="0" w:color="auto"/>
              <w:left w:val="single" w:sz="4" w:space="0" w:color="auto"/>
              <w:right w:val="single" w:sz="4" w:space="0" w:color="auto"/>
            </w:tcBorders>
            <w:shd w:val="clear" w:color="auto" w:fill="auto"/>
          </w:tcPr>
          <w:p w14:paraId="2DF873DF" w14:textId="77777777" w:rsidR="0021550B" w:rsidRPr="0035187E" w:rsidRDefault="0021550B"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Nevyhověno.</w:t>
            </w:r>
          </w:p>
          <w:p w14:paraId="2F820961" w14:textId="77777777" w:rsidR="0021550B" w:rsidRPr="0035187E" w:rsidRDefault="0021550B" w:rsidP="0035187E">
            <w:pPr>
              <w:jc w:val="both"/>
              <w:rPr>
                <w:rFonts w:ascii="Times New Roman" w:hAnsi="Times New Roman" w:cs="Times New Roman"/>
                <w:sz w:val="20"/>
                <w:szCs w:val="20"/>
              </w:rPr>
            </w:pPr>
            <w:r w:rsidRPr="0035187E">
              <w:rPr>
                <w:rFonts w:ascii="Times New Roman" w:hAnsi="Times New Roman" w:cs="Times New Roman"/>
                <w:sz w:val="20"/>
                <w:szCs w:val="20"/>
              </w:rPr>
              <w:t>Podnět přesahuje rámec navrhované úpravy zákona o evidenci tržeb.</w:t>
            </w:r>
          </w:p>
          <w:p w14:paraId="13924F7F" w14:textId="77777777" w:rsidR="000B4BD4" w:rsidRPr="0035187E" w:rsidRDefault="0021550B" w:rsidP="0035187E">
            <w:pPr>
              <w:jc w:val="both"/>
              <w:rPr>
                <w:rFonts w:ascii="Times New Roman" w:hAnsi="Times New Roman" w:cs="Times New Roman"/>
                <w:sz w:val="20"/>
                <w:szCs w:val="20"/>
              </w:rPr>
            </w:pPr>
            <w:r w:rsidRPr="0035187E">
              <w:rPr>
                <w:rFonts w:ascii="Times New Roman" w:hAnsi="Times New Roman" w:cs="Times New Roman"/>
                <w:sz w:val="20"/>
                <w:szCs w:val="20"/>
              </w:rPr>
              <w:t>Nelze garantovat, že zvýšení limitu příspěvku na stravování skutečně povede k lepší stravovací kultuře. Navrhované opatření je navíc nesystémové, protože zvýšení daňového osvobození se vztahuje pouze na nepeněžní formu příspěvku, zatímco peněžitý příspěvek zůstává omezen na nižší hranici.</w:t>
            </w:r>
            <w:r w:rsidRPr="0035187E">
              <w:t xml:space="preserve"> </w:t>
            </w:r>
            <w:r w:rsidRPr="0035187E">
              <w:rPr>
                <w:rFonts w:ascii="Times New Roman" w:hAnsi="Times New Roman" w:cs="Times New Roman"/>
                <w:sz w:val="20"/>
                <w:szCs w:val="20"/>
              </w:rPr>
              <w:t>Zaměstnanec, který by platil oběd v restauračním zařízení v hotovosti, by byl znevýhodněn oproti zaměstnanci, který by stejný oběd odebíral za stravenku.</w:t>
            </w:r>
          </w:p>
          <w:p w14:paraId="1D0CBC64" w14:textId="77777777" w:rsidR="00D7629F" w:rsidRPr="0035187E" w:rsidRDefault="00D7629F" w:rsidP="0035187E">
            <w:pPr>
              <w:jc w:val="both"/>
              <w:rPr>
                <w:rFonts w:ascii="Times New Roman" w:hAnsi="Times New Roman" w:cs="Times New Roman"/>
                <w:sz w:val="20"/>
                <w:szCs w:val="20"/>
              </w:rPr>
            </w:pPr>
          </w:p>
          <w:p w14:paraId="7AF0F989" w14:textId="632F3ADC" w:rsidR="00D7629F" w:rsidRPr="0035187E" w:rsidRDefault="00D7629F" w:rsidP="0035187E">
            <w:pPr>
              <w:jc w:val="both"/>
              <w:rPr>
                <w:rFonts w:ascii="Times New Roman" w:hAnsi="Times New Roman" w:cs="Times New Roman"/>
                <w:sz w:val="20"/>
                <w:szCs w:val="20"/>
              </w:rPr>
            </w:pPr>
            <w:r w:rsidRPr="0035187E">
              <w:rPr>
                <w:rFonts w:ascii="Times New Roman" w:hAnsi="Times New Roman" w:cs="Times New Roman"/>
                <w:i/>
                <w:iCs/>
                <w:sz w:val="20"/>
                <w:szCs w:val="20"/>
              </w:rPr>
              <w:t xml:space="preserve">Vyjádření připomínkového místa: Na připomínce trváme. K námitce, že navržené rozlišení přesahuje rámec předkládané úpravy, uvádíme, že samo o sobě nejde o věcný důvod pro odmítnutí připomínky. V rámci téhož návrhu zákona jsou řešeny i další otázky zaměstnaneckých benefitů a jejich daňového režimu, takže nelze u jedné dílčí úpravy argumentovat „přesahem“ a u jiných nikoliv. Nesouhlasíme ani se závěrem, že by navržené opatření bylo nesystémové. Peněžitý příspěvek a účelově vázaná nepeněžitá forma nejsou z hlediska účelu podpory srovnatelné. Peněžitá forma je zaměnitelná s jinou spotřebou a její skutečné využití ke stravování nelze předem ověřit, zatímco účelově vázaná nepeněžitá forma má </w:t>
            </w:r>
            <w:r w:rsidRPr="0035187E">
              <w:rPr>
                <w:rFonts w:ascii="Times New Roman" w:hAnsi="Times New Roman" w:cs="Times New Roman"/>
                <w:i/>
                <w:iCs/>
                <w:sz w:val="20"/>
                <w:szCs w:val="20"/>
              </w:rPr>
              <w:lastRenderedPageBreak/>
              <w:t>podstatně vyšší pravděpodobnost, že povede ke skutečné konzumaci jídla během pracovního dne. Je proto legitimní, aby zákon reflektoval tuto věcnou odlišnost i odlišnou mírou daňové podpory. Návrh přitom peněžitou formu neruší ani nevylučuje; pouze přiměřeně rozlišuje úroveň veřejné podpory podle skutečného efektu jednotlivých nástrojů. K námitce, že návrh vytváří neodůvodněné rozdíly nebo diskriminaci vůči příjemcům peněžité formy, uvádíme, že peněžitý příspěvek zůstává zachován a nikomu není odnímán. Návrh pouze rozlišuje intenzitu veřejné podpory podle toho, jak silně která forma naplňuje svůj deklarovaný účel. To nelze považovat za diskriminaci, ale za legitimní a přiměřené rozlišení mezi dvěma odlišnými typy plnění. Ostatně i dnes existují formy zaměstnaneckého stravování s velmi vysokou mírou účelovosti, zejména závodní stravování a kantýny, u nichž zaměstnanec rovněž nemůže benefit využít na jiný účel. K celkovému systémovému pohledu pak uvádíme, že návrh nenarušuje základní architekturu zaměstnaneckých benefitů. Peněžitá forma zůstává zachována, volba zaměstnavatele zůstává zachována, pouze se přiměřeně odlišuje úroveň veřejné podpory podle naplnění účelu. To je z hlediska daňové logiky i věcné spravedlnosti obhajitelné. Návrh proto nepředstavuje nepřiměřený zásah do systému, ale jeho dílčí narovnání.</w:t>
            </w:r>
          </w:p>
        </w:tc>
      </w:tr>
      <w:tr w:rsidR="0035187E" w:rsidRPr="0035187E" w14:paraId="500083F4"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01D030A" w14:textId="64A8252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22.</w:t>
            </w:r>
          </w:p>
        </w:tc>
        <w:tc>
          <w:tcPr>
            <w:tcW w:w="583" w:type="pct"/>
            <w:tcBorders>
              <w:top w:val="single" w:sz="4" w:space="0" w:color="auto"/>
              <w:left w:val="single" w:sz="4" w:space="0" w:color="auto"/>
              <w:right w:val="single" w:sz="4" w:space="0" w:color="auto"/>
            </w:tcBorders>
            <w:shd w:val="clear" w:color="auto" w:fill="auto"/>
          </w:tcPr>
          <w:p w14:paraId="140A67A2" w14:textId="16031C4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Asociace samostatných odborů</w:t>
            </w:r>
          </w:p>
        </w:tc>
        <w:tc>
          <w:tcPr>
            <w:tcW w:w="168" w:type="pct"/>
            <w:tcBorders>
              <w:top w:val="single" w:sz="4" w:space="0" w:color="auto"/>
              <w:left w:val="single" w:sz="4" w:space="0" w:color="auto"/>
              <w:right w:val="single" w:sz="4" w:space="0" w:color="auto"/>
            </w:tcBorders>
            <w:shd w:val="clear" w:color="auto" w:fill="auto"/>
          </w:tcPr>
          <w:p w14:paraId="6E3672E3" w14:textId="7BB0CF5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39E261C8" w14:textId="490EF40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9C5099A" w14:textId="11ABA450"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Vážení, </w:t>
            </w:r>
          </w:p>
          <w:p w14:paraId="170E56E7"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V rámci meziresortního připomínkového řízení Asociace samostatných odborů obdržela k vyjádření svého stanoviska „</w:t>
            </w:r>
            <w:r w:rsidRPr="0035187E">
              <w:rPr>
                <w:rFonts w:ascii="Times New Roman" w:hAnsi="Times New Roman" w:cs="Times New Roman"/>
                <w:b/>
                <w:bCs/>
                <w:sz w:val="20"/>
                <w:szCs w:val="20"/>
              </w:rPr>
              <w:t>Návrh zákona o evidenci tržeb a o změně některých dalších zákonů“</w:t>
            </w:r>
            <w:r w:rsidRPr="0035187E">
              <w:rPr>
                <w:rFonts w:ascii="Times New Roman" w:hAnsi="Times New Roman" w:cs="Times New Roman"/>
                <w:sz w:val="20"/>
                <w:szCs w:val="20"/>
              </w:rPr>
              <w:t xml:space="preserve">. </w:t>
            </w:r>
          </w:p>
          <w:p w14:paraId="1C289C6F"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lastRenderedPageBreak/>
              <w:t xml:space="preserve">Po seznámení se s tímto návrhem zákona sdělujeme, že za Odborové sdružení železničářů (člen Asociace samostatných odborů) nemáme připomínky k uvedenému návrhu, ale zároveň v souvislosti s tímto návrhem zákona doporučujeme zakomponovat do návrhu zákona, resp. do souvisejících zákonů následující body. </w:t>
            </w:r>
          </w:p>
          <w:p w14:paraId="5D0610DC"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 xml:space="preserve">1.) Doplnit odpočet členských příspěvků </w:t>
            </w:r>
          </w:p>
          <w:p w14:paraId="4CC1AD26"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 v zákoně č. 586/1992 Sb. o daních z příjmů, ve znění pozdějších předpisů </w:t>
            </w:r>
          </w:p>
          <w:p w14:paraId="3D1C73DB"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Doporučené znění: </w:t>
            </w:r>
          </w:p>
          <w:p w14:paraId="3CCDFE1D" w14:textId="295ABF62" w:rsidR="000B4BD4" w:rsidRPr="0035187E" w:rsidRDefault="000B4BD4" w:rsidP="0035187E">
            <w:pPr>
              <w:pStyle w:val="pf0"/>
              <w:spacing w:before="0" w:beforeAutospacing="0" w:after="0" w:afterAutospacing="0"/>
              <w:jc w:val="both"/>
              <w:rPr>
                <w:sz w:val="20"/>
                <w:szCs w:val="20"/>
                <w:lang w:eastAsia="ar-SA"/>
              </w:rPr>
            </w:pPr>
            <w:r w:rsidRPr="0035187E">
              <w:rPr>
                <w:sz w:val="20"/>
                <w:szCs w:val="20"/>
              </w:rPr>
              <w:t>„Od základu daně lze odečíst zaplacené členské příspěvky zaplacené ve zdaňovacím období členem odborové organizace odborové organizaci, která podle svých stanov obhajuje hospodářské a sociální zájmy zaměstnanců v rozsahu vymezeném zvláštním právním předpisem. Takto lze odečíst částku do výše 1,5 % zdanitelných příjmů, maximálně však do výše 3 000 Kč za zdaňovací období.“</w:t>
            </w:r>
          </w:p>
        </w:tc>
        <w:tc>
          <w:tcPr>
            <w:tcW w:w="1453" w:type="pct"/>
            <w:tcBorders>
              <w:top w:val="single" w:sz="4" w:space="0" w:color="auto"/>
              <w:left w:val="single" w:sz="4" w:space="0" w:color="auto"/>
              <w:right w:val="single" w:sz="4" w:space="0" w:color="auto"/>
            </w:tcBorders>
            <w:shd w:val="clear" w:color="auto" w:fill="auto"/>
          </w:tcPr>
          <w:p w14:paraId="37348823" w14:textId="77777777" w:rsidR="0021550B" w:rsidRPr="0035187E" w:rsidRDefault="0021550B"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Nevyhověno.</w:t>
            </w:r>
          </w:p>
          <w:p w14:paraId="755770F7" w14:textId="77777777" w:rsidR="0021550B" w:rsidRPr="0035187E" w:rsidRDefault="0021550B" w:rsidP="0035187E">
            <w:pPr>
              <w:jc w:val="both"/>
              <w:rPr>
                <w:rFonts w:ascii="Times New Roman" w:hAnsi="Times New Roman" w:cs="Times New Roman"/>
                <w:sz w:val="20"/>
                <w:szCs w:val="20"/>
              </w:rPr>
            </w:pPr>
            <w:r w:rsidRPr="0035187E">
              <w:rPr>
                <w:rFonts w:ascii="Times New Roman" w:hAnsi="Times New Roman" w:cs="Times New Roman"/>
                <w:sz w:val="20"/>
                <w:szCs w:val="20"/>
              </w:rPr>
              <w:t>Podnět přesahuje rámec navrhované úpravy zákona o evidenci tržeb.</w:t>
            </w:r>
          </w:p>
          <w:p w14:paraId="3695B429" w14:textId="77777777" w:rsidR="0021550B" w:rsidRPr="0035187E" w:rsidRDefault="0021550B" w:rsidP="0035187E">
            <w:pPr>
              <w:jc w:val="both"/>
              <w:rPr>
                <w:rFonts w:ascii="Times New Roman" w:hAnsi="Times New Roman" w:cs="Times New Roman"/>
                <w:sz w:val="20"/>
                <w:szCs w:val="20"/>
              </w:rPr>
            </w:pPr>
            <w:r w:rsidRPr="0035187E">
              <w:rPr>
                <w:rFonts w:ascii="Times New Roman" w:hAnsi="Times New Roman" w:cs="Times New Roman"/>
                <w:sz w:val="20"/>
                <w:szCs w:val="20"/>
              </w:rPr>
              <w:lastRenderedPageBreak/>
              <w:t xml:space="preserve">Znovuzavedení nezdanitelné části základu daně za zaplacené členské příspěvky odborovým organizacím považujeme za problematické především z důvodu jeho selektivního charakteru. Takové nastavení je z pohledu principů rovnosti a daňové spravedlnosti sporné. </w:t>
            </w:r>
          </w:p>
          <w:p w14:paraId="282D4942" w14:textId="77777777" w:rsidR="0021550B" w:rsidRPr="0035187E" w:rsidRDefault="0021550B"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I nadále platí, že příjem v podobě podpory nebo příspěvku z prostředků odborové organizace je u člena odborové organizace osvobozen od daně z příjmů fyzických osob. V kontextu osvobození členských příspěvků na straně odborové organizace pak stát nezanedbatelným způsobem podporuje činnost odborových organizací a na úkor veřejných rozpočtů rovněž poskytuje motivaci k členství v odborové organizaci.  </w:t>
            </w:r>
          </w:p>
          <w:p w14:paraId="6C6043F0" w14:textId="77777777" w:rsidR="0021550B" w:rsidRPr="0035187E" w:rsidRDefault="0021550B" w:rsidP="0035187E">
            <w:pPr>
              <w:jc w:val="both"/>
              <w:rPr>
                <w:rFonts w:ascii="Times New Roman" w:hAnsi="Times New Roman" w:cs="Times New Roman"/>
                <w:sz w:val="20"/>
                <w:szCs w:val="20"/>
              </w:rPr>
            </w:pPr>
            <w:r w:rsidRPr="0035187E">
              <w:rPr>
                <w:rFonts w:ascii="Times New Roman" w:hAnsi="Times New Roman" w:cs="Times New Roman"/>
                <w:sz w:val="20"/>
                <w:szCs w:val="20"/>
              </w:rPr>
              <w:t>Oproti původní právní úpravě účinné do konce roku 2023 dochází v uvedeném návrhu k vypuštění podmínky vazby na příjmy podle § 6 zákona o daních z příjmů. Tento krok odchyluje odpočet od vazby na členství v odborové organizaci, protože do parametru vstupují i další příjmy (např. z nájmu nebo z kapitálového majetku) bez vazby na zaměstnání.</w:t>
            </w:r>
          </w:p>
          <w:p w14:paraId="459A6AD0" w14:textId="441B3BA8" w:rsidR="000B4BD4" w:rsidRPr="0035187E" w:rsidRDefault="0021550B" w:rsidP="0035187E">
            <w:pPr>
              <w:jc w:val="both"/>
              <w:rPr>
                <w:rFonts w:ascii="Times New Roman" w:hAnsi="Times New Roman" w:cs="Times New Roman"/>
                <w:sz w:val="20"/>
                <w:szCs w:val="20"/>
              </w:rPr>
            </w:pPr>
            <w:r w:rsidRPr="0035187E">
              <w:rPr>
                <w:rFonts w:ascii="Times New Roman" w:hAnsi="Times New Roman" w:cs="Times New Roman"/>
                <w:sz w:val="20"/>
                <w:szCs w:val="20"/>
              </w:rPr>
              <w:t>Navrhované opatření tak nepřináší systémové zlepšení daňového prostředí a jeho přínosy nejsou dostatečně vyváženy negativními dopady ve vztahu k principům rovnosti a fiskální udržitelnosti.</w:t>
            </w:r>
          </w:p>
        </w:tc>
      </w:tr>
      <w:tr w:rsidR="0035187E" w:rsidRPr="0035187E" w14:paraId="2BD83A3D"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8D3A4F0" w14:textId="6A666DB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22.</w:t>
            </w:r>
          </w:p>
        </w:tc>
        <w:tc>
          <w:tcPr>
            <w:tcW w:w="583" w:type="pct"/>
            <w:tcBorders>
              <w:top w:val="single" w:sz="4" w:space="0" w:color="auto"/>
              <w:left w:val="single" w:sz="4" w:space="0" w:color="auto"/>
              <w:right w:val="single" w:sz="4" w:space="0" w:color="auto"/>
            </w:tcBorders>
            <w:shd w:val="clear" w:color="auto" w:fill="auto"/>
          </w:tcPr>
          <w:p w14:paraId="4A6B713D" w14:textId="768AFCF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Asociace samostatných odborů</w:t>
            </w:r>
          </w:p>
        </w:tc>
        <w:tc>
          <w:tcPr>
            <w:tcW w:w="168" w:type="pct"/>
            <w:tcBorders>
              <w:top w:val="single" w:sz="4" w:space="0" w:color="auto"/>
              <w:left w:val="single" w:sz="4" w:space="0" w:color="auto"/>
              <w:right w:val="single" w:sz="4" w:space="0" w:color="auto"/>
            </w:tcBorders>
            <w:shd w:val="clear" w:color="auto" w:fill="auto"/>
          </w:tcPr>
          <w:p w14:paraId="16E41A23" w14:textId="170D7A9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w:t>
            </w:r>
          </w:p>
        </w:tc>
        <w:tc>
          <w:tcPr>
            <w:tcW w:w="169" w:type="pct"/>
            <w:tcBorders>
              <w:top w:val="single" w:sz="4" w:space="0" w:color="auto"/>
              <w:left w:val="single" w:sz="4" w:space="0" w:color="auto"/>
              <w:right w:val="single" w:sz="4" w:space="0" w:color="auto"/>
            </w:tcBorders>
            <w:shd w:val="clear" w:color="auto" w:fill="auto"/>
          </w:tcPr>
          <w:p w14:paraId="47CB768C" w14:textId="7B23EEC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71847B6" w14:textId="267E553D"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 xml:space="preserve">2.) Upravit procentuální výši sociálního fondu </w:t>
            </w:r>
            <w:r w:rsidRPr="0035187E">
              <w:rPr>
                <w:rFonts w:ascii="Times New Roman" w:hAnsi="Times New Roman" w:cs="Times New Roman"/>
                <w:sz w:val="20"/>
                <w:szCs w:val="20"/>
              </w:rPr>
              <w:t xml:space="preserve">a </w:t>
            </w:r>
            <w:r w:rsidRPr="0035187E">
              <w:rPr>
                <w:rFonts w:ascii="Times New Roman" w:hAnsi="Times New Roman" w:cs="Times New Roman"/>
                <w:b/>
                <w:bCs/>
                <w:sz w:val="20"/>
                <w:szCs w:val="20"/>
              </w:rPr>
              <w:t xml:space="preserve">fondu kulturních a sociálních potřeb (dále rovněž „FKSP“) </w:t>
            </w:r>
          </w:p>
          <w:p w14:paraId="79840135"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 zejména v zákoně č. 77/2022 Sb. o akciové společnosti České dráhy, státní organizaci Správa železnic a o změně zákona č. 266/94 Sb., o dráhách, ve znění pozdějších předpisů, a zákona č.77/97 Sb., o státním podniku, ve znění pozdějších předpisů a v zákoně č. 218/2000 Sb., o rozpočtových pravidlech a o změně některých souvisejících zákonů (rozpočtová pravidla) </w:t>
            </w:r>
          </w:p>
          <w:p w14:paraId="582F4444"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Doporučené znění: </w:t>
            </w:r>
          </w:p>
          <w:p w14:paraId="638FBDC9" w14:textId="39459F72" w:rsidR="000B4BD4" w:rsidRPr="0035187E" w:rsidRDefault="000B4BD4" w:rsidP="0035187E">
            <w:pPr>
              <w:pStyle w:val="pf0"/>
              <w:spacing w:before="0" w:beforeAutospacing="0" w:after="0" w:afterAutospacing="0"/>
              <w:jc w:val="both"/>
              <w:rPr>
                <w:sz w:val="20"/>
                <w:szCs w:val="20"/>
                <w:lang w:eastAsia="ar-SA"/>
              </w:rPr>
            </w:pPr>
            <w:r w:rsidRPr="0035187E">
              <w:rPr>
                <w:sz w:val="20"/>
                <w:szCs w:val="20"/>
              </w:rPr>
              <w:t>„Sociální fond (FKSP) je tvořen přídělem ve výši 2 % z ročního objemu nákladů zúčtovaných na mzdy a náhrady mzdy.“</w:t>
            </w:r>
          </w:p>
        </w:tc>
        <w:tc>
          <w:tcPr>
            <w:tcW w:w="1453" w:type="pct"/>
            <w:tcBorders>
              <w:top w:val="single" w:sz="4" w:space="0" w:color="auto"/>
              <w:left w:val="single" w:sz="4" w:space="0" w:color="auto"/>
              <w:right w:val="single" w:sz="4" w:space="0" w:color="auto"/>
            </w:tcBorders>
            <w:shd w:val="clear" w:color="auto" w:fill="auto"/>
          </w:tcPr>
          <w:p w14:paraId="140B0057" w14:textId="77777777" w:rsidR="0021550B" w:rsidRPr="0035187E" w:rsidRDefault="0021550B" w:rsidP="0035187E">
            <w:pPr>
              <w:jc w:val="both"/>
              <w:rPr>
                <w:rFonts w:ascii="Times New Roman" w:hAnsi="Times New Roman" w:cs="Times New Roman"/>
                <w:sz w:val="20"/>
                <w:szCs w:val="20"/>
              </w:rPr>
            </w:pPr>
            <w:r w:rsidRPr="0035187E">
              <w:rPr>
                <w:rFonts w:ascii="Times New Roman" w:hAnsi="Times New Roman" w:cs="Times New Roman"/>
                <w:b/>
                <w:bCs/>
                <w:sz w:val="20"/>
                <w:szCs w:val="20"/>
              </w:rPr>
              <w:t>Nevyhověno</w:t>
            </w:r>
            <w:r w:rsidRPr="0035187E">
              <w:rPr>
                <w:rFonts w:ascii="Times New Roman" w:hAnsi="Times New Roman" w:cs="Times New Roman"/>
                <w:sz w:val="20"/>
                <w:szCs w:val="20"/>
              </w:rPr>
              <w:t>.</w:t>
            </w:r>
          </w:p>
          <w:p w14:paraId="0518C7E0" w14:textId="77777777" w:rsidR="0021550B" w:rsidRPr="0035187E" w:rsidRDefault="0021550B" w:rsidP="0035187E">
            <w:pPr>
              <w:jc w:val="both"/>
              <w:rPr>
                <w:rFonts w:ascii="Times New Roman" w:hAnsi="Times New Roman" w:cs="Times New Roman"/>
                <w:sz w:val="20"/>
                <w:szCs w:val="20"/>
              </w:rPr>
            </w:pPr>
            <w:r w:rsidRPr="0035187E">
              <w:rPr>
                <w:rFonts w:ascii="Times New Roman" w:hAnsi="Times New Roman" w:cs="Times New Roman"/>
                <w:sz w:val="20"/>
                <w:szCs w:val="20"/>
              </w:rPr>
              <w:t>Připomínka je nad rámec návrhu, netýká se zákonů novelizovaných v návrhu.</w:t>
            </w:r>
          </w:p>
          <w:p w14:paraId="1C70BB90" w14:textId="758896B8" w:rsidR="000B4BD4" w:rsidRPr="0035187E" w:rsidRDefault="000B4BD4" w:rsidP="0035187E">
            <w:pPr>
              <w:jc w:val="both"/>
              <w:rPr>
                <w:rFonts w:ascii="Times New Roman" w:hAnsi="Times New Roman" w:cs="Times New Roman"/>
                <w:sz w:val="20"/>
                <w:szCs w:val="20"/>
              </w:rPr>
            </w:pPr>
          </w:p>
        </w:tc>
      </w:tr>
      <w:tr w:rsidR="0035187E" w:rsidRPr="0035187E" w14:paraId="347553D0"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6C10750" w14:textId="2362823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24.</w:t>
            </w:r>
          </w:p>
        </w:tc>
        <w:tc>
          <w:tcPr>
            <w:tcW w:w="583" w:type="pct"/>
            <w:tcBorders>
              <w:top w:val="single" w:sz="4" w:space="0" w:color="auto"/>
              <w:left w:val="single" w:sz="4" w:space="0" w:color="auto"/>
              <w:right w:val="single" w:sz="4" w:space="0" w:color="auto"/>
            </w:tcBorders>
            <w:shd w:val="clear" w:color="auto" w:fill="auto"/>
          </w:tcPr>
          <w:p w14:paraId="06424EB9" w14:textId="1270CD2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Česká advokátní komora</w:t>
            </w:r>
          </w:p>
        </w:tc>
        <w:tc>
          <w:tcPr>
            <w:tcW w:w="168" w:type="pct"/>
            <w:tcBorders>
              <w:top w:val="single" w:sz="4" w:space="0" w:color="auto"/>
              <w:left w:val="single" w:sz="4" w:space="0" w:color="auto"/>
              <w:right w:val="single" w:sz="4" w:space="0" w:color="auto"/>
            </w:tcBorders>
            <w:shd w:val="clear" w:color="auto" w:fill="auto"/>
          </w:tcPr>
          <w:p w14:paraId="38D2CDB3" w14:textId="33FCB98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0A2A123D" w14:textId="0166834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904A0D8" w14:textId="77777777" w:rsidR="000B4BD4" w:rsidRPr="0035187E" w:rsidRDefault="000B4BD4" w:rsidP="0035187E">
            <w:pPr>
              <w:jc w:val="both"/>
              <w:rPr>
                <w:rFonts w:ascii="Times New Roman" w:eastAsia="Calibri" w:hAnsi="Times New Roman"/>
                <w:b/>
                <w:sz w:val="20"/>
                <w:szCs w:val="20"/>
                <w:u w:val="single"/>
                <w:lang w:eastAsia="en-US"/>
              </w:rPr>
            </w:pPr>
            <w:r w:rsidRPr="0035187E">
              <w:rPr>
                <w:rFonts w:ascii="Times New Roman" w:eastAsia="Calibri" w:hAnsi="Times New Roman"/>
                <w:b/>
                <w:sz w:val="20"/>
                <w:szCs w:val="20"/>
                <w:u w:val="single"/>
                <w:lang w:eastAsia="en-US"/>
              </w:rPr>
              <w:t>K § 12</w:t>
            </w:r>
          </w:p>
          <w:p w14:paraId="471908E2" w14:textId="77777777" w:rsidR="000B4BD4" w:rsidRPr="0035187E" w:rsidRDefault="000B4BD4" w:rsidP="0035187E">
            <w:pPr>
              <w:jc w:val="both"/>
              <w:rPr>
                <w:rFonts w:ascii="Times New Roman" w:eastAsia="Calibri" w:hAnsi="Times New Roman"/>
                <w:sz w:val="20"/>
                <w:szCs w:val="20"/>
                <w:lang w:eastAsia="en-US"/>
              </w:rPr>
            </w:pPr>
          </w:p>
          <w:p w14:paraId="519B6917" w14:textId="2676AFD4" w:rsidR="000B4BD4" w:rsidRPr="0035187E" w:rsidRDefault="000B4BD4" w:rsidP="0035187E">
            <w:pPr>
              <w:jc w:val="both"/>
              <w:rPr>
                <w:rFonts w:ascii="Times New Roman" w:eastAsia="Calibri" w:hAnsi="Times New Roman"/>
                <w:sz w:val="20"/>
                <w:szCs w:val="20"/>
                <w:lang w:eastAsia="en-US"/>
              </w:rPr>
            </w:pPr>
            <w:r w:rsidRPr="0035187E">
              <w:rPr>
                <w:rFonts w:ascii="Times New Roman" w:eastAsia="Calibri" w:hAnsi="Times New Roman"/>
                <w:sz w:val="20"/>
                <w:szCs w:val="20"/>
                <w:lang w:eastAsia="en-US"/>
              </w:rPr>
              <w:t xml:space="preserve">Podle § 12 jsou z působnosti zákona vyňaty některé subjekty dle osoby poplatníka. Důvodová zpráva k tomu uvádí, že „v případě odstavce 2 je postup plošného vynětí poplatníků z oblasti finančního trhu odůvodněn již existujícími mechanismy, které jsou považovány za dostatečné k uskutečnění transparentní kontroly pro účely správy daně i bez uvalení režimu evidence tržeb. Jedná se o existující právní regulaci a zejména dohled </w:t>
            </w:r>
            <w:r w:rsidRPr="0035187E">
              <w:rPr>
                <w:rFonts w:ascii="Times New Roman" w:eastAsia="Calibri" w:hAnsi="Times New Roman"/>
                <w:sz w:val="20"/>
                <w:szCs w:val="20"/>
                <w:lang w:eastAsia="en-US"/>
              </w:rPr>
              <w:lastRenderedPageBreak/>
              <w:t>České národní banky v případě bank a zahraničních bank, spořitelních a úvěrních družstev, pojišťoven a zajišťoven, investičních společností a investičních fondů a obchodníků s cennými papíry.“</w:t>
            </w:r>
          </w:p>
          <w:p w14:paraId="324416CF" w14:textId="77777777" w:rsidR="000B4BD4" w:rsidRPr="0035187E" w:rsidRDefault="000B4BD4" w:rsidP="0035187E">
            <w:pPr>
              <w:jc w:val="both"/>
              <w:rPr>
                <w:rFonts w:ascii="Times New Roman" w:eastAsia="Calibri" w:hAnsi="Times New Roman"/>
                <w:sz w:val="20"/>
                <w:szCs w:val="20"/>
                <w:lang w:eastAsia="en-US"/>
              </w:rPr>
            </w:pPr>
          </w:p>
          <w:p w14:paraId="521B8367" w14:textId="792BBEEA" w:rsidR="000B4BD4" w:rsidRPr="0035187E" w:rsidRDefault="000B4BD4" w:rsidP="0035187E">
            <w:pPr>
              <w:jc w:val="both"/>
              <w:rPr>
                <w:rFonts w:ascii="Times New Roman" w:eastAsia="Calibri" w:hAnsi="Times New Roman"/>
                <w:sz w:val="20"/>
                <w:szCs w:val="20"/>
                <w:lang w:eastAsia="en-US"/>
              </w:rPr>
            </w:pPr>
            <w:r w:rsidRPr="0035187E">
              <w:rPr>
                <w:rFonts w:ascii="Times New Roman" w:eastAsia="Calibri" w:hAnsi="Times New Roman"/>
                <w:sz w:val="20"/>
                <w:szCs w:val="20"/>
                <w:lang w:eastAsia="en-US"/>
              </w:rPr>
              <w:t>Podobně jako u obchodníka s cennými papíry je profese advokáta silně regulovaná zákonem (viz zákon č. 85/1996 Sb. o advokacii, ve znění pozdějších předpisů). Advokát je vázán povinností mlčenlivosti, která se podle § 21 odst. 1 vztahuje na všechny skutečnosti, o kterých se dozvěděl v souvislosti s poskytováním právních služeb. Advokát a advokátní společnost jsou povinnými osobami podle § 2 odst. 1 písm. g) zákona č. 253/2008 Sb., o některých opatřeních proti legalizaci výnosů z trestné činnosti a financování terorismu, ve znění pozdějších předpisů, a navíc platby kontaktním způsobem za právní služby jsou v praxi marginální, takže je nehospodárné uvalovat na advokáty a advokátní společnosti povinnost evidovat tržby stanoveným způsobem. Většina transakcí navíc podléhá kontrolnímu hlášení podle zákona o dani z přidané hodnoty a je zde tedy minimalizováno riziko daňových úniků.</w:t>
            </w:r>
          </w:p>
          <w:p w14:paraId="1E480E4C" w14:textId="77777777" w:rsidR="000B4BD4" w:rsidRPr="0035187E" w:rsidRDefault="000B4BD4" w:rsidP="0035187E">
            <w:pPr>
              <w:jc w:val="both"/>
              <w:rPr>
                <w:rFonts w:ascii="Times New Roman" w:eastAsia="Calibri" w:hAnsi="Times New Roman"/>
                <w:sz w:val="20"/>
                <w:szCs w:val="20"/>
                <w:lang w:eastAsia="en-US"/>
              </w:rPr>
            </w:pPr>
          </w:p>
          <w:p w14:paraId="048CDD6A" w14:textId="77777777" w:rsidR="000B4BD4" w:rsidRPr="0035187E" w:rsidRDefault="000B4BD4" w:rsidP="0035187E">
            <w:pPr>
              <w:jc w:val="both"/>
              <w:rPr>
                <w:rFonts w:ascii="Times New Roman" w:eastAsia="Calibri" w:hAnsi="Times New Roman"/>
                <w:sz w:val="20"/>
                <w:szCs w:val="20"/>
                <w:lang w:eastAsia="en-US"/>
              </w:rPr>
            </w:pPr>
            <w:r w:rsidRPr="0035187E">
              <w:rPr>
                <w:rFonts w:ascii="Times New Roman" w:eastAsia="Calibri" w:hAnsi="Times New Roman"/>
                <w:sz w:val="20"/>
                <w:szCs w:val="20"/>
                <w:lang w:eastAsia="en-US"/>
              </w:rPr>
              <w:t>Z tohoto důvodu navrhujeme doplnit do § 12 odst. 2 nové písmeno i), které zní:</w:t>
            </w:r>
          </w:p>
          <w:p w14:paraId="2B16DA90" w14:textId="77777777" w:rsidR="000B4BD4" w:rsidRPr="0035187E" w:rsidRDefault="000B4BD4" w:rsidP="0035187E">
            <w:pPr>
              <w:jc w:val="both"/>
              <w:rPr>
                <w:rFonts w:ascii="Times New Roman" w:eastAsia="Calibri" w:hAnsi="Times New Roman"/>
                <w:sz w:val="20"/>
                <w:szCs w:val="20"/>
                <w:lang w:eastAsia="en-US"/>
              </w:rPr>
            </w:pPr>
            <w:r w:rsidRPr="0035187E">
              <w:rPr>
                <w:rFonts w:ascii="Times New Roman" w:eastAsia="Calibri" w:hAnsi="Times New Roman"/>
                <w:sz w:val="20"/>
                <w:szCs w:val="20"/>
                <w:lang w:eastAsia="en-US"/>
              </w:rPr>
              <w:t>„i) osoba oprávněná k výkonu advokacie podle zákona o advokacii.“</w:t>
            </w:r>
          </w:p>
          <w:p w14:paraId="72206B48" w14:textId="77777777" w:rsidR="000B4BD4" w:rsidRPr="0035187E" w:rsidRDefault="000B4BD4" w:rsidP="0035187E">
            <w:pPr>
              <w:jc w:val="both"/>
              <w:rPr>
                <w:rFonts w:ascii="Times New Roman" w:eastAsia="Calibri" w:hAnsi="Times New Roman"/>
                <w:b/>
                <w:sz w:val="20"/>
                <w:szCs w:val="20"/>
                <w:lang w:eastAsia="en-US"/>
              </w:rPr>
            </w:pPr>
          </w:p>
          <w:p w14:paraId="0B0A6935" w14:textId="4D5933AE" w:rsidR="000B4BD4" w:rsidRPr="0035187E" w:rsidRDefault="000B4BD4" w:rsidP="0035187E">
            <w:pPr>
              <w:jc w:val="both"/>
              <w:rPr>
                <w:sz w:val="20"/>
                <w:szCs w:val="20"/>
                <w:lang w:eastAsia="ar-SA"/>
              </w:rPr>
            </w:pPr>
            <w:r w:rsidRPr="0035187E">
              <w:rPr>
                <w:rFonts w:ascii="Times New Roman" w:eastAsia="Calibri" w:hAnsi="Times New Roman"/>
                <w:b/>
                <w:sz w:val="20"/>
                <w:szCs w:val="20"/>
                <w:lang w:eastAsia="en-US"/>
              </w:rPr>
              <w:t>Tato připomínka je zásadní</w:t>
            </w:r>
          </w:p>
        </w:tc>
        <w:tc>
          <w:tcPr>
            <w:tcW w:w="1453" w:type="pct"/>
            <w:tcBorders>
              <w:top w:val="single" w:sz="4" w:space="0" w:color="auto"/>
              <w:left w:val="single" w:sz="4" w:space="0" w:color="auto"/>
              <w:right w:val="single" w:sz="4" w:space="0" w:color="auto"/>
            </w:tcBorders>
            <w:shd w:val="clear" w:color="auto" w:fill="auto"/>
          </w:tcPr>
          <w:p w14:paraId="7CAECCFA" w14:textId="77777777" w:rsidR="000B4BD4" w:rsidRPr="0035187E" w:rsidRDefault="00FF1747"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Nevyhověno.</w:t>
            </w:r>
          </w:p>
          <w:p w14:paraId="7A2DE77C" w14:textId="77777777" w:rsidR="00FF1747" w:rsidRPr="0035187E" w:rsidRDefault="00FF1747" w:rsidP="0035187E">
            <w:pPr>
              <w:jc w:val="both"/>
              <w:rPr>
                <w:rFonts w:ascii="Times New Roman" w:hAnsi="Times New Roman" w:cs="Times New Roman"/>
                <w:sz w:val="20"/>
                <w:szCs w:val="20"/>
              </w:rPr>
            </w:pPr>
            <w:r w:rsidRPr="0035187E">
              <w:rPr>
                <w:rFonts w:ascii="Times New Roman" w:hAnsi="Times New Roman" w:cs="Times New Roman"/>
                <w:sz w:val="20"/>
                <w:szCs w:val="20"/>
              </w:rPr>
              <w:t>Regulace advokacie, ani skutečnost, že je určitá osoba povinnou osobou podle AML legislativy není legitimním důvodem pro vynětí z evidence tržeb. Pro advokáty na rozdíl od vyjmenovaných subjektů z oblasti finančního trhu neplatí, že by nemohli</w:t>
            </w:r>
            <w:r w:rsidR="00EF52E8" w:rsidRPr="0035187E">
              <w:rPr>
                <w:rFonts w:ascii="Times New Roman" w:hAnsi="Times New Roman" w:cs="Times New Roman"/>
                <w:sz w:val="20"/>
                <w:szCs w:val="20"/>
              </w:rPr>
              <w:t xml:space="preserve"> </w:t>
            </w:r>
            <w:r w:rsidRPr="0035187E">
              <w:rPr>
                <w:rFonts w:ascii="Times New Roman" w:hAnsi="Times New Roman" w:cs="Times New Roman"/>
                <w:sz w:val="20"/>
                <w:szCs w:val="20"/>
              </w:rPr>
              <w:t>vykonávat jinou podnikatelskou činnost</w:t>
            </w:r>
            <w:r w:rsidR="00EF52E8" w:rsidRPr="0035187E">
              <w:rPr>
                <w:rFonts w:ascii="Times New Roman" w:hAnsi="Times New Roman" w:cs="Times New Roman"/>
                <w:sz w:val="20"/>
                <w:szCs w:val="20"/>
              </w:rPr>
              <w:t xml:space="preserve">, resp. by </w:t>
            </w:r>
            <w:r w:rsidR="00EF52E8" w:rsidRPr="0035187E">
              <w:rPr>
                <w:rFonts w:ascii="Times New Roman" w:hAnsi="Times New Roman" w:cs="Times New Roman"/>
                <w:sz w:val="20"/>
                <w:szCs w:val="20"/>
              </w:rPr>
              <w:lastRenderedPageBreak/>
              <w:t>výkon jiné činnosti byl striktně omezen</w:t>
            </w:r>
            <w:r w:rsidRPr="0035187E">
              <w:rPr>
                <w:rFonts w:ascii="Times New Roman" w:hAnsi="Times New Roman" w:cs="Times New Roman"/>
                <w:sz w:val="20"/>
                <w:szCs w:val="20"/>
              </w:rPr>
              <w:t>. Komplexní vynětí poplatníka</w:t>
            </w:r>
            <w:r w:rsidR="00EF52E8" w:rsidRPr="0035187E">
              <w:rPr>
                <w:rFonts w:ascii="Times New Roman" w:hAnsi="Times New Roman" w:cs="Times New Roman"/>
                <w:sz w:val="20"/>
                <w:szCs w:val="20"/>
              </w:rPr>
              <w:t xml:space="preserve"> v režimu § 12</w:t>
            </w:r>
            <w:r w:rsidRPr="0035187E">
              <w:rPr>
                <w:rFonts w:ascii="Times New Roman" w:hAnsi="Times New Roman" w:cs="Times New Roman"/>
                <w:sz w:val="20"/>
                <w:szCs w:val="20"/>
              </w:rPr>
              <w:t xml:space="preserve"> tedy </w:t>
            </w:r>
            <w:r w:rsidR="00EF52E8" w:rsidRPr="0035187E">
              <w:rPr>
                <w:rFonts w:ascii="Times New Roman" w:hAnsi="Times New Roman" w:cs="Times New Roman"/>
                <w:sz w:val="20"/>
                <w:szCs w:val="20"/>
              </w:rPr>
              <w:t>není obhajitelné i v případě, kdyby bylo uznáno, že regulace advokacie odůvodňuje vynětí tržeb pocházejících z tohoto segmentu jejich podnikatelské činnosti (pak by spadala do režimu § 13)</w:t>
            </w:r>
            <w:r w:rsidRPr="0035187E">
              <w:rPr>
                <w:rFonts w:ascii="Times New Roman" w:hAnsi="Times New Roman" w:cs="Times New Roman"/>
                <w:sz w:val="20"/>
                <w:szCs w:val="20"/>
              </w:rPr>
              <w:t>.</w:t>
            </w:r>
          </w:p>
          <w:p w14:paraId="17E3C93F" w14:textId="77777777" w:rsidR="002C2D56" w:rsidRPr="0035187E" w:rsidRDefault="002C2D56" w:rsidP="0035187E">
            <w:pPr>
              <w:jc w:val="both"/>
              <w:rPr>
                <w:rFonts w:ascii="Times New Roman" w:hAnsi="Times New Roman" w:cs="Times New Roman"/>
                <w:sz w:val="20"/>
                <w:szCs w:val="20"/>
              </w:rPr>
            </w:pPr>
          </w:p>
          <w:p w14:paraId="69B6DBC9" w14:textId="15FAA2EB" w:rsidR="002C2D56" w:rsidRPr="0035187E" w:rsidRDefault="002C2D56"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Vyjádření připomínkového místa: vypořádání bere na vědomí.</w:t>
            </w:r>
          </w:p>
          <w:p w14:paraId="2972CED4" w14:textId="335E2D04" w:rsidR="00EF52E8" w:rsidRPr="0035187E" w:rsidRDefault="00EF52E8" w:rsidP="0035187E">
            <w:pPr>
              <w:jc w:val="both"/>
              <w:rPr>
                <w:rFonts w:ascii="Times New Roman" w:hAnsi="Times New Roman" w:cs="Times New Roman"/>
                <w:sz w:val="20"/>
                <w:szCs w:val="20"/>
              </w:rPr>
            </w:pPr>
          </w:p>
        </w:tc>
      </w:tr>
      <w:tr w:rsidR="0035187E" w:rsidRPr="0035187E" w14:paraId="7D25A4E4"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4AA065E9" w14:textId="1685B4F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26.</w:t>
            </w:r>
          </w:p>
        </w:tc>
        <w:tc>
          <w:tcPr>
            <w:tcW w:w="583" w:type="pct"/>
            <w:tcBorders>
              <w:top w:val="single" w:sz="4" w:space="0" w:color="auto"/>
              <w:left w:val="single" w:sz="4" w:space="0" w:color="auto"/>
              <w:right w:val="single" w:sz="4" w:space="0" w:color="auto"/>
            </w:tcBorders>
            <w:shd w:val="clear" w:color="auto" w:fill="auto"/>
          </w:tcPr>
          <w:p w14:paraId="06728140" w14:textId="073785F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Česká lékařská komora</w:t>
            </w:r>
          </w:p>
        </w:tc>
        <w:tc>
          <w:tcPr>
            <w:tcW w:w="168" w:type="pct"/>
            <w:tcBorders>
              <w:top w:val="single" w:sz="4" w:space="0" w:color="auto"/>
              <w:left w:val="single" w:sz="4" w:space="0" w:color="auto"/>
              <w:right w:val="single" w:sz="4" w:space="0" w:color="auto"/>
            </w:tcBorders>
            <w:shd w:val="clear" w:color="auto" w:fill="auto"/>
          </w:tcPr>
          <w:p w14:paraId="71D53369" w14:textId="2A5A37C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1B224812" w14:textId="7CBB8B9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050BAED" w14:textId="77777777" w:rsidR="000B4BD4" w:rsidRPr="0035187E" w:rsidRDefault="000B4BD4" w:rsidP="0035187E">
            <w:pPr>
              <w:contextualSpacing/>
              <w:jc w:val="both"/>
              <w:rPr>
                <w:rFonts w:ascii="Times New Roman" w:hAnsi="Times New Roman" w:cs="Times New Roman"/>
                <w:b/>
                <w:bCs/>
                <w:sz w:val="20"/>
                <w:szCs w:val="20"/>
                <w:lang w:eastAsia="en-US"/>
              </w:rPr>
            </w:pPr>
            <w:r w:rsidRPr="0035187E">
              <w:rPr>
                <w:rFonts w:ascii="Times New Roman" w:hAnsi="Times New Roman" w:cs="Times New Roman"/>
                <w:b/>
                <w:bCs/>
                <w:sz w:val="20"/>
                <w:szCs w:val="20"/>
                <w:lang w:eastAsia="en-US"/>
              </w:rPr>
              <w:t>Připomínka:</w:t>
            </w:r>
          </w:p>
          <w:p w14:paraId="741FE153"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V § 12 odst. 2 se doplňuje písmeno i), které zní: „</w:t>
            </w:r>
            <w:r w:rsidRPr="0035187E">
              <w:rPr>
                <w:rFonts w:ascii="Times New Roman" w:hAnsi="Times New Roman" w:cs="Times New Roman"/>
                <w:bCs/>
                <w:i/>
                <w:iCs/>
                <w:sz w:val="20"/>
                <w:szCs w:val="20"/>
              </w:rPr>
              <w:t xml:space="preserve">poskytovatelů ambulantních lékařských služeb, kteří mají uzavřenu smlouvu o poskytování a úhradě zdravotní péče z veřejného zdravotního pojištění alespoň s jednou veřejnou zdravotní pojišťovnou a jejichž příjem nehrazený z veřejného zdravotního pojištění nepřesahuje za příslušné účetní období 5% z celkových příjmů a současně tento příjem nepřesahuje za příslušné účetní období částku </w:t>
            </w:r>
            <w:proofErr w:type="gramStart"/>
            <w:r w:rsidRPr="0035187E">
              <w:rPr>
                <w:rFonts w:ascii="Times New Roman" w:hAnsi="Times New Roman" w:cs="Times New Roman"/>
                <w:bCs/>
                <w:i/>
                <w:iCs/>
                <w:sz w:val="20"/>
                <w:szCs w:val="20"/>
              </w:rPr>
              <w:t>100.000,-</w:t>
            </w:r>
            <w:proofErr w:type="gramEnd"/>
            <w:r w:rsidRPr="0035187E">
              <w:rPr>
                <w:rFonts w:ascii="Times New Roman" w:hAnsi="Times New Roman" w:cs="Times New Roman"/>
                <w:bCs/>
                <w:i/>
                <w:iCs/>
                <w:sz w:val="20"/>
                <w:szCs w:val="20"/>
              </w:rPr>
              <w:t xml:space="preserve"> Kč</w:t>
            </w:r>
            <w:r w:rsidRPr="0035187E">
              <w:rPr>
                <w:rFonts w:ascii="Times New Roman" w:hAnsi="Times New Roman" w:cs="Times New Roman"/>
                <w:sz w:val="20"/>
                <w:szCs w:val="20"/>
              </w:rPr>
              <w:t>.“</w:t>
            </w:r>
          </w:p>
          <w:p w14:paraId="4B7977B5" w14:textId="77777777" w:rsidR="000B4BD4" w:rsidRPr="0035187E" w:rsidRDefault="000B4BD4" w:rsidP="0035187E">
            <w:pPr>
              <w:jc w:val="both"/>
              <w:rPr>
                <w:rFonts w:ascii="Times New Roman" w:hAnsi="Times New Roman" w:cs="Times New Roman"/>
                <w:sz w:val="20"/>
                <w:szCs w:val="20"/>
                <w:lang w:eastAsia="en-US"/>
              </w:rPr>
            </w:pPr>
          </w:p>
          <w:p w14:paraId="0DF2339F" w14:textId="77777777" w:rsidR="000B4BD4" w:rsidRPr="0035187E" w:rsidRDefault="000B4BD4" w:rsidP="0035187E">
            <w:pPr>
              <w:jc w:val="both"/>
              <w:rPr>
                <w:rFonts w:ascii="Times New Roman" w:hAnsi="Times New Roman" w:cs="Times New Roman"/>
                <w:b/>
                <w:sz w:val="20"/>
                <w:szCs w:val="20"/>
                <w:lang w:eastAsia="en-US"/>
              </w:rPr>
            </w:pPr>
            <w:r w:rsidRPr="0035187E">
              <w:rPr>
                <w:rFonts w:ascii="Times New Roman" w:hAnsi="Times New Roman" w:cs="Times New Roman"/>
                <w:b/>
                <w:sz w:val="20"/>
                <w:szCs w:val="20"/>
                <w:lang w:eastAsia="en-US"/>
              </w:rPr>
              <w:t>Odůvodnění:</w:t>
            </w:r>
          </w:p>
          <w:p w14:paraId="1FB31E93" w14:textId="77777777" w:rsidR="000B4BD4" w:rsidRPr="0035187E" w:rsidRDefault="000B4BD4" w:rsidP="0035187E">
            <w:pPr>
              <w:jc w:val="both"/>
              <w:rPr>
                <w:rFonts w:ascii="Times New Roman" w:hAnsi="Times New Roman" w:cs="Times New Roman"/>
                <w:sz w:val="20"/>
                <w:szCs w:val="20"/>
                <w:lang w:val="x-none" w:eastAsia="en-US"/>
              </w:rPr>
            </w:pPr>
            <w:r w:rsidRPr="0035187E">
              <w:rPr>
                <w:rFonts w:ascii="Times New Roman" w:hAnsi="Times New Roman" w:cs="Times New Roman"/>
                <w:sz w:val="20"/>
                <w:szCs w:val="20"/>
                <w:lang w:val="x-none" w:eastAsia="en-US"/>
              </w:rPr>
              <w:t>Návrh zákona nezohledňuje specifické postavení soukromých lékařů, kteří pracují jako poskytovatelé zdravotních služeb ve smluvním vztahu se zdravotními pojišťovnami, díky čemuž jsou jejich příjmy regulované</w:t>
            </w:r>
            <w:r w:rsidRPr="0035187E">
              <w:rPr>
                <w:rFonts w:ascii="Times New Roman" w:hAnsi="Times New Roman" w:cs="Times New Roman"/>
                <w:sz w:val="20"/>
                <w:szCs w:val="20"/>
                <w:lang w:eastAsia="en-US"/>
              </w:rPr>
              <w:t>,</w:t>
            </w:r>
            <w:r w:rsidRPr="0035187E">
              <w:rPr>
                <w:rFonts w:ascii="Times New Roman" w:hAnsi="Times New Roman" w:cs="Times New Roman"/>
                <w:sz w:val="20"/>
                <w:szCs w:val="20"/>
                <w:lang w:val="x-none" w:eastAsia="en-US"/>
              </w:rPr>
              <w:t xml:space="preserve"> probíhají bezhotovostním způsobem a jsou tedy evidované.</w:t>
            </w:r>
          </w:p>
          <w:p w14:paraId="35A8AFA4"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Je třeba zohlednit specifický systém financování poskytovatelů zdravotních služeb. Soukromí lékaři na základě smlouvy o poskytování a úhradě zdravotní péče, kterou uzavírají se zdravotními pojišťovnami, zcela transparentně vykazují poskytnutou zdravotní péči, za níž dostávají úhradu, která vždy vyplývá z platného znění tzv. úhradové vyhlášky. Hotovostní příjmy za služby, které nejsou hrazeny z veřejného zdravotního pojištění, jsou natolik marginální, že v drtivé většině případů neodpovídají nákladům na pořízení systému EET a jeho provoz. I tato skutečnost by měla být zohledněna, neboť soukromý lékař nemá zákonnou možnost kompenzovat nově vzniklé náklady například navýšením ceny za poskytnuté zdravotní služby, protože je vázán platnou úhradovou vyhláškou. Současně není rozhodné, zda je poskytovatelem zdravotních služeb fyzická či </w:t>
            </w:r>
            <w:r w:rsidRPr="0035187E">
              <w:rPr>
                <w:rFonts w:ascii="Times New Roman" w:hAnsi="Times New Roman" w:cs="Times New Roman"/>
                <w:sz w:val="20"/>
                <w:szCs w:val="20"/>
              </w:rPr>
              <w:lastRenderedPageBreak/>
              <w:t xml:space="preserve">právnická osoba, neboť úhrada poskytované zdravotní peče je vždy stanovena platným znění vyhlášky o stanovení hodnot bodu, výše úhrad hrazených služeb a regulačních omezení pro příslušný kalendářní rok. </w:t>
            </w:r>
          </w:p>
          <w:p w14:paraId="2366EFEF"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Rovněž lze poukázat na vynětí penzijních společností a penzijních fondů, kdy lze postavení subjektů a poskytované služby z hlediska daňových aspektů považovat za velmi podobné, resp. téměř identické, a tedy se nabízí z hlediska rovného přístupu vynětí poskytování zdravotních služeb jako objektivně žádoucí.</w:t>
            </w:r>
          </w:p>
          <w:p w14:paraId="3F0F76FF" w14:textId="77777777" w:rsidR="000B4BD4" w:rsidRPr="0035187E" w:rsidRDefault="000B4BD4" w:rsidP="0035187E">
            <w:pPr>
              <w:jc w:val="both"/>
              <w:rPr>
                <w:rFonts w:ascii="Times New Roman" w:hAnsi="Times New Roman" w:cs="Times New Roman"/>
                <w:b/>
                <w:sz w:val="20"/>
                <w:szCs w:val="20"/>
              </w:rPr>
            </w:pPr>
          </w:p>
          <w:p w14:paraId="061FE916" w14:textId="3C6842DB" w:rsidR="000B4BD4" w:rsidRPr="0035187E" w:rsidRDefault="000B4BD4" w:rsidP="0035187E">
            <w:pPr>
              <w:keepNext/>
              <w:keepLines/>
              <w:jc w:val="both"/>
              <w:outlineLvl w:val="0"/>
              <w:rPr>
                <w:rFonts w:ascii="Times New Roman" w:hAnsi="Times New Roman" w:cs="Times New Roman"/>
                <w:sz w:val="20"/>
                <w:szCs w:val="20"/>
              </w:rPr>
            </w:pPr>
            <w:r w:rsidRPr="0035187E">
              <w:rPr>
                <w:rFonts w:ascii="Times New Roman" w:hAnsi="Times New Roman" w:cs="Times New Roman"/>
                <w:b/>
                <w:sz w:val="20"/>
                <w:szCs w:val="20"/>
              </w:rPr>
              <w:t>Návrh o evidenci tržeb a o změně některých dalších zákonů (změny jsou uvedeny tučně)</w:t>
            </w:r>
          </w:p>
          <w:p w14:paraId="113D9DE1" w14:textId="77777777" w:rsidR="000B4BD4" w:rsidRPr="0035187E" w:rsidRDefault="000B4BD4" w:rsidP="0035187E">
            <w:pPr>
              <w:jc w:val="both"/>
              <w:rPr>
                <w:rFonts w:ascii="Times New Roman" w:hAnsi="Times New Roman" w:cs="Times New Roman"/>
                <w:sz w:val="20"/>
                <w:szCs w:val="20"/>
              </w:rPr>
            </w:pPr>
          </w:p>
          <w:p w14:paraId="03DE6CA6"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12</w:t>
            </w:r>
          </w:p>
          <w:p w14:paraId="06FAE0B8"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Tržby vyloučené z evidence tržeb</w:t>
            </w:r>
          </w:p>
          <w:p w14:paraId="618BA019" w14:textId="77777777" w:rsidR="000B4BD4" w:rsidRPr="0035187E" w:rsidRDefault="000B4BD4" w:rsidP="0035187E">
            <w:pPr>
              <w:jc w:val="both"/>
              <w:rPr>
                <w:rFonts w:ascii="Times New Roman" w:hAnsi="Times New Roman" w:cs="Times New Roman"/>
                <w:sz w:val="20"/>
                <w:szCs w:val="20"/>
              </w:rPr>
            </w:pPr>
          </w:p>
          <w:p w14:paraId="4489D432"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(1) Evidovanou tržbou nejsou tržby</w:t>
            </w:r>
          </w:p>
          <w:p w14:paraId="769E5854"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a) státu,</w:t>
            </w:r>
          </w:p>
          <w:p w14:paraId="33AF8A60"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b) územního samosprávného celku,</w:t>
            </w:r>
          </w:p>
          <w:p w14:paraId="705C4217"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c) příspěvkové organizace,</w:t>
            </w:r>
          </w:p>
          <w:p w14:paraId="1E60558F"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d) České národní banky,</w:t>
            </w:r>
          </w:p>
          <w:p w14:paraId="70BF0352"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e) držitele poštovní licence.</w:t>
            </w:r>
          </w:p>
          <w:p w14:paraId="6AEF5FB7" w14:textId="77777777" w:rsidR="000B4BD4" w:rsidRPr="0035187E" w:rsidRDefault="000B4BD4" w:rsidP="0035187E">
            <w:pPr>
              <w:jc w:val="both"/>
              <w:rPr>
                <w:rFonts w:ascii="Times New Roman" w:hAnsi="Times New Roman" w:cs="Times New Roman"/>
                <w:sz w:val="20"/>
                <w:szCs w:val="20"/>
              </w:rPr>
            </w:pPr>
          </w:p>
          <w:p w14:paraId="7C37E44A"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(2) Evidovanou tržbou nejsou také tržby</w:t>
            </w:r>
          </w:p>
          <w:p w14:paraId="073DF1FB"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a) banky, včetně zahraniční banky,</w:t>
            </w:r>
          </w:p>
          <w:p w14:paraId="6E78F0D7"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b) spořitelního a úvěrního družstva,</w:t>
            </w:r>
          </w:p>
          <w:p w14:paraId="30BC4CF6"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c) pojišťovny a zajišťovny,</w:t>
            </w:r>
          </w:p>
          <w:p w14:paraId="42E13FBA"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d) investiční společnosti a investičního fondu,</w:t>
            </w:r>
          </w:p>
          <w:p w14:paraId="56568B8D"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e) obchodníka s cennými papíry,</w:t>
            </w:r>
          </w:p>
          <w:p w14:paraId="513476EA"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f) centrálního depozitáře,</w:t>
            </w:r>
          </w:p>
          <w:p w14:paraId="64C2CEEA"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g) penzijní společnosti,</w:t>
            </w:r>
          </w:p>
          <w:p w14:paraId="2088D408"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h) penzijního fondu,</w:t>
            </w:r>
          </w:p>
          <w:p w14:paraId="0D339702" w14:textId="1D4E166D"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bCs/>
                <w:sz w:val="20"/>
                <w:szCs w:val="20"/>
              </w:rPr>
              <w:t>i)</w:t>
            </w:r>
            <w:r w:rsidRPr="0035187E">
              <w:rPr>
                <w:rFonts w:ascii="Times New Roman" w:hAnsi="Times New Roman" w:cs="Times New Roman"/>
                <w:sz w:val="20"/>
                <w:szCs w:val="20"/>
              </w:rPr>
              <w:t xml:space="preserve"> </w:t>
            </w:r>
            <w:r w:rsidRPr="0035187E">
              <w:rPr>
                <w:rFonts w:ascii="Times New Roman" w:hAnsi="Times New Roman" w:cs="Times New Roman"/>
                <w:b/>
                <w:sz w:val="20"/>
                <w:szCs w:val="20"/>
              </w:rPr>
              <w:t xml:space="preserve">poskytovatelů ambulantních lékařských služeb, kteří mají uzavřenu smlouvu o poskytování a úhradě zdravotní péče z veřejného zdravotního pojištění alespoň s jednou veřejnou zdravotní pojišťovnou a jejichž příjem nehrazený z veřejného zdravotního pojištění nepřesahuje za příslušné účetní období 5% z celkových příjmů a současně tento příjem nepřesahuje za příslušné účetní období částku </w:t>
            </w:r>
            <w:proofErr w:type="gramStart"/>
            <w:r w:rsidRPr="0035187E">
              <w:rPr>
                <w:rFonts w:ascii="Times New Roman" w:hAnsi="Times New Roman" w:cs="Times New Roman"/>
                <w:b/>
                <w:sz w:val="20"/>
                <w:szCs w:val="20"/>
              </w:rPr>
              <w:t>100.000,-</w:t>
            </w:r>
            <w:proofErr w:type="gramEnd"/>
            <w:r w:rsidRPr="0035187E">
              <w:rPr>
                <w:rFonts w:ascii="Times New Roman" w:hAnsi="Times New Roman" w:cs="Times New Roman"/>
                <w:b/>
                <w:sz w:val="20"/>
                <w:szCs w:val="20"/>
              </w:rPr>
              <w:t xml:space="preserve"> Kč.</w:t>
            </w:r>
          </w:p>
        </w:tc>
        <w:tc>
          <w:tcPr>
            <w:tcW w:w="1453" w:type="pct"/>
            <w:tcBorders>
              <w:top w:val="single" w:sz="4" w:space="0" w:color="auto"/>
              <w:left w:val="single" w:sz="4" w:space="0" w:color="auto"/>
              <w:right w:val="single" w:sz="4" w:space="0" w:color="auto"/>
            </w:tcBorders>
            <w:shd w:val="clear" w:color="auto" w:fill="auto"/>
          </w:tcPr>
          <w:p w14:paraId="038A27B0" w14:textId="0D572BCA" w:rsidR="000B4BD4" w:rsidRPr="0035187E" w:rsidRDefault="00EF52E8"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Nevyhověno.</w:t>
            </w:r>
          </w:p>
          <w:p w14:paraId="350A4E9C" w14:textId="2DB6E4D7" w:rsidR="00EF52E8" w:rsidRPr="0035187E" w:rsidRDefault="00EF52E8" w:rsidP="0035187E">
            <w:pPr>
              <w:jc w:val="both"/>
              <w:rPr>
                <w:rFonts w:ascii="Times New Roman" w:hAnsi="Times New Roman" w:cs="Times New Roman"/>
                <w:sz w:val="20"/>
                <w:szCs w:val="20"/>
              </w:rPr>
            </w:pPr>
            <w:r w:rsidRPr="0035187E">
              <w:rPr>
                <w:rFonts w:ascii="Times New Roman" w:hAnsi="Times New Roman" w:cs="Times New Roman"/>
                <w:sz w:val="20"/>
                <w:szCs w:val="20"/>
              </w:rPr>
              <w:t>Evidence tržeb necílí na platby, které probíhají mezi zdravotními pojišťovnami a</w:t>
            </w:r>
            <w:r w:rsidR="00723F49" w:rsidRPr="0035187E">
              <w:rPr>
                <w:rFonts w:ascii="Times New Roman" w:hAnsi="Times New Roman" w:cs="Times New Roman"/>
                <w:sz w:val="20"/>
                <w:szCs w:val="20"/>
              </w:rPr>
              <w:t xml:space="preserve"> poskytovateli zdravotních služeb. Z povahy věci by nemělo jít o kontaktní platby ve smyslu § 7. Cíleno je pouze na platby, které probíhají mimo tuto evidovanou část příjmů. Nelze souhlasit s tím, že jde o platby natolik marginální, že by pořízení infrastruktury pro evidenci tržeb neodpovídalo jejich objemu. Tím spíše, že takové pořízení lze daňově kompenzovat a předpokládá se i poskytnutí státem garantované</w:t>
            </w:r>
            <w:r w:rsidR="001A020E" w:rsidRPr="0035187E">
              <w:rPr>
                <w:rFonts w:ascii="Times New Roman" w:hAnsi="Times New Roman" w:cs="Times New Roman"/>
                <w:sz w:val="20"/>
                <w:szCs w:val="20"/>
              </w:rPr>
              <w:t>ho</w:t>
            </w:r>
            <w:r w:rsidR="00723F49" w:rsidRPr="0035187E">
              <w:rPr>
                <w:rFonts w:ascii="Times New Roman" w:hAnsi="Times New Roman" w:cs="Times New Roman"/>
                <w:sz w:val="20"/>
                <w:szCs w:val="20"/>
              </w:rPr>
              <w:t xml:space="preserve"> bezplatné</w:t>
            </w:r>
            <w:r w:rsidR="001A020E" w:rsidRPr="0035187E">
              <w:rPr>
                <w:rFonts w:ascii="Times New Roman" w:hAnsi="Times New Roman" w:cs="Times New Roman"/>
                <w:sz w:val="20"/>
                <w:szCs w:val="20"/>
              </w:rPr>
              <w:t>ho softwarového řešení. Navržený limit 100.000 Kč zcela popírá slova o vazbě na náklady na pořízení systému EET a jeho provoz.</w:t>
            </w:r>
          </w:p>
          <w:p w14:paraId="0F34F19C" w14:textId="5D3250E9" w:rsidR="001A020E" w:rsidRPr="0035187E" w:rsidRDefault="001A020E" w:rsidP="0035187E">
            <w:pPr>
              <w:jc w:val="both"/>
              <w:rPr>
                <w:rFonts w:ascii="Times New Roman" w:hAnsi="Times New Roman" w:cs="Times New Roman"/>
                <w:sz w:val="20"/>
                <w:szCs w:val="20"/>
              </w:rPr>
            </w:pPr>
          </w:p>
        </w:tc>
      </w:tr>
      <w:tr w:rsidR="0035187E" w:rsidRPr="0035187E" w14:paraId="14ABAF12"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D3D0FA1" w14:textId="7777777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27.</w:t>
            </w:r>
          </w:p>
        </w:tc>
        <w:tc>
          <w:tcPr>
            <w:tcW w:w="583" w:type="pct"/>
            <w:tcBorders>
              <w:top w:val="single" w:sz="4" w:space="0" w:color="auto"/>
              <w:left w:val="single" w:sz="4" w:space="0" w:color="auto"/>
              <w:right w:val="single" w:sz="4" w:space="0" w:color="auto"/>
            </w:tcBorders>
            <w:shd w:val="clear" w:color="auto" w:fill="auto"/>
          </w:tcPr>
          <w:p w14:paraId="5A8D90EB" w14:textId="7777777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Česká národní banka</w:t>
            </w:r>
          </w:p>
        </w:tc>
        <w:tc>
          <w:tcPr>
            <w:tcW w:w="168" w:type="pct"/>
            <w:tcBorders>
              <w:top w:val="single" w:sz="4" w:space="0" w:color="auto"/>
              <w:left w:val="single" w:sz="4" w:space="0" w:color="auto"/>
              <w:right w:val="single" w:sz="4" w:space="0" w:color="auto"/>
            </w:tcBorders>
            <w:shd w:val="clear" w:color="auto" w:fill="auto"/>
          </w:tcPr>
          <w:p w14:paraId="03FD63E9" w14:textId="4BF582D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2AEEA1A3" w14:textId="7777777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488290D" w14:textId="77777777" w:rsidR="000B4BD4" w:rsidRPr="0035187E" w:rsidRDefault="000B4BD4" w:rsidP="0035187E">
            <w:pPr>
              <w:keepNext/>
              <w:rPr>
                <w:rFonts w:ascii="Times New Roman" w:hAnsi="Times New Roman" w:cs="Times New Roman"/>
                <w:sz w:val="20"/>
                <w:szCs w:val="20"/>
                <w:u w:val="single"/>
              </w:rPr>
            </w:pPr>
            <w:r w:rsidRPr="0035187E">
              <w:rPr>
                <w:rFonts w:ascii="Times New Roman" w:hAnsi="Times New Roman" w:cs="Times New Roman"/>
                <w:sz w:val="20"/>
                <w:szCs w:val="20"/>
                <w:u w:val="single"/>
              </w:rPr>
              <w:t>K § 7 odst. 2 zákona o evidenci tržeb a o změně některých dalších zákonů:</w:t>
            </w:r>
          </w:p>
          <w:p w14:paraId="169BA820" w14:textId="77777777" w:rsidR="000B4BD4" w:rsidRPr="0035187E" w:rsidRDefault="000B4BD4" w:rsidP="0035187E">
            <w:pPr>
              <w:keepNext/>
              <w:jc w:val="both"/>
              <w:rPr>
                <w:rFonts w:ascii="Times New Roman" w:hAnsi="Times New Roman" w:cs="Times New Roman"/>
                <w:sz w:val="20"/>
                <w:szCs w:val="20"/>
              </w:rPr>
            </w:pPr>
            <w:r w:rsidRPr="0035187E">
              <w:rPr>
                <w:rFonts w:ascii="Times New Roman" w:hAnsi="Times New Roman" w:cs="Times New Roman"/>
                <w:sz w:val="20"/>
                <w:szCs w:val="20"/>
              </w:rPr>
              <w:t>Doporučujeme předmětnou část ustanovení § 7 odst. 2 upravit takto:</w:t>
            </w:r>
          </w:p>
          <w:p w14:paraId="6C8D8347" w14:textId="77777777" w:rsidR="000B4BD4" w:rsidRPr="0035187E" w:rsidRDefault="000B4BD4" w:rsidP="0035187E">
            <w:pPr>
              <w:keepNext/>
              <w:jc w:val="both"/>
              <w:rPr>
                <w:rFonts w:ascii="Times New Roman" w:hAnsi="Times New Roman" w:cs="Times New Roman"/>
                <w:i/>
                <w:iCs/>
                <w:sz w:val="20"/>
                <w:szCs w:val="20"/>
              </w:rPr>
            </w:pPr>
            <w:r w:rsidRPr="0035187E">
              <w:rPr>
                <w:rFonts w:ascii="Times New Roman" w:hAnsi="Times New Roman" w:cs="Times New Roman"/>
                <w:i/>
                <w:iCs/>
                <w:sz w:val="20"/>
                <w:szCs w:val="20"/>
              </w:rPr>
              <w:t>„Kontaktní platbou se pro účely tohoto zákona rozumí také platba, při které dochází k předání směnky, šeku, poukázky, žetonu či jiného podobného hmotného prostředku pro placení“.</w:t>
            </w:r>
          </w:p>
          <w:p w14:paraId="0BF228B7" w14:textId="77777777" w:rsidR="000B4BD4" w:rsidRPr="0035187E" w:rsidRDefault="000B4BD4" w:rsidP="0035187E">
            <w:pPr>
              <w:keepNext/>
              <w:jc w:val="both"/>
              <w:rPr>
                <w:rFonts w:ascii="Times New Roman" w:hAnsi="Times New Roman" w:cs="Times New Roman"/>
                <w:sz w:val="20"/>
                <w:szCs w:val="20"/>
              </w:rPr>
            </w:pPr>
            <w:r w:rsidRPr="0035187E">
              <w:rPr>
                <w:rFonts w:ascii="Times New Roman" w:hAnsi="Times New Roman" w:cs="Times New Roman"/>
                <w:sz w:val="20"/>
                <w:szCs w:val="20"/>
              </w:rPr>
              <w:t>Dále doporučujeme případy platby při přímém zastoupení upravit výslovně, tak aby bylo zřejmé, že kontaktní platbou je i případ, kdy k platbě dochází při kontaktu s osobou, která jedná jménem poplatníka, nebo v její provozovně.</w:t>
            </w:r>
          </w:p>
          <w:p w14:paraId="6410B9F0" w14:textId="77777777"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t>Odůvodnění:</w:t>
            </w:r>
          </w:p>
          <w:p w14:paraId="70BA14A3" w14:textId="77777777" w:rsidR="000B4BD4" w:rsidRPr="0035187E" w:rsidRDefault="000B4BD4" w:rsidP="0035187E">
            <w:pPr>
              <w:keepNext/>
              <w:jc w:val="both"/>
              <w:rPr>
                <w:rFonts w:ascii="Times New Roman" w:hAnsi="Times New Roman" w:cs="Times New Roman"/>
                <w:i/>
                <w:iCs/>
                <w:sz w:val="20"/>
                <w:szCs w:val="20"/>
              </w:rPr>
            </w:pPr>
            <w:r w:rsidRPr="0035187E">
              <w:rPr>
                <w:rFonts w:ascii="Times New Roman" w:hAnsi="Times New Roman" w:cs="Times New Roman"/>
                <w:sz w:val="20"/>
                <w:szCs w:val="20"/>
              </w:rPr>
              <w:t xml:space="preserve">Ustanovení § 7 odst. 2 návrhu zákona stanoví, že: </w:t>
            </w:r>
            <w:r w:rsidRPr="0035187E">
              <w:rPr>
                <w:rFonts w:ascii="Times New Roman" w:hAnsi="Times New Roman" w:cs="Times New Roman"/>
                <w:i/>
                <w:iCs/>
                <w:sz w:val="20"/>
                <w:szCs w:val="20"/>
              </w:rPr>
              <w:t xml:space="preserve">„Kontaktní platbou se pro účely tohoto zákona rozumí také platba, která je uskutečněna v hotovosti nebo jinou formou podle § 6, která má hmotnou povahu, a není platbou podle odstavce 1. To neplatí, je-li tato platba zprostředkována jinou osobou, která nejedná v přímém ani nepřímém zastoupení poplatníka, provedením převodu peněžních prostředků na platební účet tohoto poplatníka.“ </w:t>
            </w:r>
          </w:p>
          <w:p w14:paraId="2DB692FF"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Podmínka vyjádřená slovy: „která je uskutečněna v hotovosti nebo jinou formou podle § 6,“ již platí podle § 6 a není tedy vhodné ji zde opakovat (stejně jako není opakována v § 7 odst. 1). </w:t>
            </w:r>
          </w:p>
          <w:p w14:paraId="1FBBA257" w14:textId="7DA6CFA9"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Dále podmínka „(platba), která má hmotnou povahu“ je zcela nesrozumitelná. Právní předpisy ani nauka platebního styku nerozlišují mezi platbami hmotné a nehmotné povahy. V souladu s důvodovou zprávou se má jednat např. o platbu směnkou či šekem, ale také platbu pomocí různých žetonů, papírových kupónů či poukázek, které mohou sloužit jako prostředek k zaplacení úzce vymezenému okruhu dodavatelů, v úzce vymezených prostorách či situacích. Z materiálního pohledu se tak jedná o jakousi „</w:t>
            </w:r>
            <w:proofErr w:type="spellStart"/>
            <w:r w:rsidRPr="0035187E">
              <w:rPr>
                <w:rFonts w:ascii="Times New Roman" w:hAnsi="Times New Roman" w:cs="Times New Roman"/>
                <w:sz w:val="20"/>
                <w:szCs w:val="20"/>
              </w:rPr>
              <w:t>kvazihotovostní</w:t>
            </w:r>
            <w:proofErr w:type="spellEnd"/>
            <w:r w:rsidRPr="0035187E">
              <w:rPr>
                <w:rFonts w:ascii="Times New Roman" w:hAnsi="Times New Roman" w:cs="Times New Roman"/>
                <w:sz w:val="20"/>
                <w:szCs w:val="20"/>
              </w:rPr>
              <w:t xml:space="preserve"> platbu“, která se podobně jako platba v hotovosti vyznačuje nízkou mírou dohledatelnosti, neboť bez dalšího nezanechává žádnou elektronickou stopu. Hmotná tedy nemá být platba, ale předmět, který slouží jako prostředek pro placení (tento pojem je používán jako český ekvivalent anglického „“</w:t>
            </w:r>
            <w:proofErr w:type="spellStart"/>
            <w:r w:rsidRPr="0035187E">
              <w:rPr>
                <w:rFonts w:ascii="Times New Roman" w:hAnsi="Times New Roman" w:cs="Times New Roman"/>
                <w:sz w:val="20"/>
                <w:szCs w:val="20"/>
              </w:rPr>
              <w:t>means</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of</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payment</w:t>
            </w:r>
            <w:proofErr w:type="spellEnd"/>
            <w:r w:rsidRPr="0035187E">
              <w:rPr>
                <w:rFonts w:ascii="Times New Roman" w:hAnsi="Times New Roman" w:cs="Times New Roman"/>
                <w:sz w:val="20"/>
                <w:szCs w:val="20"/>
              </w:rPr>
              <w:t xml:space="preserve">“ používaného v nejširším slova smyslu v předpisech EU.). </w:t>
            </w:r>
          </w:p>
        </w:tc>
        <w:tc>
          <w:tcPr>
            <w:tcW w:w="1453" w:type="pct"/>
            <w:tcBorders>
              <w:top w:val="single" w:sz="4" w:space="0" w:color="auto"/>
              <w:left w:val="single" w:sz="4" w:space="0" w:color="auto"/>
              <w:right w:val="single" w:sz="4" w:space="0" w:color="auto"/>
            </w:tcBorders>
            <w:shd w:val="clear" w:color="auto" w:fill="auto"/>
          </w:tcPr>
          <w:p w14:paraId="689622C8" w14:textId="77777777"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t>Vyhověno jinak.</w:t>
            </w:r>
          </w:p>
          <w:p w14:paraId="4C2A5F49"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Pojem „hmotná povaha“ byl upraven na „hmotná podstata“, což je pojem v právním řádu používaný. Tento pojem je z pohledu obecného významu slov dle názoru předkladatele dostatečně určitý. </w:t>
            </w:r>
          </w:p>
          <w:p w14:paraId="13EC313C"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Současně platí, že daný pojem není vztažen k pojmu „platba“, ale ke slovu „forma“. Musí jít tedy o formu platby, která má hmotnou podstatu.</w:t>
            </w:r>
          </w:p>
          <w:p w14:paraId="7C4F98F3" w14:textId="61C6130F"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Explicitní zmínění hotovosti není duplicitou, ale záměrem. Cílem ustanovení je doplnit množinu kontaktních plateb vymezených v odstavci 1 o další doplňkovou množinu, která je nezávislá na to, zda k platbě dojde při osobním kontaktu nebo v provozovně. Právě element hotovosti či jiné platby pomocí hmotného prostředku, zde způsobí, že kontaktní platbou bude např. i hotovost zaslaná ve formě zásilky apod.</w:t>
            </w:r>
          </w:p>
        </w:tc>
      </w:tr>
      <w:tr w:rsidR="0035187E" w:rsidRPr="0035187E" w14:paraId="3106BD32"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96804B5" w14:textId="7777777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27.</w:t>
            </w:r>
          </w:p>
        </w:tc>
        <w:tc>
          <w:tcPr>
            <w:tcW w:w="583" w:type="pct"/>
            <w:tcBorders>
              <w:top w:val="single" w:sz="4" w:space="0" w:color="auto"/>
              <w:left w:val="single" w:sz="4" w:space="0" w:color="auto"/>
              <w:right w:val="single" w:sz="4" w:space="0" w:color="auto"/>
            </w:tcBorders>
            <w:shd w:val="clear" w:color="auto" w:fill="auto"/>
          </w:tcPr>
          <w:p w14:paraId="46894BF3" w14:textId="7777777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Česká národní banka</w:t>
            </w:r>
          </w:p>
        </w:tc>
        <w:tc>
          <w:tcPr>
            <w:tcW w:w="168" w:type="pct"/>
            <w:tcBorders>
              <w:top w:val="single" w:sz="4" w:space="0" w:color="auto"/>
              <w:left w:val="single" w:sz="4" w:space="0" w:color="auto"/>
              <w:right w:val="single" w:sz="4" w:space="0" w:color="auto"/>
            </w:tcBorders>
            <w:shd w:val="clear" w:color="auto" w:fill="auto"/>
          </w:tcPr>
          <w:p w14:paraId="1C338BF6" w14:textId="21E9CD3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w:t>
            </w:r>
          </w:p>
        </w:tc>
        <w:tc>
          <w:tcPr>
            <w:tcW w:w="169" w:type="pct"/>
            <w:tcBorders>
              <w:top w:val="single" w:sz="4" w:space="0" w:color="auto"/>
              <w:left w:val="single" w:sz="4" w:space="0" w:color="auto"/>
              <w:right w:val="single" w:sz="4" w:space="0" w:color="auto"/>
            </w:tcBorders>
            <w:shd w:val="clear" w:color="auto" w:fill="auto"/>
          </w:tcPr>
          <w:p w14:paraId="008D1850" w14:textId="7777777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AF1EA54" w14:textId="77777777" w:rsidR="000B4BD4" w:rsidRPr="0035187E" w:rsidRDefault="000B4BD4" w:rsidP="0035187E">
            <w:pPr>
              <w:jc w:val="both"/>
              <w:rPr>
                <w:rFonts w:ascii="Times New Roman" w:hAnsi="Times New Roman" w:cs="Times New Roman"/>
                <w:bCs/>
                <w:sz w:val="20"/>
                <w:szCs w:val="20"/>
                <w:u w:val="single"/>
              </w:rPr>
            </w:pPr>
            <w:r w:rsidRPr="0035187E">
              <w:rPr>
                <w:rFonts w:ascii="Times New Roman" w:hAnsi="Times New Roman" w:cs="Times New Roman"/>
                <w:bCs/>
                <w:sz w:val="20"/>
                <w:szCs w:val="20"/>
                <w:u w:val="single"/>
              </w:rPr>
              <w:t>K § 12 odst. 2</w:t>
            </w:r>
            <w:r w:rsidRPr="0035187E">
              <w:rPr>
                <w:rFonts w:ascii="Times New Roman" w:hAnsi="Times New Roman" w:cs="Times New Roman"/>
                <w:sz w:val="20"/>
                <w:szCs w:val="20"/>
                <w:u w:val="single"/>
              </w:rPr>
              <w:t xml:space="preserve"> zákona o evidenci tržeb a o změně některých dalších zákonů:</w:t>
            </w:r>
            <w:r w:rsidRPr="0035187E">
              <w:rPr>
                <w:rFonts w:ascii="Times New Roman" w:hAnsi="Times New Roman" w:cs="Times New Roman"/>
                <w:bCs/>
                <w:sz w:val="20"/>
                <w:szCs w:val="20"/>
                <w:u w:val="single"/>
              </w:rPr>
              <w:t xml:space="preserve"> </w:t>
            </w:r>
          </w:p>
          <w:p w14:paraId="0DB77B93" w14:textId="7777777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Doporučujeme doplnit důvodovou zprávu o posouzení s uvedením důvodů, které stály za nezařazením určitých finančních institucí dohlížených ze strany ČNB do výčtu v § 12 odst. 2, a na základě provedení tohoto posouzení o případné rozšíření uvedeného výčtu.</w:t>
            </w:r>
          </w:p>
          <w:p w14:paraId="530C6ED3" w14:textId="77777777"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t>Odůvodnění:</w:t>
            </w:r>
          </w:p>
          <w:p w14:paraId="1F0465E0" w14:textId="7777777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Podle § 12 odst. 2 nespadají tržby řady finančních institucí mezi evidované tržby. Důvodová zpráva k tomu uvádí:</w:t>
            </w:r>
          </w:p>
          <w:p w14:paraId="06C51852" w14:textId="77777777" w:rsidR="000B4BD4" w:rsidRPr="0035187E" w:rsidRDefault="000B4BD4" w:rsidP="0035187E">
            <w:pPr>
              <w:jc w:val="both"/>
              <w:rPr>
                <w:rFonts w:ascii="Times New Roman" w:hAnsi="Times New Roman" w:cs="Times New Roman"/>
                <w:bCs/>
                <w:i/>
                <w:iCs/>
                <w:sz w:val="20"/>
                <w:szCs w:val="20"/>
              </w:rPr>
            </w:pPr>
            <w:r w:rsidRPr="0035187E">
              <w:rPr>
                <w:rFonts w:ascii="Times New Roman" w:hAnsi="Times New Roman" w:cs="Times New Roman"/>
                <w:bCs/>
                <w:i/>
                <w:iCs/>
                <w:sz w:val="20"/>
                <w:szCs w:val="20"/>
              </w:rPr>
              <w:t>„V případě odstavce 2 je postup plošného vynětí poplatníků z oblasti finančního trhu odůvodněn již existujícími mechanismy, které jsou považovány za dostatečné k uskutečnění transparentní kontroly pro účely správy daně i bez uvalení režimu evidence tržeb. Jedná se o existující právní regulaci a zejména dohled České národní banky v případě bank a zahraničních bank, spořitelních a úvěrních družstev, pojišťoven a zajišťoven, investičních společností a investičních fondů a obchodníků s cennými papíry.</w:t>
            </w:r>
          </w:p>
          <w:p w14:paraId="5242C260" w14:textId="77777777" w:rsidR="000B4BD4" w:rsidRPr="0035187E" w:rsidRDefault="000B4BD4" w:rsidP="0035187E">
            <w:pPr>
              <w:jc w:val="both"/>
              <w:rPr>
                <w:rFonts w:ascii="Times New Roman" w:hAnsi="Times New Roman" w:cs="Times New Roman"/>
                <w:bCs/>
                <w:i/>
                <w:iCs/>
                <w:sz w:val="20"/>
                <w:szCs w:val="20"/>
              </w:rPr>
            </w:pPr>
            <w:r w:rsidRPr="0035187E">
              <w:rPr>
                <w:rFonts w:ascii="Times New Roman" w:hAnsi="Times New Roman" w:cs="Times New Roman"/>
                <w:bCs/>
                <w:i/>
                <w:iCs/>
                <w:sz w:val="20"/>
                <w:szCs w:val="20"/>
              </w:rPr>
              <w:lastRenderedPageBreak/>
              <w:t>Evidování tržeb subjektů podle odstavce 2 se současně jeví jako nehospodárné (finanční a administrativní zatížení). Daňové inkaso z hotovostních tržeb těchto subjektů je mizivé v poměru k nákladům, které by musely tyto subjekty vynaložit na splnění povinností stanovených navrhovaným zákonem o evidenci tržeb. S ohledem na již existující dostatečnou regulaci je možné slevit z uvalení dalších povinností plynoucích ze zákona o evidenci tržeb vedoucích ke stejnému cíli.“</w:t>
            </w:r>
          </w:p>
          <w:p w14:paraId="3FEA7487" w14:textId="18141643" w:rsidR="000B4BD4" w:rsidRPr="0035187E" w:rsidRDefault="000B4BD4" w:rsidP="0035187E">
            <w:pPr>
              <w:jc w:val="both"/>
              <w:rPr>
                <w:rFonts w:cs="Times New Roman"/>
                <w:bCs/>
              </w:rPr>
            </w:pPr>
            <w:r w:rsidRPr="0035187E">
              <w:rPr>
                <w:rFonts w:ascii="Times New Roman" w:hAnsi="Times New Roman" w:cs="Times New Roman"/>
                <w:bCs/>
                <w:sz w:val="20"/>
                <w:szCs w:val="20"/>
              </w:rPr>
              <w:t xml:space="preserve">V uvedeném výčtu finančních institucí v § 12 odst. 2 není zahrnuta celá řada institucí, které jsou pod dohledem ČNB. Jde například o platební instituce, instituce elektronických peněz, správce nevýkonných úvěrů, poskytovatele služeb souvisejících s </w:t>
            </w:r>
            <w:proofErr w:type="spellStart"/>
            <w:r w:rsidRPr="0035187E">
              <w:rPr>
                <w:rFonts w:ascii="Times New Roman" w:hAnsi="Times New Roman" w:cs="Times New Roman"/>
                <w:bCs/>
                <w:sz w:val="20"/>
                <w:szCs w:val="20"/>
              </w:rPr>
              <w:t>kryptoaktivy</w:t>
            </w:r>
            <w:proofErr w:type="spellEnd"/>
            <w:r w:rsidRPr="0035187E">
              <w:rPr>
                <w:rFonts w:ascii="Times New Roman" w:hAnsi="Times New Roman" w:cs="Times New Roman"/>
                <w:bCs/>
                <w:sz w:val="20"/>
                <w:szCs w:val="20"/>
              </w:rPr>
              <w:t>, směnárny či různé zprostředkovatele. Z odůvodnění neplyne, proč tyto finanční instituce ve výčtu zařazeny nejsou, ačkoliv jsou regulovány a jsou pod dohledem ČNB. Zároveň není zřejmý význam zmínky o daňovém inkasu z hotovostních tržeb uvedených subjektů, vzhledem k tomu, že se má návrh zákona vztahovat i na bezhotovostní platební styk (§ 6 odst. 1 písm. b) návrhu zákona).</w:t>
            </w:r>
            <w:r w:rsidRPr="0035187E">
              <w:rPr>
                <w:rFonts w:cs="Times New Roman"/>
                <w:bCs/>
              </w:rPr>
              <w:t xml:space="preserve"> </w:t>
            </w:r>
          </w:p>
        </w:tc>
        <w:tc>
          <w:tcPr>
            <w:tcW w:w="1453" w:type="pct"/>
            <w:tcBorders>
              <w:top w:val="single" w:sz="4" w:space="0" w:color="auto"/>
              <w:left w:val="single" w:sz="4" w:space="0" w:color="auto"/>
              <w:right w:val="single" w:sz="4" w:space="0" w:color="auto"/>
            </w:tcBorders>
            <w:shd w:val="clear" w:color="auto" w:fill="auto"/>
          </w:tcPr>
          <w:p w14:paraId="0B037FA1" w14:textId="77777777"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Vyhověno částečně.</w:t>
            </w:r>
          </w:p>
          <w:p w14:paraId="3A2AA8CB"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 ve prospěch doplnění dalšího okruhu subjektů, u kterých s ohledem na regulaci a s ní související omezení podnikatelské činnosti je vynětí z evidence tržeb srovnatelné se subjekty vyjmenovanými v původním znění § 12 odst. 2 návrhu.</w:t>
            </w:r>
          </w:p>
          <w:p w14:paraId="7DE4CD85"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Došlo též k úpravě důvodové zprávy.</w:t>
            </w:r>
          </w:p>
          <w:p w14:paraId="2085331E" w14:textId="2D31EB18" w:rsidR="000B4BD4" w:rsidRPr="0035187E" w:rsidRDefault="000B4BD4" w:rsidP="0035187E">
            <w:pPr>
              <w:jc w:val="both"/>
              <w:rPr>
                <w:rFonts w:ascii="Times New Roman" w:hAnsi="Times New Roman" w:cs="Times New Roman"/>
                <w:sz w:val="20"/>
                <w:szCs w:val="20"/>
              </w:rPr>
            </w:pPr>
          </w:p>
        </w:tc>
      </w:tr>
      <w:tr w:rsidR="0035187E" w:rsidRPr="0035187E" w14:paraId="68642F9A"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A9502F3" w14:textId="7777777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27.</w:t>
            </w:r>
          </w:p>
        </w:tc>
        <w:tc>
          <w:tcPr>
            <w:tcW w:w="583" w:type="pct"/>
            <w:tcBorders>
              <w:top w:val="single" w:sz="4" w:space="0" w:color="auto"/>
              <w:left w:val="single" w:sz="4" w:space="0" w:color="auto"/>
              <w:right w:val="single" w:sz="4" w:space="0" w:color="auto"/>
            </w:tcBorders>
            <w:shd w:val="clear" w:color="auto" w:fill="auto"/>
          </w:tcPr>
          <w:p w14:paraId="719F11AC" w14:textId="7777777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Česká národní banka</w:t>
            </w:r>
          </w:p>
        </w:tc>
        <w:tc>
          <w:tcPr>
            <w:tcW w:w="168" w:type="pct"/>
            <w:tcBorders>
              <w:top w:val="single" w:sz="4" w:space="0" w:color="auto"/>
              <w:left w:val="single" w:sz="4" w:space="0" w:color="auto"/>
              <w:right w:val="single" w:sz="4" w:space="0" w:color="auto"/>
            </w:tcBorders>
            <w:shd w:val="clear" w:color="auto" w:fill="auto"/>
          </w:tcPr>
          <w:p w14:paraId="7E75D4D0" w14:textId="4D93421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3.</w:t>
            </w:r>
          </w:p>
        </w:tc>
        <w:tc>
          <w:tcPr>
            <w:tcW w:w="169" w:type="pct"/>
            <w:tcBorders>
              <w:top w:val="single" w:sz="4" w:space="0" w:color="auto"/>
              <w:left w:val="single" w:sz="4" w:space="0" w:color="auto"/>
              <w:right w:val="single" w:sz="4" w:space="0" w:color="auto"/>
            </w:tcBorders>
            <w:shd w:val="clear" w:color="auto" w:fill="auto"/>
          </w:tcPr>
          <w:p w14:paraId="09722DF8" w14:textId="7777777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33511A2" w14:textId="77777777" w:rsidR="000B4BD4" w:rsidRPr="0035187E" w:rsidRDefault="000B4BD4" w:rsidP="0035187E">
            <w:pPr>
              <w:jc w:val="both"/>
              <w:rPr>
                <w:rFonts w:ascii="Times New Roman" w:hAnsi="Times New Roman" w:cs="Times New Roman"/>
                <w:bCs/>
                <w:sz w:val="20"/>
                <w:szCs w:val="20"/>
                <w:u w:val="single"/>
              </w:rPr>
            </w:pPr>
            <w:r w:rsidRPr="0035187E">
              <w:rPr>
                <w:rFonts w:ascii="Times New Roman" w:hAnsi="Times New Roman" w:cs="Times New Roman"/>
                <w:bCs/>
                <w:sz w:val="20"/>
                <w:szCs w:val="20"/>
                <w:u w:val="single"/>
              </w:rPr>
              <w:t xml:space="preserve">K § 18 </w:t>
            </w:r>
            <w:r w:rsidRPr="0035187E">
              <w:rPr>
                <w:rFonts w:ascii="Times New Roman" w:hAnsi="Times New Roman" w:cs="Times New Roman"/>
                <w:sz w:val="20"/>
                <w:szCs w:val="20"/>
                <w:u w:val="single"/>
              </w:rPr>
              <w:t>zákona o evidenci tržeb a o změně některých dalších zákonů:</w:t>
            </w:r>
            <w:r w:rsidRPr="0035187E">
              <w:rPr>
                <w:rFonts w:ascii="Times New Roman" w:hAnsi="Times New Roman" w:cs="Times New Roman"/>
                <w:bCs/>
                <w:sz w:val="20"/>
                <w:szCs w:val="20"/>
                <w:u w:val="single"/>
              </w:rPr>
              <w:t xml:space="preserve"> </w:t>
            </w:r>
          </w:p>
          <w:p w14:paraId="55F2751A" w14:textId="7777777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Doporučujeme mezi údaje o evidované tržbě doplnit údaj o typu (způsobu) platby.</w:t>
            </w:r>
          </w:p>
          <w:p w14:paraId="51834D05" w14:textId="77777777"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t>Odůvodnění:</w:t>
            </w:r>
          </w:p>
          <w:p w14:paraId="7C5A470D" w14:textId="3E01A3AE" w:rsidR="000B4BD4" w:rsidRPr="0035187E" w:rsidRDefault="000B4BD4" w:rsidP="0035187E">
            <w:pPr>
              <w:jc w:val="both"/>
              <w:rPr>
                <w:rFonts w:cs="Times New Roman"/>
              </w:rPr>
            </w:pPr>
            <w:r w:rsidRPr="0035187E">
              <w:rPr>
                <w:rFonts w:ascii="Times New Roman" w:hAnsi="Times New Roman" w:cs="Times New Roman"/>
                <w:sz w:val="20"/>
                <w:szCs w:val="20"/>
              </w:rPr>
              <w:t>Vzhledem ke skutečnosti, že kromě tržeb v hotovosti a „</w:t>
            </w:r>
            <w:proofErr w:type="spellStart"/>
            <w:r w:rsidRPr="0035187E">
              <w:rPr>
                <w:rFonts w:ascii="Times New Roman" w:hAnsi="Times New Roman" w:cs="Times New Roman"/>
                <w:sz w:val="20"/>
                <w:szCs w:val="20"/>
              </w:rPr>
              <w:t>kvazihotovosti</w:t>
            </w:r>
            <w:proofErr w:type="spellEnd"/>
            <w:r w:rsidRPr="0035187E">
              <w:rPr>
                <w:rFonts w:ascii="Times New Roman" w:hAnsi="Times New Roman" w:cs="Times New Roman"/>
                <w:sz w:val="20"/>
                <w:szCs w:val="20"/>
              </w:rPr>
              <w:t>“ (šek, směnka, žetony, papírové poukázky apod.) se navrhuje evidovat rovněž platby bezhotovostní, typicky karetní transakce a další bezhotovostní platby (např. platby prostřednictvím QR kódu), doplnění údaje o typu (způsobu) platby bude pro stát přínosné jak z hlediska možnosti monitoringu a následné analýzy používaných platebních metod a jejich trendu, tak rovněž z hlediska výkonu kontrolní (dozorové) pravomoci.</w:t>
            </w:r>
          </w:p>
        </w:tc>
        <w:tc>
          <w:tcPr>
            <w:tcW w:w="1453" w:type="pct"/>
            <w:tcBorders>
              <w:top w:val="single" w:sz="4" w:space="0" w:color="auto"/>
              <w:left w:val="single" w:sz="4" w:space="0" w:color="auto"/>
              <w:right w:val="single" w:sz="4" w:space="0" w:color="auto"/>
            </w:tcBorders>
            <w:shd w:val="clear" w:color="auto" w:fill="auto"/>
          </w:tcPr>
          <w:p w14:paraId="39B643C1" w14:textId="1E6088DC" w:rsidR="000B4BD4" w:rsidRPr="0035187E" w:rsidRDefault="00E05E7C" w:rsidP="0035187E">
            <w:pPr>
              <w:jc w:val="both"/>
              <w:rPr>
                <w:rFonts w:ascii="Times New Roman" w:hAnsi="Times New Roman" w:cs="Times New Roman"/>
                <w:b/>
                <w:sz w:val="20"/>
                <w:szCs w:val="20"/>
              </w:rPr>
            </w:pPr>
            <w:r w:rsidRPr="0035187E">
              <w:rPr>
                <w:rFonts w:ascii="Times New Roman" w:hAnsi="Times New Roman" w:cs="Times New Roman"/>
                <w:b/>
                <w:sz w:val="20"/>
                <w:szCs w:val="20"/>
              </w:rPr>
              <w:t>Nevyhověno.</w:t>
            </w:r>
          </w:p>
          <w:p w14:paraId="786F33FD" w14:textId="1D816E71" w:rsidR="00E05E7C" w:rsidRPr="0035187E" w:rsidRDefault="00E05E7C" w:rsidP="0035187E">
            <w:pPr>
              <w:jc w:val="both"/>
              <w:rPr>
                <w:rFonts w:ascii="Times New Roman" w:hAnsi="Times New Roman" w:cs="Times New Roman"/>
                <w:sz w:val="20"/>
                <w:szCs w:val="20"/>
              </w:rPr>
            </w:pPr>
            <w:r w:rsidRPr="0035187E">
              <w:rPr>
                <w:rFonts w:ascii="Times New Roman" w:hAnsi="Times New Roman" w:cs="Times New Roman"/>
                <w:sz w:val="20"/>
                <w:szCs w:val="20"/>
              </w:rPr>
              <w:t>S ohledem na zvýšenou zátěž, kterou by takové rozlišování kladlo na poplatníky (včetně nutnosti řešit hybridní situace), se o takové možnosti neuvažuje.</w:t>
            </w:r>
          </w:p>
          <w:p w14:paraId="2E64B443" w14:textId="57746928" w:rsidR="00AB4548" w:rsidRPr="0035187E" w:rsidRDefault="00AB4548" w:rsidP="0035187E">
            <w:pPr>
              <w:jc w:val="both"/>
              <w:rPr>
                <w:rFonts w:ascii="Times New Roman" w:hAnsi="Times New Roman" w:cs="Times New Roman"/>
                <w:sz w:val="20"/>
                <w:szCs w:val="20"/>
              </w:rPr>
            </w:pPr>
          </w:p>
        </w:tc>
      </w:tr>
      <w:tr w:rsidR="0035187E" w:rsidRPr="0035187E" w14:paraId="30C72C6A"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40CE3F51" w14:textId="227B9E0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27.</w:t>
            </w:r>
          </w:p>
        </w:tc>
        <w:tc>
          <w:tcPr>
            <w:tcW w:w="583" w:type="pct"/>
            <w:tcBorders>
              <w:top w:val="single" w:sz="4" w:space="0" w:color="auto"/>
              <w:left w:val="single" w:sz="4" w:space="0" w:color="auto"/>
              <w:right w:val="single" w:sz="4" w:space="0" w:color="auto"/>
            </w:tcBorders>
            <w:shd w:val="clear" w:color="auto" w:fill="auto"/>
          </w:tcPr>
          <w:p w14:paraId="435FE7E8" w14:textId="781BD42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Česká národní banka</w:t>
            </w:r>
          </w:p>
        </w:tc>
        <w:tc>
          <w:tcPr>
            <w:tcW w:w="168" w:type="pct"/>
            <w:tcBorders>
              <w:top w:val="single" w:sz="4" w:space="0" w:color="auto"/>
              <w:left w:val="single" w:sz="4" w:space="0" w:color="auto"/>
              <w:right w:val="single" w:sz="4" w:space="0" w:color="auto"/>
            </w:tcBorders>
            <w:shd w:val="clear" w:color="auto" w:fill="auto"/>
          </w:tcPr>
          <w:p w14:paraId="5150952F" w14:textId="24FA8BA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w:t>
            </w:r>
          </w:p>
        </w:tc>
        <w:tc>
          <w:tcPr>
            <w:tcW w:w="169" w:type="pct"/>
            <w:tcBorders>
              <w:top w:val="single" w:sz="4" w:space="0" w:color="auto"/>
              <w:left w:val="single" w:sz="4" w:space="0" w:color="auto"/>
              <w:right w:val="single" w:sz="4" w:space="0" w:color="auto"/>
            </w:tcBorders>
            <w:shd w:val="clear" w:color="auto" w:fill="auto"/>
          </w:tcPr>
          <w:p w14:paraId="1B78071D" w14:textId="5C6CF4A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950E710" w14:textId="77777777"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K návrhu změny v § 6 odst. 9 písm. d) bod 2 a 3 zákona č. 586/1992 Sb., o daních z příjmů, ve znění pozdějších předpisů:</w:t>
            </w:r>
          </w:p>
          <w:p w14:paraId="4FBD1A77" w14:textId="77777777" w:rsidR="000B4BD4" w:rsidRPr="0035187E" w:rsidRDefault="000B4BD4" w:rsidP="0035187E">
            <w:pPr>
              <w:jc w:val="both"/>
              <w:rPr>
                <w:rFonts w:ascii="Times New Roman" w:eastAsia="Calibri" w:hAnsi="Times New Roman" w:cs="Times New Roman"/>
                <w:sz w:val="20"/>
                <w:szCs w:val="20"/>
              </w:rPr>
            </w:pPr>
            <w:r w:rsidRPr="0035187E">
              <w:rPr>
                <w:rFonts w:ascii="Times New Roman" w:eastAsia="Calibri" w:hAnsi="Times New Roman" w:cs="Times New Roman"/>
                <w:sz w:val="20"/>
                <w:szCs w:val="20"/>
              </w:rPr>
              <w:t>Doporučujeme buď jednoznačné zákonné vymezení pojmů „poskytnutí rekreace nebo zájezdu“ a „použití vzdělávacích a rekreačních zařízení“, nebo sjednocení režimu rekreace a rekreačních zařízení tak, aby byla zajištěna skutečná právní jistota zaměstnavatelů i zaměstnanců v této oblasti.</w:t>
            </w:r>
          </w:p>
          <w:p w14:paraId="24AD3647" w14:textId="77777777"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t>Odůvodnění:</w:t>
            </w:r>
          </w:p>
          <w:p w14:paraId="2407FC9D" w14:textId="77777777" w:rsidR="000B4BD4" w:rsidRPr="0035187E" w:rsidRDefault="000B4BD4" w:rsidP="0035187E">
            <w:pPr>
              <w:jc w:val="both"/>
              <w:rPr>
                <w:rFonts w:ascii="Times New Roman" w:eastAsia="Calibri" w:hAnsi="Times New Roman" w:cs="Times New Roman"/>
                <w:iCs/>
                <w:sz w:val="20"/>
                <w:szCs w:val="20"/>
              </w:rPr>
            </w:pPr>
            <w:r w:rsidRPr="0035187E">
              <w:rPr>
                <w:rFonts w:ascii="Times New Roman" w:hAnsi="Times New Roman" w:cs="Times New Roman"/>
                <w:iCs/>
                <w:sz w:val="20"/>
                <w:szCs w:val="20"/>
              </w:rPr>
              <w:t xml:space="preserve">Dle důvodové zprávy se </w:t>
            </w:r>
            <w:r w:rsidRPr="0035187E">
              <w:rPr>
                <w:rFonts w:ascii="Times New Roman" w:eastAsia="Calibri" w:hAnsi="Times New Roman" w:cs="Times New Roman"/>
                <w:iCs/>
                <w:sz w:val="20"/>
                <w:szCs w:val="20"/>
              </w:rPr>
              <w:t xml:space="preserve">navrhuje v ustanovení § 6 odst. 9 písm. d) zákona o daních z příjmů </w:t>
            </w:r>
            <w:proofErr w:type="spellStart"/>
            <w:r w:rsidRPr="0035187E">
              <w:rPr>
                <w:rFonts w:ascii="Times New Roman" w:eastAsia="Calibri" w:hAnsi="Times New Roman" w:cs="Times New Roman"/>
                <w:iCs/>
                <w:sz w:val="20"/>
                <w:szCs w:val="20"/>
              </w:rPr>
              <w:t>zastropovat</w:t>
            </w:r>
            <w:proofErr w:type="spellEnd"/>
            <w:r w:rsidRPr="0035187E">
              <w:rPr>
                <w:rFonts w:ascii="Times New Roman" w:eastAsia="Calibri" w:hAnsi="Times New Roman" w:cs="Times New Roman"/>
                <w:iCs/>
                <w:sz w:val="20"/>
                <w:szCs w:val="20"/>
              </w:rPr>
              <w:t xml:space="preserve"> daňové osvobození nepeněžního plnění poskytnutého zaměstnavatelem zaměstnanci ve formě rekreace a zájezdu v úhrnu nejvýše částkou 20 000 Kč za zdaňovací období. </w:t>
            </w:r>
            <w:proofErr w:type="spellStart"/>
            <w:r w:rsidRPr="0035187E">
              <w:rPr>
                <w:rFonts w:ascii="Times New Roman" w:eastAsia="Calibri" w:hAnsi="Times New Roman" w:cs="Times New Roman"/>
                <w:iCs/>
                <w:sz w:val="20"/>
                <w:szCs w:val="20"/>
              </w:rPr>
              <w:t>Zastropování</w:t>
            </w:r>
            <w:proofErr w:type="spellEnd"/>
            <w:r w:rsidRPr="0035187E">
              <w:rPr>
                <w:rFonts w:ascii="Times New Roman" w:eastAsia="Calibri" w:hAnsi="Times New Roman" w:cs="Times New Roman"/>
                <w:iCs/>
                <w:sz w:val="20"/>
                <w:szCs w:val="20"/>
              </w:rPr>
              <w:t xml:space="preserve"> daňového osvobození nepeněžního plnění na rekreaci a zájezdy podle důvodové zprávy omezuje negativní dopady na veřejné rozpočty a brání nepřímému zvýhodňování ekonomicky zdatnějších zaměstnavatelů. Současně má zajistit, aby daňové zvýhodnění plnilo svůj sociální účel podpory běžné rekreace a regenerace pracovní síly, nikoli financování nadstandardních forem dovolené. V případě shora popsaných úprav se jedná o vrácení rozsahu osvobození nepeněžních benefitů zaměstnanců do stavu, který byl zákonem o daních z příjmů upraven s účinností do 31. prosince 2023.</w:t>
            </w:r>
          </w:p>
          <w:p w14:paraId="6172DD10" w14:textId="77777777" w:rsidR="000B4BD4" w:rsidRPr="0035187E" w:rsidRDefault="000B4BD4" w:rsidP="0035187E">
            <w:pPr>
              <w:jc w:val="both"/>
              <w:rPr>
                <w:rFonts w:ascii="Times New Roman" w:eastAsia="Calibri" w:hAnsi="Times New Roman" w:cs="Times New Roman"/>
                <w:sz w:val="20"/>
                <w:szCs w:val="20"/>
              </w:rPr>
            </w:pPr>
            <w:r w:rsidRPr="0035187E">
              <w:rPr>
                <w:rFonts w:ascii="Times New Roman" w:eastAsia="Calibri" w:hAnsi="Times New Roman" w:cs="Times New Roman"/>
                <w:sz w:val="20"/>
                <w:szCs w:val="20"/>
              </w:rPr>
              <w:t xml:space="preserve">Domníváme se, že v případě schválení navrženého znění § 6 odst. 9 písm. d) bodu 2 a 3 dojde k obnovení problému, který se v praxi vyskytoval do 31. 12. 2023, což však </w:t>
            </w:r>
            <w:r w:rsidRPr="0035187E">
              <w:rPr>
                <w:rFonts w:ascii="Times New Roman" w:eastAsia="Calibri" w:hAnsi="Times New Roman" w:cs="Times New Roman"/>
                <w:sz w:val="20"/>
                <w:szCs w:val="20"/>
              </w:rPr>
              <w:lastRenderedPageBreak/>
              <w:t xml:space="preserve">důvodová zpráva nijak nereflektuje. Zavedením téměř totožné textace by se znovu otevřela problematika nejasného vymezení pojmů „použití vzdělávacích a rekreačních zařízení“ a „poskytnutí rekreace nebo zájezdu“.  </w:t>
            </w:r>
          </w:p>
          <w:p w14:paraId="66B5B19C" w14:textId="57F03A9B" w:rsidR="000B4BD4" w:rsidRPr="0035187E" w:rsidRDefault="000B4BD4" w:rsidP="0035187E">
            <w:pPr>
              <w:jc w:val="both"/>
              <w:rPr>
                <w:rFonts w:eastAsia="Calibri" w:cs="Times New Roman"/>
              </w:rPr>
            </w:pPr>
            <w:r w:rsidRPr="0035187E">
              <w:rPr>
                <w:rFonts w:ascii="Times New Roman" w:eastAsia="Calibri" w:hAnsi="Times New Roman" w:cs="Times New Roman"/>
                <w:sz w:val="20"/>
                <w:szCs w:val="20"/>
              </w:rPr>
              <w:t>Tyto pojmy nejsou právními předpisy definovány a v praxi tak již v minulosti působily výkladové nejasnosti a aplikační obtíže. Podle navrženého znění by se přitom limit 20 000 Kč vztahoval na „poskytnutí rekreace nebo zájezdu“, zatímco na „použití vzdělávacích a rekreačních zařízení“ nikoli.</w:t>
            </w:r>
            <w:r w:rsidRPr="0035187E">
              <w:rPr>
                <w:rFonts w:eastAsia="Calibri" w:cs="Times New Roman"/>
              </w:rPr>
              <w:t xml:space="preserve"> </w:t>
            </w:r>
          </w:p>
        </w:tc>
        <w:tc>
          <w:tcPr>
            <w:tcW w:w="1453" w:type="pct"/>
            <w:tcBorders>
              <w:top w:val="single" w:sz="4" w:space="0" w:color="auto"/>
              <w:left w:val="single" w:sz="4" w:space="0" w:color="auto"/>
              <w:right w:val="single" w:sz="4" w:space="0" w:color="auto"/>
            </w:tcBorders>
            <w:shd w:val="clear" w:color="auto" w:fill="auto"/>
          </w:tcPr>
          <w:p w14:paraId="36C811A5" w14:textId="77777777" w:rsidR="0021550B" w:rsidRPr="0035187E" w:rsidRDefault="0021550B"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Nevyhověno.</w:t>
            </w:r>
          </w:p>
          <w:p w14:paraId="3459C966" w14:textId="77777777" w:rsidR="0021550B" w:rsidRPr="0035187E" w:rsidRDefault="0021550B"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Limit 20 000 Kč se vztahuje výhradně na rekreaci a zájezdy zajišťované zaměstnavatelem prostřednictvím externího subjektu (např. cestovní kanceláře). Vlastní rekreační zařízení zaměstnavatele mají odlišný charakter, často nabízejí nízkonákladové a opakovaně dostupné služby, a jejich zahrnutí do jednotného limitu by mohlo nepřiměřeně omezit zaměstnance firem disponujících vlastními zařízeními a snížit motivaci tyto výhody poskytovat. </w:t>
            </w:r>
          </w:p>
          <w:p w14:paraId="73901B74" w14:textId="77777777" w:rsidR="0021550B" w:rsidRPr="0035187E" w:rsidRDefault="0021550B" w:rsidP="0035187E">
            <w:pPr>
              <w:jc w:val="both"/>
              <w:rPr>
                <w:rFonts w:ascii="Times New Roman" w:hAnsi="Times New Roman" w:cs="Times New Roman"/>
                <w:sz w:val="20"/>
                <w:szCs w:val="20"/>
              </w:rPr>
            </w:pPr>
            <w:r w:rsidRPr="0035187E">
              <w:rPr>
                <w:rFonts w:ascii="Times New Roman" w:hAnsi="Times New Roman" w:cs="Times New Roman"/>
                <w:sz w:val="20"/>
                <w:szCs w:val="20"/>
              </w:rPr>
              <w:t>Zachování samostatného ustanovení pro vlastní zařízení umožňuje spravedlivé podmínky pro všechny zaměstnance, zajišťuje přehlednou evidenci a jasnou právní úpravu, zatímco limit 20 000 Kč u externích rekreací a zájezdů garantuje rovný přístup k tomuto typu benefitů bez nepřiměřeného zvýhodnění konkrétních zaměstnavatelů či zaměstnanců.</w:t>
            </w:r>
          </w:p>
          <w:p w14:paraId="636B91D9" w14:textId="441A0F41" w:rsidR="000B4BD4" w:rsidRPr="0035187E" w:rsidRDefault="000B4BD4" w:rsidP="0035187E">
            <w:pPr>
              <w:jc w:val="both"/>
              <w:rPr>
                <w:rFonts w:ascii="Times New Roman" w:hAnsi="Times New Roman" w:cs="Times New Roman"/>
                <w:sz w:val="20"/>
                <w:szCs w:val="20"/>
              </w:rPr>
            </w:pPr>
          </w:p>
        </w:tc>
      </w:tr>
      <w:tr w:rsidR="0035187E" w:rsidRPr="0035187E" w14:paraId="67D79A3A"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D515CE1" w14:textId="1149DB3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29.</w:t>
            </w:r>
          </w:p>
        </w:tc>
        <w:tc>
          <w:tcPr>
            <w:tcW w:w="583" w:type="pct"/>
            <w:tcBorders>
              <w:top w:val="single" w:sz="4" w:space="0" w:color="auto"/>
              <w:left w:val="single" w:sz="4" w:space="0" w:color="auto"/>
              <w:right w:val="single" w:sz="4" w:space="0" w:color="auto"/>
            </w:tcBorders>
            <w:shd w:val="clear" w:color="auto" w:fill="auto"/>
          </w:tcPr>
          <w:p w14:paraId="356520F2" w14:textId="495A09D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Českomoravská konfederace odborových svazů</w:t>
            </w:r>
          </w:p>
        </w:tc>
        <w:tc>
          <w:tcPr>
            <w:tcW w:w="168" w:type="pct"/>
            <w:tcBorders>
              <w:top w:val="single" w:sz="4" w:space="0" w:color="auto"/>
              <w:left w:val="single" w:sz="4" w:space="0" w:color="auto"/>
              <w:right w:val="single" w:sz="4" w:space="0" w:color="auto"/>
            </w:tcBorders>
            <w:shd w:val="clear" w:color="auto" w:fill="auto"/>
          </w:tcPr>
          <w:p w14:paraId="03ADAB79" w14:textId="39D4489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38980657" w14:textId="1FF1350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D8BC23B" w14:textId="33962551" w:rsidR="000B4BD4" w:rsidRPr="0035187E" w:rsidRDefault="000B4BD4" w:rsidP="0035187E">
            <w:pPr>
              <w:keepNext/>
              <w:numPr>
                <w:ilvl w:val="1"/>
                <w:numId w:val="44"/>
              </w:numPr>
              <w:jc w:val="both"/>
              <w:outlineLvl w:val="1"/>
              <w:rPr>
                <w:rFonts w:ascii="Times New Roman" w:hAnsi="Times New Roman" w:cs="Times New Roman"/>
                <w:b/>
                <w:sz w:val="20"/>
                <w:szCs w:val="20"/>
              </w:rPr>
            </w:pPr>
            <w:r w:rsidRPr="0035187E">
              <w:rPr>
                <w:rFonts w:ascii="Times New Roman" w:hAnsi="Times New Roman" w:cs="Times New Roman"/>
                <w:b/>
                <w:sz w:val="20"/>
                <w:szCs w:val="20"/>
              </w:rPr>
              <w:t>Obecně</w:t>
            </w:r>
          </w:p>
          <w:p w14:paraId="22225803" w14:textId="77777777" w:rsidR="000B4BD4" w:rsidRPr="0035187E" w:rsidRDefault="000B4BD4" w:rsidP="0035187E">
            <w:pPr>
              <w:keepNext/>
              <w:numPr>
                <w:ilvl w:val="1"/>
                <w:numId w:val="44"/>
              </w:numPr>
              <w:jc w:val="both"/>
              <w:outlineLvl w:val="1"/>
              <w:rPr>
                <w:rFonts w:ascii="Times New Roman" w:hAnsi="Times New Roman" w:cs="Times New Roman"/>
                <w:b/>
                <w:sz w:val="20"/>
                <w:szCs w:val="20"/>
              </w:rPr>
            </w:pPr>
          </w:p>
          <w:p w14:paraId="55A728B9" w14:textId="74A70ADB" w:rsidR="000B4BD4" w:rsidRPr="0035187E" w:rsidRDefault="000B4BD4" w:rsidP="0035187E">
            <w:pPr>
              <w:numPr>
                <w:ilvl w:val="0"/>
                <w:numId w:val="45"/>
              </w:numPr>
              <w:tabs>
                <w:tab w:val="right" w:pos="426"/>
              </w:tabs>
              <w:ind w:left="0" w:firstLine="0"/>
              <w:jc w:val="both"/>
              <w:rPr>
                <w:rFonts w:ascii="Times New Roman" w:hAnsi="Times New Roman" w:cs="Times New Roman"/>
                <w:sz w:val="20"/>
                <w:szCs w:val="20"/>
              </w:rPr>
            </w:pPr>
            <w:r w:rsidRPr="0035187E">
              <w:rPr>
                <w:rFonts w:ascii="Times New Roman" w:hAnsi="Times New Roman" w:cs="Times New Roman"/>
                <w:sz w:val="20"/>
                <w:szCs w:val="20"/>
              </w:rPr>
              <w:t>ČMKOS byla vždy zastáncem a podporovatelem všech opatření posilujících rovné podnikatelské prostředí, stejně i spravedlivé rozložení daňového břemene mezi jednotlivé daňové subjekty – daňové poplatníky České republiky. Z tohoto důvodu vítá a podporuje znovuzavedení systému EET 2.0 jako významného nástroje podporujícího nejen rovné podnikatelské prostředí pro všechny subjekty, ale i jako klíčový nástroj boje proti daňovým únikům a za nápravu podnikatelského prostředí.</w:t>
            </w:r>
          </w:p>
          <w:p w14:paraId="475862FA" w14:textId="77777777" w:rsidR="000B4BD4" w:rsidRPr="0035187E" w:rsidRDefault="000B4BD4" w:rsidP="0035187E">
            <w:pPr>
              <w:tabs>
                <w:tab w:val="right" w:pos="426"/>
              </w:tabs>
              <w:jc w:val="both"/>
              <w:rPr>
                <w:rFonts w:ascii="Times New Roman" w:hAnsi="Times New Roman" w:cs="Times New Roman"/>
                <w:sz w:val="20"/>
                <w:szCs w:val="20"/>
              </w:rPr>
            </w:pPr>
          </w:p>
          <w:p w14:paraId="08D23281" w14:textId="24D9EE8F" w:rsidR="000B4BD4" w:rsidRPr="0035187E" w:rsidRDefault="000B4BD4" w:rsidP="0035187E">
            <w:pPr>
              <w:tabs>
                <w:tab w:val="right" w:pos="426"/>
              </w:tabs>
              <w:jc w:val="both"/>
              <w:rPr>
                <w:rFonts w:ascii="Times New Roman" w:hAnsi="Times New Roman" w:cs="Times New Roman"/>
                <w:sz w:val="20"/>
                <w:szCs w:val="20"/>
              </w:rPr>
            </w:pPr>
            <w:r w:rsidRPr="0035187E">
              <w:rPr>
                <w:rFonts w:ascii="Times New Roman" w:hAnsi="Times New Roman" w:cs="Times New Roman"/>
                <w:sz w:val="20"/>
                <w:szCs w:val="20"/>
              </w:rPr>
              <w:t>Považujeme za klíčové, nejen pro vnímání společností, ale i funkčnost daňového systému dodržení zásady, že nové řešení evidence tržeb bude jednoduché, přiměřené a že nebude přenášet náklady a rizika na zaměstnance kontrolovaných provozoven.</w:t>
            </w:r>
          </w:p>
          <w:p w14:paraId="57A1A057" w14:textId="77777777" w:rsidR="000B4BD4" w:rsidRPr="0035187E" w:rsidRDefault="000B4BD4" w:rsidP="0035187E">
            <w:pPr>
              <w:tabs>
                <w:tab w:val="right" w:pos="426"/>
              </w:tabs>
              <w:jc w:val="both"/>
              <w:rPr>
                <w:rFonts w:ascii="Times New Roman" w:hAnsi="Times New Roman" w:cs="Times New Roman"/>
                <w:sz w:val="20"/>
                <w:szCs w:val="20"/>
              </w:rPr>
            </w:pPr>
          </w:p>
          <w:p w14:paraId="02E8248E" w14:textId="6E9112E1" w:rsidR="000B4BD4" w:rsidRPr="0035187E" w:rsidRDefault="000B4BD4" w:rsidP="0035187E">
            <w:pPr>
              <w:tabs>
                <w:tab w:val="right" w:pos="426"/>
              </w:tabs>
              <w:jc w:val="both"/>
              <w:rPr>
                <w:rFonts w:ascii="Times New Roman" w:hAnsi="Times New Roman" w:cs="Times New Roman"/>
                <w:sz w:val="20"/>
                <w:szCs w:val="20"/>
              </w:rPr>
            </w:pPr>
            <w:r w:rsidRPr="0035187E">
              <w:rPr>
                <w:rFonts w:ascii="Times New Roman" w:hAnsi="Times New Roman" w:cs="Times New Roman"/>
                <w:sz w:val="20"/>
                <w:szCs w:val="20"/>
              </w:rPr>
              <w:t xml:space="preserve">ČMKOS se tak hlásí k předkladatelem v předkládací zprávě zdůrazněnému principu neutrality. Přísné dodržení principu neutrality, tj. že </w:t>
            </w:r>
            <w:r w:rsidRPr="0035187E">
              <w:rPr>
                <w:rFonts w:ascii="Times New Roman" w:hAnsi="Times New Roman" w:cs="Times New Roman"/>
                <w:i/>
                <w:iCs/>
                <w:sz w:val="20"/>
                <w:szCs w:val="20"/>
              </w:rPr>
              <w:t>„evidenci tržeb budou podléhat všechny formy plateb, pokud budou uskutečněny kontaktně v provozovně nebo za fyzické interakce se zákazníkem“</w:t>
            </w:r>
            <w:r w:rsidRPr="0035187E">
              <w:rPr>
                <w:rFonts w:ascii="Times New Roman" w:hAnsi="Times New Roman" w:cs="Times New Roman"/>
                <w:sz w:val="20"/>
                <w:szCs w:val="20"/>
              </w:rPr>
              <w:t xml:space="preserve"> považujeme pro řádné a spravedlivé fungování systému EET 2.0 za klíčové.</w:t>
            </w:r>
          </w:p>
          <w:p w14:paraId="4E8E2372" w14:textId="77777777" w:rsidR="000B4BD4" w:rsidRPr="0035187E" w:rsidRDefault="000B4BD4" w:rsidP="0035187E">
            <w:pPr>
              <w:tabs>
                <w:tab w:val="right" w:pos="426"/>
              </w:tabs>
              <w:jc w:val="both"/>
              <w:rPr>
                <w:rFonts w:ascii="Times New Roman" w:hAnsi="Times New Roman" w:cs="Times New Roman"/>
                <w:sz w:val="20"/>
                <w:szCs w:val="20"/>
              </w:rPr>
            </w:pPr>
          </w:p>
          <w:p w14:paraId="1ECF1D13" w14:textId="3DF2A0DC" w:rsidR="000B4BD4" w:rsidRPr="0035187E" w:rsidRDefault="000B4BD4" w:rsidP="0035187E">
            <w:pPr>
              <w:tabs>
                <w:tab w:val="right" w:pos="426"/>
              </w:tabs>
              <w:jc w:val="both"/>
              <w:rPr>
                <w:rFonts w:ascii="Times New Roman" w:hAnsi="Times New Roman" w:cs="Times New Roman"/>
                <w:i/>
                <w:iCs/>
                <w:sz w:val="20"/>
                <w:szCs w:val="20"/>
              </w:rPr>
            </w:pPr>
            <w:r w:rsidRPr="0035187E">
              <w:rPr>
                <w:rFonts w:ascii="Times New Roman" w:hAnsi="Times New Roman" w:cs="Times New Roman"/>
                <w:sz w:val="20"/>
                <w:szCs w:val="20"/>
              </w:rPr>
              <w:t xml:space="preserve">Zcela se shodujeme s názorem předkladatele, že </w:t>
            </w:r>
            <w:r w:rsidRPr="0035187E">
              <w:rPr>
                <w:rFonts w:ascii="Times New Roman" w:hAnsi="Times New Roman" w:cs="Times New Roman"/>
                <w:i/>
                <w:iCs/>
                <w:sz w:val="20"/>
                <w:szCs w:val="20"/>
              </w:rPr>
              <w:t>„vynětí určitého typu plateb by mohlo vést ke změně vzorce chování poplatníků ve prospěch preference pouze některých plateb. Tím by došlo mj. k nežádoucímu zúžení platebních možností zákazníků.“</w:t>
            </w:r>
          </w:p>
          <w:p w14:paraId="2011E699" w14:textId="77777777" w:rsidR="000B4BD4" w:rsidRPr="0035187E" w:rsidRDefault="000B4BD4" w:rsidP="0035187E">
            <w:pPr>
              <w:tabs>
                <w:tab w:val="right" w:pos="426"/>
              </w:tabs>
              <w:jc w:val="both"/>
              <w:rPr>
                <w:rFonts w:ascii="Times New Roman" w:hAnsi="Times New Roman" w:cs="Times New Roman"/>
                <w:sz w:val="20"/>
                <w:szCs w:val="20"/>
              </w:rPr>
            </w:pPr>
          </w:p>
          <w:p w14:paraId="0A9B324E" w14:textId="69C84AC7" w:rsidR="000B4BD4" w:rsidRPr="0035187E" w:rsidRDefault="000B4BD4" w:rsidP="0035187E">
            <w:pPr>
              <w:tabs>
                <w:tab w:val="right" w:pos="426"/>
              </w:tabs>
              <w:jc w:val="both"/>
              <w:rPr>
                <w:rFonts w:ascii="Times New Roman" w:hAnsi="Times New Roman" w:cs="Times New Roman"/>
                <w:sz w:val="20"/>
                <w:szCs w:val="20"/>
              </w:rPr>
            </w:pPr>
            <w:r w:rsidRPr="0035187E">
              <w:rPr>
                <w:rFonts w:ascii="Times New Roman" w:hAnsi="Times New Roman" w:cs="Times New Roman"/>
                <w:sz w:val="20"/>
                <w:szCs w:val="20"/>
              </w:rPr>
              <w:t>Z tohoto hlediska tak považuje ČMKOS za diskutabilní návrh předkladatele na vynětí poplatníků nacházejících se v paušálním režimu daně z příjmů. To zvláště platí v situaci, kdy v předložené dokumentaci není dostatečně definován způsob kontroly či ověření skutečného stavu u těchto poplatníků a ani není kvantifikována výše předpokládané přirážky k paušální záloze na daň z příjmů v případě, že subjekt tuto možnost vyvázání se ze systému evidence tržeb zvolí. ČMKOS tak v návrhu, jak je předložen, spatřuje riziko nerovného přístupu a tolerance daňových úniků.</w:t>
            </w:r>
          </w:p>
          <w:p w14:paraId="43E9B445" w14:textId="77777777" w:rsidR="000B4BD4" w:rsidRPr="0035187E" w:rsidRDefault="000B4BD4" w:rsidP="0035187E">
            <w:pPr>
              <w:tabs>
                <w:tab w:val="right" w:pos="426"/>
              </w:tabs>
              <w:jc w:val="both"/>
              <w:rPr>
                <w:rFonts w:ascii="Times New Roman" w:hAnsi="Times New Roman" w:cs="Times New Roman"/>
                <w:sz w:val="20"/>
                <w:szCs w:val="20"/>
              </w:rPr>
            </w:pPr>
          </w:p>
          <w:p w14:paraId="7EE5A0FD" w14:textId="77B59E32" w:rsidR="000B4BD4" w:rsidRPr="0035187E" w:rsidRDefault="000B4BD4" w:rsidP="0035187E">
            <w:pPr>
              <w:tabs>
                <w:tab w:val="right" w:pos="426"/>
              </w:tabs>
              <w:jc w:val="both"/>
              <w:rPr>
                <w:rFonts w:ascii="Times New Roman" w:hAnsi="Times New Roman" w:cs="Times New Roman"/>
                <w:sz w:val="20"/>
                <w:szCs w:val="20"/>
              </w:rPr>
            </w:pPr>
            <w:r w:rsidRPr="0035187E">
              <w:rPr>
                <w:rFonts w:ascii="Times New Roman" w:hAnsi="Times New Roman" w:cs="Times New Roman"/>
                <w:sz w:val="20"/>
                <w:szCs w:val="20"/>
              </w:rPr>
              <w:t xml:space="preserve">Požadujeme proto, aby tento systém byl vyjasněn, podrobněji popsán a především kvantifikován. </w:t>
            </w:r>
          </w:p>
          <w:p w14:paraId="0D82C9EC" w14:textId="77777777" w:rsidR="000B4BD4" w:rsidRPr="0035187E" w:rsidRDefault="000B4BD4" w:rsidP="0035187E">
            <w:pPr>
              <w:tabs>
                <w:tab w:val="right" w:pos="426"/>
              </w:tabs>
              <w:jc w:val="both"/>
              <w:rPr>
                <w:rFonts w:ascii="Times New Roman" w:hAnsi="Times New Roman" w:cs="Times New Roman"/>
                <w:sz w:val="20"/>
                <w:szCs w:val="20"/>
              </w:rPr>
            </w:pPr>
          </w:p>
          <w:p w14:paraId="3B381916" w14:textId="73994F8A" w:rsidR="000B4BD4" w:rsidRPr="0035187E" w:rsidRDefault="000B4BD4" w:rsidP="0035187E">
            <w:pPr>
              <w:tabs>
                <w:tab w:val="right" w:pos="426"/>
              </w:tabs>
              <w:jc w:val="both"/>
              <w:rPr>
                <w:rFonts w:ascii="Times New Roman" w:hAnsi="Times New Roman" w:cs="Times New Roman"/>
                <w:sz w:val="20"/>
                <w:szCs w:val="20"/>
              </w:rPr>
            </w:pPr>
            <w:r w:rsidRPr="0035187E">
              <w:rPr>
                <w:rFonts w:ascii="Times New Roman" w:hAnsi="Times New Roman" w:cs="Times New Roman"/>
                <w:b/>
                <w:sz w:val="20"/>
                <w:szCs w:val="20"/>
              </w:rPr>
              <w:t>Tuto připomínku považujeme za zásadní.</w:t>
            </w:r>
          </w:p>
        </w:tc>
        <w:tc>
          <w:tcPr>
            <w:tcW w:w="1453" w:type="pct"/>
            <w:tcBorders>
              <w:top w:val="single" w:sz="4" w:space="0" w:color="auto"/>
              <w:left w:val="single" w:sz="4" w:space="0" w:color="auto"/>
              <w:right w:val="single" w:sz="4" w:space="0" w:color="auto"/>
            </w:tcBorders>
            <w:shd w:val="clear" w:color="auto" w:fill="auto"/>
          </w:tcPr>
          <w:p w14:paraId="4EE39151" w14:textId="031D74A6"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Nevyhověno.</w:t>
            </w:r>
          </w:p>
          <w:p w14:paraId="4959110C" w14:textId="6C012938" w:rsidR="000B4BD4" w:rsidRPr="0035187E" w:rsidRDefault="000B4BD4"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Jak vyplývá z důvodové zprávy, povinnost evidence tržeb by neměla představovat neúměrnou administrativní zátěž pro nejmenší poplatníky s příjmy ze samostatné činnosti, jejichž administrativní zátěž je již v tuto chvíli minimalizována tím, že jsou poplatníky v paušálním režimu. Z tohoto důvodu se v návrhu zákona o evidenci tržeb navrhuje z povinnosti evidence tržeb vyjmout poplatníky v paušálním režimu s nejnižšími příjmy, kteří si zvolili, že namísto evidence tržeb zvýší své paušální zálohy na daň z příjmů (resp. svou paušální daň), tzv. režim „EET OFF“. Zvýšení paušální zálohy na daň z příjmů těchto poplatníků má v zásadě dvojí funkci – zohledňuje náklady, které by poplatník musel vynaložit na plnění povinnosti evidence tržeb, kdyby nebyl této povinnosti zproštěn, čímž narovnává podmínky mezi poplatníky, a současně zohledňuje fiskální rizika spojená s možnými daňovými úniky, které by jinak byly evidencí tržeb zachyceny.</w:t>
            </w:r>
          </w:p>
          <w:p w14:paraId="7F41CAD5"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Výše přirážky zvyšující paušální zálohy na daň z příjmů je upravena v navrhovaném znění ustanovení § 38lk odst. 8 zákona o dani z příjmů, a to ve výši 1400 Kč měsíčně.  Dotčení poplatníci, tak budou platit na paušálních zálohách místo 100 Kč 1500 Kč měsíčně. Obecně je nutno vnímat režim EET OFF nikoliv jako výjimku, ale spíše jako součást komplexního řešení evidence tržeb EET 2.0. Zároveň se jedná o politický konsensus.</w:t>
            </w:r>
          </w:p>
          <w:p w14:paraId="55FB1780" w14:textId="77777777" w:rsidR="004F6CEB" w:rsidRPr="0035187E" w:rsidRDefault="004F6CEB" w:rsidP="0035187E">
            <w:pPr>
              <w:jc w:val="both"/>
              <w:rPr>
                <w:rFonts w:ascii="Times New Roman" w:hAnsi="Times New Roman" w:cs="Times New Roman"/>
                <w:sz w:val="20"/>
                <w:szCs w:val="20"/>
              </w:rPr>
            </w:pPr>
          </w:p>
          <w:p w14:paraId="411EC8E5" w14:textId="0EF0B1CB" w:rsidR="001E10EF" w:rsidRPr="0035187E" w:rsidRDefault="004F6CEB"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Připomínkové místo uvedlo, že považuje vypořádání za akceptovatelné a netrvá na rozporu.</w:t>
            </w:r>
          </w:p>
          <w:p w14:paraId="722746E4" w14:textId="6E4C7367" w:rsidR="001E10EF" w:rsidRPr="0035187E" w:rsidRDefault="001E10EF" w:rsidP="0035187E">
            <w:pPr>
              <w:jc w:val="both"/>
              <w:rPr>
                <w:rFonts w:ascii="Times New Roman" w:hAnsi="Times New Roman" w:cs="Times New Roman"/>
                <w:i/>
                <w:iCs/>
                <w:sz w:val="20"/>
                <w:szCs w:val="20"/>
              </w:rPr>
            </w:pPr>
          </w:p>
        </w:tc>
      </w:tr>
      <w:tr w:rsidR="0035187E" w:rsidRPr="0035187E" w14:paraId="59AEE571"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32B5AD3" w14:textId="72CB051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29.</w:t>
            </w:r>
          </w:p>
        </w:tc>
        <w:tc>
          <w:tcPr>
            <w:tcW w:w="583" w:type="pct"/>
            <w:tcBorders>
              <w:top w:val="single" w:sz="4" w:space="0" w:color="auto"/>
              <w:left w:val="single" w:sz="4" w:space="0" w:color="auto"/>
              <w:right w:val="single" w:sz="4" w:space="0" w:color="auto"/>
            </w:tcBorders>
            <w:shd w:val="clear" w:color="auto" w:fill="auto"/>
          </w:tcPr>
          <w:p w14:paraId="5148210D" w14:textId="719014C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Českomoravská konfederace odborových svazů</w:t>
            </w:r>
          </w:p>
        </w:tc>
        <w:tc>
          <w:tcPr>
            <w:tcW w:w="168" w:type="pct"/>
            <w:tcBorders>
              <w:top w:val="single" w:sz="4" w:space="0" w:color="auto"/>
              <w:left w:val="single" w:sz="4" w:space="0" w:color="auto"/>
              <w:right w:val="single" w:sz="4" w:space="0" w:color="auto"/>
            </w:tcBorders>
            <w:shd w:val="clear" w:color="auto" w:fill="auto"/>
          </w:tcPr>
          <w:p w14:paraId="5728C5BD" w14:textId="09CB24B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w:t>
            </w:r>
          </w:p>
        </w:tc>
        <w:tc>
          <w:tcPr>
            <w:tcW w:w="169" w:type="pct"/>
            <w:tcBorders>
              <w:top w:val="single" w:sz="4" w:space="0" w:color="auto"/>
              <w:left w:val="single" w:sz="4" w:space="0" w:color="auto"/>
              <w:right w:val="single" w:sz="4" w:space="0" w:color="auto"/>
            </w:tcBorders>
            <w:shd w:val="clear" w:color="auto" w:fill="auto"/>
          </w:tcPr>
          <w:p w14:paraId="5236D194" w14:textId="514BD03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54D5F50" w14:textId="67FDAFED" w:rsidR="000B4BD4" w:rsidRPr="0035187E" w:rsidRDefault="000B4BD4" w:rsidP="0035187E">
            <w:pPr>
              <w:numPr>
                <w:ilvl w:val="0"/>
                <w:numId w:val="45"/>
              </w:numPr>
              <w:tabs>
                <w:tab w:val="right" w:pos="426"/>
              </w:tabs>
              <w:ind w:left="0" w:firstLine="0"/>
              <w:jc w:val="both"/>
              <w:rPr>
                <w:rFonts w:ascii="Times New Roman" w:hAnsi="Times New Roman" w:cs="Times New Roman"/>
                <w:sz w:val="20"/>
                <w:szCs w:val="20"/>
              </w:rPr>
            </w:pPr>
            <w:r w:rsidRPr="0035187E">
              <w:rPr>
                <w:rFonts w:ascii="Times New Roman" w:hAnsi="Times New Roman" w:cs="Times New Roman"/>
                <w:sz w:val="20"/>
                <w:szCs w:val="20"/>
              </w:rPr>
              <w:t>ČMKOS považuje za rozumná doprovodná opatření v oblasti gastronomie (snížení DPH na nealkoholické nápoje ve stravovacích službách a návrh na osvobození dobrovolného spropitného od daní a pojistných). V případě spropitného je však nezbytné nastavit jasná pravidla, která zamezí riziku, že se předmětné částečné osvobození stane záminkou pro tlak na snižování základních mezd, obcházení příplatků nebo přenášení odpovědnosti za příjem zaměstnanců na zákazníky. Spropitné může být vítaným doplňkem a společenským gestem, ale nikdy ne náhradou za důstojnou a spravedlivou mzdu v tomto sektoru.</w:t>
            </w:r>
          </w:p>
          <w:p w14:paraId="0A530ADE" w14:textId="77777777" w:rsidR="000B4BD4" w:rsidRPr="0035187E" w:rsidRDefault="000B4BD4" w:rsidP="0035187E">
            <w:pPr>
              <w:tabs>
                <w:tab w:val="right" w:pos="426"/>
              </w:tabs>
              <w:jc w:val="both"/>
              <w:rPr>
                <w:rFonts w:ascii="Times New Roman" w:hAnsi="Times New Roman" w:cs="Times New Roman"/>
                <w:sz w:val="20"/>
                <w:szCs w:val="20"/>
              </w:rPr>
            </w:pPr>
          </w:p>
          <w:p w14:paraId="1C130684" w14:textId="315F6863" w:rsidR="000B4BD4" w:rsidRPr="0035187E" w:rsidRDefault="000B4BD4" w:rsidP="0035187E">
            <w:pPr>
              <w:tabs>
                <w:tab w:val="right" w:pos="426"/>
              </w:tabs>
              <w:jc w:val="both"/>
              <w:rPr>
                <w:rFonts w:ascii="Times New Roman" w:hAnsi="Times New Roman" w:cs="Times New Roman"/>
                <w:sz w:val="20"/>
                <w:szCs w:val="20"/>
              </w:rPr>
            </w:pPr>
            <w:r w:rsidRPr="0035187E">
              <w:rPr>
                <w:rFonts w:ascii="Times New Roman" w:hAnsi="Times New Roman" w:cs="Times New Roman"/>
                <w:b/>
                <w:sz w:val="20"/>
                <w:szCs w:val="20"/>
              </w:rPr>
              <w:t>Tuto připomínku považujeme za zásadní.</w:t>
            </w:r>
          </w:p>
        </w:tc>
        <w:tc>
          <w:tcPr>
            <w:tcW w:w="1453" w:type="pct"/>
            <w:tcBorders>
              <w:top w:val="single" w:sz="4" w:space="0" w:color="auto"/>
              <w:left w:val="single" w:sz="4" w:space="0" w:color="auto"/>
              <w:right w:val="single" w:sz="4" w:space="0" w:color="auto"/>
            </w:tcBorders>
            <w:shd w:val="clear" w:color="auto" w:fill="auto"/>
          </w:tcPr>
          <w:p w14:paraId="0C4912AC"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Vysvětleno.</w:t>
            </w:r>
          </w:p>
          <w:p w14:paraId="36A7C510" w14:textId="58F93CE4"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Navrhované osvobození spropitného sleduje především legalizaci příjmů ze spropitného a omezení šedé ekonomiky v odvětví, kde je tento typ příjmu běžný. Dosavadní praxe ukazuje, že významná část těchto příjmů není systematicky přiznávána. Navrhovaná úprava proto vytváří transparentní a jednoduše aplikovatelný režim, který má vést k jejich vyšší míře přiznávání. Lze očekávat, že v důsledku toho dojde k dodatečnému přiznávání příjmů, které v současnosti často zůstávají mimo daňový systém. Osvobození spropitného navíc vyplývá z programového prohlášení vlády.</w:t>
            </w:r>
          </w:p>
          <w:p w14:paraId="119DD3C0"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Kontrolu dodržování pravidel týkajících se dobrovolného spropitného bude vykonávat finanční správa. Navržená legislativní úprava poskytuje finanční správě jasnou právní oporu k tomu, aby mohla prověřovat případné nekalé praktiky, např. tlak na snižování mezd, obcházení příplatků nebo přenášení odpovědnosti za příjem zaměstnanců na zákazníky, a v případě zjištění takových praktik přijmout patřičná opatření. Legislativní rámec tedy zajišťuje, že spropitné může fungovat jako dobrovolný a doplňkový příjem, aniž by docházelo k ohrožení spravedlivého odměňování zaměstnanců.</w:t>
            </w:r>
          </w:p>
          <w:p w14:paraId="67B723C6" w14:textId="77777777" w:rsidR="004F6CEB" w:rsidRPr="0035187E" w:rsidRDefault="004F6CEB" w:rsidP="0035187E">
            <w:pPr>
              <w:jc w:val="both"/>
              <w:rPr>
                <w:rFonts w:ascii="Times New Roman" w:hAnsi="Times New Roman" w:cs="Times New Roman"/>
                <w:sz w:val="20"/>
                <w:szCs w:val="20"/>
              </w:rPr>
            </w:pPr>
          </w:p>
          <w:p w14:paraId="20EDB113" w14:textId="77E45D6F" w:rsidR="004F6CEB" w:rsidRPr="0035187E" w:rsidRDefault="004F6CEB" w:rsidP="0035187E">
            <w:pPr>
              <w:jc w:val="both"/>
              <w:rPr>
                <w:rFonts w:ascii="Times New Roman" w:hAnsi="Times New Roman" w:cs="Times New Roman"/>
                <w:sz w:val="20"/>
                <w:szCs w:val="20"/>
              </w:rPr>
            </w:pPr>
            <w:r w:rsidRPr="0035187E">
              <w:rPr>
                <w:rFonts w:ascii="Times New Roman" w:hAnsi="Times New Roman" w:cs="Times New Roman"/>
                <w:i/>
                <w:iCs/>
                <w:sz w:val="20"/>
                <w:szCs w:val="20"/>
              </w:rPr>
              <w:t>Připomínkové místo uvedlo, že považuje vypořádání za akceptovatelné a netrvá na rozporu.</w:t>
            </w:r>
          </w:p>
        </w:tc>
      </w:tr>
      <w:tr w:rsidR="0035187E" w:rsidRPr="0035187E" w14:paraId="4F5A6209"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8B8B1FC" w14:textId="3F792D9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29.</w:t>
            </w:r>
          </w:p>
        </w:tc>
        <w:tc>
          <w:tcPr>
            <w:tcW w:w="583" w:type="pct"/>
            <w:tcBorders>
              <w:top w:val="single" w:sz="4" w:space="0" w:color="auto"/>
              <w:left w:val="single" w:sz="4" w:space="0" w:color="auto"/>
              <w:right w:val="single" w:sz="4" w:space="0" w:color="auto"/>
            </w:tcBorders>
            <w:shd w:val="clear" w:color="auto" w:fill="auto"/>
          </w:tcPr>
          <w:p w14:paraId="0090D7E2" w14:textId="26D7E9D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Českomoravská konfederace odborových svazů</w:t>
            </w:r>
          </w:p>
        </w:tc>
        <w:tc>
          <w:tcPr>
            <w:tcW w:w="168" w:type="pct"/>
            <w:tcBorders>
              <w:top w:val="single" w:sz="4" w:space="0" w:color="auto"/>
              <w:left w:val="single" w:sz="4" w:space="0" w:color="auto"/>
              <w:right w:val="single" w:sz="4" w:space="0" w:color="auto"/>
            </w:tcBorders>
            <w:shd w:val="clear" w:color="auto" w:fill="auto"/>
          </w:tcPr>
          <w:p w14:paraId="4FB6A994" w14:textId="21B7ACC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3.</w:t>
            </w:r>
          </w:p>
        </w:tc>
        <w:tc>
          <w:tcPr>
            <w:tcW w:w="169" w:type="pct"/>
            <w:tcBorders>
              <w:top w:val="single" w:sz="4" w:space="0" w:color="auto"/>
              <w:left w:val="single" w:sz="4" w:space="0" w:color="auto"/>
              <w:right w:val="single" w:sz="4" w:space="0" w:color="auto"/>
            </w:tcBorders>
            <w:shd w:val="clear" w:color="auto" w:fill="auto"/>
          </w:tcPr>
          <w:p w14:paraId="2D94809D" w14:textId="1E6BA98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D7C18D9" w14:textId="4BA11D9D" w:rsidR="000B4BD4" w:rsidRPr="0035187E" w:rsidRDefault="000B4BD4" w:rsidP="0035187E">
            <w:pPr>
              <w:numPr>
                <w:ilvl w:val="0"/>
                <w:numId w:val="45"/>
              </w:numPr>
              <w:tabs>
                <w:tab w:val="right" w:pos="426"/>
              </w:tabs>
              <w:ind w:left="0" w:firstLine="0"/>
              <w:jc w:val="both"/>
              <w:rPr>
                <w:rFonts w:ascii="Times New Roman" w:hAnsi="Times New Roman" w:cs="Times New Roman"/>
                <w:sz w:val="20"/>
                <w:szCs w:val="20"/>
              </w:rPr>
            </w:pPr>
            <w:r w:rsidRPr="0035187E">
              <w:rPr>
                <w:rFonts w:ascii="Times New Roman" w:hAnsi="Times New Roman" w:cs="Times New Roman"/>
                <w:sz w:val="20"/>
                <w:szCs w:val="20"/>
              </w:rPr>
              <w:t>Součástí předloženého návrhu zákona o evidenci tržeb je i soubor opatření, který vrací významnou část dodatečného inkasa plynoucího ze zavedení EET 2.0 zpět jak podnikatelům, tak i ostatním poplatníkům. Jde zejména o revizi opatření realizovaných zákonem č. 349/2023 Sb., kterým se mění některé zákony v souvislosti s konsolidací veřejných rozpočtů, tzv. konsolidačním balíčkem, proti kterým již tehdy ČMKOS uplatňovala negativní stanoviska (znovuzavedení slevy na umístění dítěte, zavedení slevy na studenta, úprava limitů u volnočasových benefitů, osvobození příspěvků zaměstnavatele na sociální služby). ČMKOS tudíž tato reversní opatření, tak jak jsou uvedena v předloženém materiálu, vítá. Požadujeme však, aby tento seznam nápravných opatření byl rozšířen:</w:t>
            </w:r>
          </w:p>
          <w:p w14:paraId="7EF9F76F" w14:textId="77777777" w:rsidR="000B4BD4" w:rsidRPr="0035187E" w:rsidRDefault="000B4BD4" w:rsidP="0035187E">
            <w:pPr>
              <w:tabs>
                <w:tab w:val="right" w:pos="426"/>
              </w:tabs>
              <w:jc w:val="both"/>
              <w:rPr>
                <w:rFonts w:ascii="Times New Roman" w:hAnsi="Times New Roman" w:cs="Times New Roman"/>
                <w:sz w:val="20"/>
                <w:szCs w:val="20"/>
              </w:rPr>
            </w:pPr>
          </w:p>
          <w:p w14:paraId="7CD23144" w14:textId="569650A3" w:rsidR="000B4BD4" w:rsidRPr="0035187E" w:rsidRDefault="000B4BD4" w:rsidP="0035187E">
            <w:pPr>
              <w:numPr>
                <w:ilvl w:val="1"/>
                <w:numId w:val="45"/>
              </w:numPr>
              <w:tabs>
                <w:tab w:val="right" w:pos="426"/>
              </w:tabs>
              <w:ind w:left="0" w:firstLine="0"/>
              <w:jc w:val="both"/>
              <w:rPr>
                <w:rFonts w:ascii="Times New Roman" w:hAnsi="Times New Roman" w:cs="Times New Roman"/>
                <w:sz w:val="20"/>
                <w:szCs w:val="20"/>
              </w:rPr>
            </w:pPr>
            <w:r w:rsidRPr="0035187E">
              <w:rPr>
                <w:rFonts w:ascii="Times New Roman" w:hAnsi="Times New Roman" w:cs="Times New Roman"/>
                <w:sz w:val="20"/>
                <w:szCs w:val="20"/>
              </w:rPr>
              <w:t xml:space="preserve">Konsolidačním balíčkem zrušená úprava možnosti uplatnění odpočtu členských příspěvků odborové organizaci od základu daně z příjmů fyzických osob byla po dlouhou dobu standardní součástí českého daňového systému a její účel spočíval v podpoře sociálního dialogu a zajištění alespoň symbolické rovnováhy mezi sociálními partnery – </w:t>
            </w:r>
            <w:r w:rsidRPr="0035187E">
              <w:rPr>
                <w:rFonts w:ascii="Times New Roman" w:hAnsi="Times New Roman" w:cs="Times New Roman"/>
                <w:sz w:val="20"/>
                <w:szCs w:val="20"/>
              </w:rPr>
              <w:lastRenderedPageBreak/>
              <w:t>organizacemi zaměstnavatelů a organizacemi zaměstnanců. Daňové zvýhodnění vycházelo z principu systémové podpory sociálního dialogu, jak jej doporučuje i Mezinárodní organizace práce, a odpovídalo skutečnosti, že odborové organizace plní významnou roli při ochraně hospodářských a sociálních zájmů zaměstnanců a přispívají ke stabilitě pracovněprávních vztahů.</w:t>
            </w:r>
          </w:p>
          <w:p w14:paraId="5FA06C08" w14:textId="77777777" w:rsidR="000B4BD4" w:rsidRPr="0035187E" w:rsidRDefault="000B4BD4" w:rsidP="0035187E">
            <w:pPr>
              <w:tabs>
                <w:tab w:val="right" w:pos="426"/>
              </w:tabs>
              <w:jc w:val="both"/>
              <w:rPr>
                <w:rFonts w:ascii="Times New Roman" w:hAnsi="Times New Roman" w:cs="Times New Roman"/>
                <w:sz w:val="20"/>
                <w:szCs w:val="20"/>
              </w:rPr>
            </w:pPr>
          </w:p>
          <w:p w14:paraId="26B9083F" w14:textId="285D618C" w:rsidR="000B4BD4" w:rsidRPr="0035187E" w:rsidRDefault="000B4BD4" w:rsidP="0035187E">
            <w:pPr>
              <w:tabs>
                <w:tab w:val="right" w:pos="426"/>
              </w:tabs>
              <w:jc w:val="both"/>
              <w:rPr>
                <w:rFonts w:ascii="Times New Roman" w:hAnsi="Times New Roman" w:cs="Times New Roman"/>
                <w:sz w:val="20"/>
                <w:szCs w:val="20"/>
              </w:rPr>
            </w:pPr>
            <w:r w:rsidRPr="0035187E">
              <w:rPr>
                <w:rFonts w:ascii="Times New Roman" w:hAnsi="Times New Roman" w:cs="Times New Roman"/>
                <w:sz w:val="20"/>
                <w:szCs w:val="20"/>
              </w:rPr>
              <w:t>ČMKOS setrvale upozorňuje, že zatímco zaměstnavatelé si podle zákona o daních z příjmů mohou členské příspěvky svým profesním a zaměstnavatelským organizacím uplatňovat jako daňově uznatelný náklad, zaměstnanci tuto možnost ve vztahu ke svým organizacím zastupujícím jejich zájmy ztratili. Tato situace vytváří nerovnováhu mezi sociálními partnery a je z principu diskriminační, neboť bez opodstatnění zvýhodňuje pouze jednu stranu sociálního dialogu. Samotní zaměstnavatelé v této věci odborovou stranu podpořili již při projednávání konsolidačního balíčku a též v rámci trialogu k Akčnímu plánu na podporu kolektivního vyjednávání.</w:t>
            </w:r>
          </w:p>
          <w:p w14:paraId="21740E41" w14:textId="77777777" w:rsidR="000B4BD4" w:rsidRPr="0035187E" w:rsidRDefault="000B4BD4" w:rsidP="0035187E">
            <w:pPr>
              <w:tabs>
                <w:tab w:val="right" w:pos="426"/>
              </w:tabs>
              <w:jc w:val="both"/>
              <w:rPr>
                <w:rFonts w:ascii="Times New Roman" w:hAnsi="Times New Roman" w:cs="Times New Roman"/>
                <w:sz w:val="20"/>
                <w:szCs w:val="20"/>
              </w:rPr>
            </w:pPr>
          </w:p>
          <w:p w14:paraId="237E2D2F" w14:textId="7C5397A5" w:rsidR="000B4BD4" w:rsidRPr="0035187E" w:rsidRDefault="000B4BD4" w:rsidP="0035187E">
            <w:pPr>
              <w:tabs>
                <w:tab w:val="right" w:pos="426"/>
              </w:tabs>
              <w:jc w:val="both"/>
              <w:rPr>
                <w:rFonts w:ascii="Times New Roman" w:hAnsi="Times New Roman" w:cs="Times New Roman"/>
                <w:sz w:val="20"/>
                <w:szCs w:val="20"/>
              </w:rPr>
            </w:pPr>
            <w:r w:rsidRPr="0035187E">
              <w:rPr>
                <w:rFonts w:ascii="Times New Roman" w:hAnsi="Times New Roman" w:cs="Times New Roman"/>
                <w:sz w:val="20"/>
                <w:szCs w:val="20"/>
              </w:rPr>
              <w:t>Je třeba zdůraznit, že odborové organizace nehájí pouze zájmy svých členů, ale prostřednictvím kolektivního vyjednávání přispívají ke zlepšení pracovních podmínek všech zaměstnanců. Výsledky kolektivních smluv se vztahují i na zaměstnance, kteří členy odborů nejsou. Daňové zvýhodnění za členské příspěvky proto představovalo zohlednění těch zaměstnanců, kteří jsou ochotni nést náklady spojené s fungováním sociálního dialogu ve prospěch širšího okruhu pracovníků. Podstatná část činnosti odborových organizací je zároveň konána ve veřejném zájmu, kdy odbory dohlížejí na bezpečnost a ochranu zdraví při práci a dodržování pracovněprávních předpisů.</w:t>
            </w:r>
          </w:p>
          <w:p w14:paraId="2DED9273" w14:textId="77777777" w:rsidR="000B4BD4" w:rsidRPr="0035187E" w:rsidRDefault="000B4BD4" w:rsidP="0035187E">
            <w:pPr>
              <w:tabs>
                <w:tab w:val="right" w:pos="426"/>
              </w:tabs>
              <w:jc w:val="both"/>
              <w:rPr>
                <w:rFonts w:ascii="Times New Roman" w:hAnsi="Times New Roman" w:cs="Times New Roman"/>
                <w:sz w:val="20"/>
                <w:szCs w:val="20"/>
              </w:rPr>
            </w:pPr>
          </w:p>
          <w:p w14:paraId="3A9824D0" w14:textId="0E1802D9" w:rsidR="000B4BD4" w:rsidRPr="0035187E" w:rsidRDefault="000B4BD4" w:rsidP="0035187E">
            <w:pPr>
              <w:tabs>
                <w:tab w:val="right" w:pos="426"/>
              </w:tabs>
              <w:jc w:val="both"/>
              <w:rPr>
                <w:rFonts w:ascii="Times New Roman" w:hAnsi="Times New Roman" w:cs="Times New Roman"/>
                <w:sz w:val="20"/>
                <w:szCs w:val="20"/>
              </w:rPr>
            </w:pPr>
            <w:r w:rsidRPr="0035187E">
              <w:rPr>
                <w:rFonts w:ascii="Times New Roman" w:hAnsi="Times New Roman" w:cs="Times New Roman"/>
                <w:sz w:val="20"/>
                <w:szCs w:val="20"/>
              </w:rPr>
              <w:t>Zrušení dřívější úpravy jde rovněž proti duchu evropské směrnice o přiměřených minimálních mzdách v Evropské unii, která ukládá členským státům podporovat kolektivní vyjednávání a posilovat kapacity sociálních partnerů. Opatření, která snižují motivaci zaměstnanců ke členství v odborech, působí opačným směrem a oslabují sociální dialog, který je jedním ze základních pilířů sociálně citlivého tržního hospodářství.</w:t>
            </w:r>
          </w:p>
          <w:p w14:paraId="4A31F3BB" w14:textId="77777777" w:rsidR="000B4BD4" w:rsidRPr="0035187E" w:rsidRDefault="000B4BD4" w:rsidP="0035187E">
            <w:pPr>
              <w:tabs>
                <w:tab w:val="right" w:pos="426"/>
              </w:tabs>
              <w:jc w:val="both"/>
              <w:rPr>
                <w:rFonts w:ascii="Times New Roman" w:hAnsi="Times New Roman" w:cs="Times New Roman"/>
                <w:sz w:val="20"/>
                <w:szCs w:val="20"/>
              </w:rPr>
            </w:pPr>
          </w:p>
          <w:p w14:paraId="79C91700" w14:textId="77777777" w:rsidR="000B4BD4" w:rsidRPr="0035187E" w:rsidRDefault="000B4BD4" w:rsidP="0035187E">
            <w:pPr>
              <w:tabs>
                <w:tab w:val="right" w:pos="426"/>
              </w:tabs>
              <w:jc w:val="both"/>
              <w:rPr>
                <w:rFonts w:ascii="Times New Roman" w:hAnsi="Times New Roman" w:cs="Times New Roman"/>
                <w:sz w:val="20"/>
                <w:szCs w:val="20"/>
              </w:rPr>
            </w:pPr>
            <w:r w:rsidRPr="0035187E">
              <w:rPr>
                <w:rFonts w:ascii="Times New Roman" w:hAnsi="Times New Roman" w:cs="Times New Roman"/>
                <w:sz w:val="20"/>
                <w:szCs w:val="20"/>
              </w:rPr>
              <w:t>S ohledem na výše uvedené považujeme za důležité, abychom nalezli vhodné řešení legislativní otázky daňového odpočtu členských příspěvků odborovým organizacím, které by přispělo k obnovení rovnováhy mezi sociálními partnery a posílení sociálního dialogu v České republice.</w:t>
            </w:r>
          </w:p>
          <w:p w14:paraId="32845A3B" w14:textId="695554EA" w:rsidR="000B4BD4" w:rsidRPr="0035187E" w:rsidRDefault="000B4BD4" w:rsidP="0035187E">
            <w:pPr>
              <w:tabs>
                <w:tab w:val="right" w:pos="426"/>
              </w:tabs>
              <w:jc w:val="both"/>
              <w:rPr>
                <w:rFonts w:ascii="Times New Roman" w:hAnsi="Times New Roman" w:cs="Times New Roman"/>
                <w:b/>
                <w:sz w:val="20"/>
                <w:szCs w:val="20"/>
              </w:rPr>
            </w:pPr>
            <w:r w:rsidRPr="0035187E">
              <w:rPr>
                <w:rFonts w:ascii="Times New Roman" w:hAnsi="Times New Roman" w:cs="Times New Roman"/>
                <w:b/>
                <w:sz w:val="20"/>
                <w:szCs w:val="20"/>
              </w:rPr>
              <w:t>Tuto připomínku považujeme za zásadní.</w:t>
            </w:r>
          </w:p>
          <w:p w14:paraId="09A7796A" w14:textId="77777777" w:rsidR="000B4BD4" w:rsidRPr="0035187E" w:rsidRDefault="000B4BD4" w:rsidP="0035187E">
            <w:pPr>
              <w:tabs>
                <w:tab w:val="right" w:pos="426"/>
              </w:tabs>
              <w:jc w:val="both"/>
              <w:rPr>
                <w:rFonts w:ascii="Times New Roman" w:hAnsi="Times New Roman" w:cs="Times New Roman"/>
                <w:sz w:val="20"/>
                <w:szCs w:val="20"/>
              </w:rPr>
            </w:pPr>
          </w:p>
          <w:p w14:paraId="1A864D65" w14:textId="78E99A44" w:rsidR="000B4BD4" w:rsidRPr="0035187E" w:rsidRDefault="000B4BD4" w:rsidP="0035187E">
            <w:pPr>
              <w:numPr>
                <w:ilvl w:val="1"/>
                <w:numId w:val="45"/>
              </w:numPr>
              <w:tabs>
                <w:tab w:val="right" w:pos="426"/>
              </w:tabs>
              <w:ind w:left="0" w:firstLine="0"/>
              <w:jc w:val="both"/>
              <w:rPr>
                <w:rFonts w:ascii="Times New Roman" w:hAnsi="Times New Roman" w:cs="Times New Roman"/>
                <w:sz w:val="20"/>
                <w:szCs w:val="20"/>
              </w:rPr>
            </w:pPr>
            <w:r w:rsidRPr="0035187E">
              <w:rPr>
                <w:rFonts w:ascii="Times New Roman" w:hAnsi="Times New Roman" w:cs="Times New Roman"/>
                <w:sz w:val="20"/>
                <w:szCs w:val="20"/>
              </w:rPr>
              <w:t xml:space="preserve">ČMKOS chápe současnou složitou situaci veřejných rozpočtů a nutnosti úspor v nich. Nicméně upozorňujeme, že odbory budou vždy usilovat o to, aby tyto nápravy a úspory byly rovnoměrně rozprostřeny na všechny ekonomicky aktivní subjekty v České republice. Jako neadekvátní vychýlení této rovnováhy v neprospěch zaměstnanců vnímáme konsolidačním balíčkem minulé vlády zavedené a podle předpokladů vlády i do budoucna platné povinné platby zaměstnanců na nemocenské pojištění ve výši 0,6 %. ČMKOS připomíná, že toto zvýšení bylo přijato v situaci, kdy se reálné mzdy nacházely </w:t>
            </w:r>
            <w:r w:rsidRPr="0035187E">
              <w:rPr>
                <w:rFonts w:ascii="Times New Roman" w:hAnsi="Times New Roman" w:cs="Times New Roman"/>
                <w:sz w:val="20"/>
                <w:szCs w:val="20"/>
              </w:rPr>
              <w:lastRenderedPageBreak/>
              <w:t>kvůli neregulované inflaci –10 % pod úrovní roku 2021 a které se dodnes nacházejí i při poměrně příznivém růstu mezd v posledních letech na úrovni –6,7 % oproti roku 2021.</w:t>
            </w:r>
          </w:p>
          <w:p w14:paraId="34D01CD6" w14:textId="77777777" w:rsidR="000B4BD4" w:rsidRPr="0035187E" w:rsidRDefault="000B4BD4" w:rsidP="0035187E">
            <w:pPr>
              <w:tabs>
                <w:tab w:val="right" w:pos="426"/>
              </w:tabs>
              <w:jc w:val="both"/>
              <w:rPr>
                <w:rFonts w:ascii="Times New Roman" w:hAnsi="Times New Roman" w:cs="Times New Roman"/>
                <w:sz w:val="20"/>
                <w:szCs w:val="20"/>
              </w:rPr>
            </w:pPr>
          </w:p>
          <w:p w14:paraId="2D53EBDE" w14:textId="77777777" w:rsidR="000B4BD4" w:rsidRPr="0035187E" w:rsidRDefault="000B4BD4" w:rsidP="0035187E">
            <w:pPr>
              <w:tabs>
                <w:tab w:val="right" w:pos="426"/>
              </w:tabs>
              <w:jc w:val="both"/>
              <w:rPr>
                <w:rFonts w:ascii="Times New Roman" w:hAnsi="Times New Roman" w:cs="Times New Roman"/>
                <w:sz w:val="20"/>
                <w:szCs w:val="20"/>
              </w:rPr>
            </w:pPr>
            <w:r w:rsidRPr="0035187E">
              <w:rPr>
                <w:rFonts w:ascii="Times New Roman" w:hAnsi="Times New Roman" w:cs="Times New Roman"/>
                <w:sz w:val="20"/>
                <w:szCs w:val="20"/>
              </w:rPr>
              <w:t>Navíc považujeme za důležité podotknout, že dodatečné platby zaměstnanců „na nemocenské pojištění“ vybrané z inflací zdecimovaných mezd nešly na nemocenské pojištění českých zaměstnanců, ale na vyspravování děr ve státním rozpočtu. Bilance příjmů a výdajů nemocenského pojištění byla totiž v roce 2024 přebytková +10,2 mld. Kč a v roce 2025 pak dokonce +13,5 mld. Kč. ČMKOS proto v kontextu celkových daňových změn připravovaných současnou vládou považuje za nezbytné debatovat i o tomto problému a jeho nápravě.</w:t>
            </w:r>
          </w:p>
          <w:p w14:paraId="078C64C4" w14:textId="2EEF1A94" w:rsidR="000B4BD4" w:rsidRPr="0035187E" w:rsidRDefault="000B4BD4" w:rsidP="0035187E">
            <w:pPr>
              <w:tabs>
                <w:tab w:val="right" w:pos="426"/>
              </w:tabs>
              <w:jc w:val="both"/>
              <w:rPr>
                <w:rFonts w:ascii="Times New Roman" w:hAnsi="Times New Roman" w:cs="Times New Roman"/>
                <w:b/>
                <w:sz w:val="20"/>
                <w:szCs w:val="20"/>
              </w:rPr>
            </w:pPr>
            <w:r w:rsidRPr="0035187E">
              <w:rPr>
                <w:rFonts w:ascii="Times New Roman" w:hAnsi="Times New Roman" w:cs="Times New Roman"/>
                <w:b/>
                <w:sz w:val="20"/>
                <w:szCs w:val="20"/>
              </w:rPr>
              <w:t>Tuto připomínku považujeme za zásadní.</w:t>
            </w:r>
          </w:p>
          <w:p w14:paraId="25DB7BA1" w14:textId="77777777" w:rsidR="000B4BD4" w:rsidRPr="0035187E" w:rsidRDefault="000B4BD4" w:rsidP="0035187E">
            <w:pPr>
              <w:tabs>
                <w:tab w:val="right" w:pos="426"/>
              </w:tabs>
              <w:jc w:val="both"/>
              <w:rPr>
                <w:rFonts w:ascii="Times New Roman" w:hAnsi="Times New Roman" w:cs="Times New Roman"/>
                <w:sz w:val="20"/>
                <w:szCs w:val="20"/>
              </w:rPr>
            </w:pPr>
          </w:p>
          <w:p w14:paraId="300260C3" w14:textId="628B6DF5" w:rsidR="000B4BD4" w:rsidRPr="0035187E" w:rsidRDefault="000B4BD4" w:rsidP="0035187E">
            <w:pPr>
              <w:numPr>
                <w:ilvl w:val="1"/>
                <w:numId w:val="45"/>
              </w:numPr>
              <w:tabs>
                <w:tab w:val="right" w:pos="426"/>
              </w:tabs>
              <w:ind w:left="0" w:firstLine="0"/>
              <w:jc w:val="both"/>
              <w:rPr>
                <w:rFonts w:ascii="Times New Roman" w:hAnsi="Times New Roman" w:cs="Times New Roman"/>
                <w:sz w:val="20"/>
                <w:szCs w:val="20"/>
              </w:rPr>
            </w:pPr>
            <w:r w:rsidRPr="0035187E">
              <w:rPr>
                <w:rFonts w:ascii="Times New Roman" w:hAnsi="Times New Roman" w:cs="Times New Roman"/>
                <w:sz w:val="20"/>
                <w:szCs w:val="20"/>
              </w:rPr>
              <w:t>Fond kulturních a sociálních potřeb vytvářejí organizační složky státu, státní příspěvkové organizace a příspěvkové organizace územních samosprávných celků k zabezpečování kulturních, sociálních a dalších potřeb zaměstnanců v pracovním poměru k organizaci, důchodcům, kteří při prvém odchodu do starobního důchodu nebo invalidního důchodu pro invaliditu třetího stupně pracovali u organizace, případně rodinným příslušníkům. Zkráceně je FKSP jedním z mála benefitů, který je zaměstnancům ve veřejné sféře možné poskytovat a který přímo ovlivňuje konkurenceschopnost veřejné sféry na trhu práce.</w:t>
            </w:r>
          </w:p>
          <w:p w14:paraId="1A062FFD" w14:textId="77777777" w:rsidR="000B4BD4" w:rsidRPr="0035187E" w:rsidRDefault="000B4BD4" w:rsidP="0035187E">
            <w:pPr>
              <w:tabs>
                <w:tab w:val="right" w:pos="426"/>
              </w:tabs>
              <w:jc w:val="both"/>
              <w:rPr>
                <w:rFonts w:ascii="Times New Roman" w:hAnsi="Times New Roman" w:cs="Times New Roman"/>
                <w:sz w:val="20"/>
                <w:szCs w:val="20"/>
              </w:rPr>
            </w:pPr>
          </w:p>
          <w:p w14:paraId="6646DD19" w14:textId="7A6BCA88" w:rsidR="000B4BD4" w:rsidRPr="0035187E" w:rsidRDefault="000B4BD4" w:rsidP="0035187E">
            <w:pPr>
              <w:tabs>
                <w:tab w:val="right" w:pos="426"/>
              </w:tabs>
              <w:jc w:val="both"/>
              <w:rPr>
                <w:rFonts w:ascii="Times New Roman" w:hAnsi="Times New Roman" w:cs="Times New Roman"/>
                <w:sz w:val="20"/>
                <w:szCs w:val="20"/>
              </w:rPr>
            </w:pPr>
            <w:r w:rsidRPr="0035187E">
              <w:rPr>
                <w:rFonts w:ascii="Times New Roman" w:hAnsi="Times New Roman" w:cs="Times New Roman"/>
                <w:sz w:val="20"/>
                <w:szCs w:val="20"/>
              </w:rPr>
              <w:t>Snížení přídělu do FKSP ze 2 % na 1 % z ročního objemu nákladů zúčtovaných na platy a náhrady platů provedené konsolidačním balíčkem pouze dále oslabilo schopnost státu a veřejných institucí udržet a získávat kvalitní pracovníky. Veřejný sektor přitom již dlouhodobě čelí výraznému odlivu do soukromé sféry, která nabízí nejen vyšší mzdy, ale i širší spektrum benefitů. Prostředky FKSP jsou využívány zejména na podporu rekreace, kulturních a sportovních aktivit, stravování, sociálních výpomocí, příspěvků na penzijní připojištění či podporu zaměstnanců v obtížných životních situacích. Tyto nástroje mají významný stabilizační a motivační efekt, přispívají k udržení zaměstnanců ve veřejných službách a zároveň podporují jejich pracovní výkonnost, zdraví a sociální stabilitu. V řadě profesí veřejného sektoru právě tyto nepeněžní benefity alespoň částečně kompenzují dlouhodobě nižší úroveň odměňování oproti soukromému sektoru. Omezení přídělu do FKSP proto v praxi znamená nejen snížení rozsahu poskytovaných benefitů, ale také další oslabení atraktivity pracovních míst ve veřejné sféře.</w:t>
            </w:r>
          </w:p>
          <w:p w14:paraId="1445CA81" w14:textId="77777777" w:rsidR="000B4BD4" w:rsidRPr="0035187E" w:rsidRDefault="000B4BD4" w:rsidP="0035187E">
            <w:pPr>
              <w:tabs>
                <w:tab w:val="right" w:pos="426"/>
              </w:tabs>
              <w:jc w:val="both"/>
              <w:rPr>
                <w:rFonts w:ascii="Times New Roman" w:hAnsi="Times New Roman" w:cs="Times New Roman"/>
                <w:sz w:val="20"/>
                <w:szCs w:val="20"/>
              </w:rPr>
            </w:pPr>
          </w:p>
          <w:p w14:paraId="479CF421" w14:textId="54767D85" w:rsidR="000B4BD4" w:rsidRPr="0035187E" w:rsidRDefault="000B4BD4" w:rsidP="0035187E">
            <w:pPr>
              <w:tabs>
                <w:tab w:val="right" w:pos="426"/>
              </w:tabs>
              <w:jc w:val="both"/>
              <w:rPr>
                <w:rFonts w:ascii="Times New Roman" w:hAnsi="Times New Roman" w:cs="Times New Roman"/>
                <w:sz w:val="20"/>
                <w:szCs w:val="20"/>
              </w:rPr>
            </w:pPr>
            <w:r w:rsidRPr="0035187E">
              <w:rPr>
                <w:rFonts w:ascii="Times New Roman" w:hAnsi="Times New Roman" w:cs="Times New Roman"/>
                <w:sz w:val="20"/>
                <w:szCs w:val="20"/>
              </w:rPr>
              <w:t>Zároveň je třeba zdůraznit, že úspora dosažená snížením přídělu do FKSP představuje ve vztahu k celkovému objemu veřejných rozpočtů relativně omezený fiskální efekt, zatímco její negativní dopady na motivaci zaměstnanců a personální stabilitu veřejného sektoru mohou být dlouhodobé a systémové.</w:t>
            </w:r>
          </w:p>
          <w:p w14:paraId="60BA3C2B" w14:textId="77777777" w:rsidR="000B4BD4" w:rsidRPr="0035187E" w:rsidRDefault="000B4BD4" w:rsidP="0035187E">
            <w:pPr>
              <w:tabs>
                <w:tab w:val="right" w:pos="426"/>
              </w:tabs>
              <w:jc w:val="both"/>
              <w:rPr>
                <w:rFonts w:ascii="Times New Roman" w:hAnsi="Times New Roman" w:cs="Times New Roman"/>
                <w:sz w:val="20"/>
                <w:szCs w:val="20"/>
              </w:rPr>
            </w:pPr>
          </w:p>
          <w:p w14:paraId="6B4E6CFA" w14:textId="63A32A31" w:rsidR="000B4BD4" w:rsidRPr="0035187E" w:rsidRDefault="000B4BD4" w:rsidP="0035187E">
            <w:pPr>
              <w:tabs>
                <w:tab w:val="right" w:pos="426"/>
              </w:tabs>
              <w:jc w:val="both"/>
              <w:rPr>
                <w:rFonts w:ascii="Times New Roman" w:hAnsi="Times New Roman" w:cs="Times New Roman"/>
                <w:sz w:val="20"/>
                <w:szCs w:val="20"/>
              </w:rPr>
            </w:pPr>
            <w:r w:rsidRPr="0035187E">
              <w:rPr>
                <w:rFonts w:ascii="Times New Roman" w:hAnsi="Times New Roman" w:cs="Times New Roman"/>
                <w:sz w:val="20"/>
                <w:szCs w:val="20"/>
              </w:rPr>
              <w:t>ČMKOS proto navrhuje, aby v rámci revize opatření přijatých konsolidačním balíčkem byla obnovena původní výše přídělu do FKSP na úrovni 2 % z ročního objemu nákladů zúčtovaných na platy a náhrady platů.</w:t>
            </w:r>
          </w:p>
          <w:p w14:paraId="05967B36" w14:textId="77777777" w:rsidR="000B4BD4" w:rsidRPr="0035187E" w:rsidRDefault="000B4BD4" w:rsidP="0035187E">
            <w:pPr>
              <w:tabs>
                <w:tab w:val="right" w:pos="426"/>
              </w:tabs>
              <w:jc w:val="both"/>
              <w:rPr>
                <w:rFonts w:ascii="Times New Roman" w:hAnsi="Times New Roman" w:cs="Times New Roman"/>
                <w:sz w:val="20"/>
                <w:szCs w:val="20"/>
              </w:rPr>
            </w:pPr>
          </w:p>
          <w:p w14:paraId="3516D0EA" w14:textId="5EBAB7E1" w:rsidR="000B4BD4" w:rsidRPr="0035187E" w:rsidRDefault="000B4BD4" w:rsidP="0035187E">
            <w:pPr>
              <w:tabs>
                <w:tab w:val="right" w:pos="426"/>
              </w:tabs>
              <w:jc w:val="both"/>
              <w:rPr>
                <w:rFonts w:ascii="Times New Roman" w:hAnsi="Times New Roman" w:cs="Times New Roman"/>
                <w:sz w:val="20"/>
                <w:szCs w:val="20"/>
              </w:rPr>
            </w:pPr>
            <w:r w:rsidRPr="0035187E">
              <w:rPr>
                <w:rFonts w:ascii="Times New Roman" w:hAnsi="Times New Roman" w:cs="Times New Roman"/>
                <w:b/>
                <w:sz w:val="20"/>
                <w:szCs w:val="20"/>
              </w:rPr>
              <w:t>Tuto připomínku považujeme za zásadní.</w:t>
            </w:r>
          </w:p>
        </w:tc>
        <w:tc>
          <w:tcPr>
            <w:tcW w:w="1453" w:type="pct"/>
            <w:tcBorders>
              <w:top w:val="single" w:sz="4" w:space="0" w:color="auto"/>
              <w:left w:val="single" w:sz="4" w:space="0" w:color="auto"/>
              <w:right w:val="single" w:sz="4" w:space="0" w:color="auto"/>
            </w:tcBorders>
            <w:shd w:val="clear" w:color="auto" w:fill="auto"/>
          </w:tcPr>
          <w:p w14:paraId="2D7B744B" w14:textId="16C54D64"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Nevyhověno.</w:t>
            </w:r>
            <w:r w:rsidR="00120B06">
              <w:rPr>
                <w:rFonts w:ascii="Times New Roman" w:hAnsi="Times New Roman" w:cs="Times New Roman"/>
                <w:b/>
                <w:bCs/>
                <w:sz w:val="20"/>
                <w:szCs w:val="20"/>
              </w:rPr>
              <w:t xml:space="preserve"> </w:t>
            </w:r>
            <w:r w:rsidR="00120B06" w:rsidRPr="00120B06">
              <w:rPr>
                <w:rFonts w:ascii="Times New Roman" w:hAnsi="Times New Roman" w:cs="Times New Roman"/>
                <w:b/>
                <w:bCs/>
                <w:color w:val="FF0000"/>
                <w:sz w:val="20"/>
                <w:szCs w:val="20"/>
              </w:rPr>
              <w:t>ROZPOR</w:t>
            </w:r>
          </w:p>
          <w:p w14:paraId="74292008" w14:textId="7BB3D3B6"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K bodu a.:</w:t>
            </w:r>
          </w:p>
          <w:p w14:paraId="7CF1DCB0" w14:textId="1921E725"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Podnět přesahuje rámec navrhovaného zákona o evidenci tržeb. </w:t>
            </w:r>
          </w:p>
          <w:p w14:paraId="1FFA1B58" w14:textId="44AD3E4C"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Znovuzavedení nezdanitelné části základu daně za zaplacené členské příspěvky odborovým organizacím považujeme za problematické především z důvodu jeho selektivního charakteru. Takové nastavení je z pohledu principů rovnosti a daňové spravedlnosti sporné. </w:t>
            </w:r>
          </w:p>
          <w:p w14:paraId="34A78D01" w14:textId="453BCADE"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I nadále platí, že příjem v podobě podpory nebo příspěvku z prostředků odborové organizace je u člena odborové organizace osvobozen od daně z příjmů fyzických osob. V kontextu osvobození členských příspěvků na straně odborové organizace </w:t>
            </w:r>
            <w:r w:rsidRPr="0035187E">
              <w:rPr>
                <w:rFonts w:ascii="Times New Roman" w:hAnsi="Times New Roman" w:cs="Times New Roman"/>
                <w:sz w:val="20"/>
                <w:szCs w:val="20"/>
              </w:rPr>
              <w:lastRenderedPageBreak/>
              <w:t xml:space="preserve">pak stát nezanedbatelným způsobem podporuje činnost odborových organizací a na úkor veřejných rozpočtů rovněž poskytuje motivaci k členství v odborové organizaci.  </w:t>
            </w:r>
          </w:p>
          <w:p w14:paraId="5BE393B7" w14:textId="21E277A6"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Navrhované opatření tak nepřináší systémové zlepšení daňového prostředí a jeho přínosy nejsou dostatečně vyváženy negativními dopady ve vztahu k principům rovnosti a fiskální udržitelnosti. </w:t>
            </w:r>
          </w:p>
          <w:p w14:paraId="44A6CB71" w14:textId="3CCDD92A"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K bodu b.:</w:t>
            </w:r>
          </w:p>
          <w:p w14:paraId="45429FB7" w14:textId="0814DC59"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Připomínka je nad rámec návrhu, nadto ani nespadá do gesce Ministerstva financí.</w:t>
            </w:r>
          </w:p>
          <w:p w14:paraId="27F5FEFB" w14:textId="4010F766"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K bodu c.:</w:t>
            </w:r>
          </w:p>
          <w:p w14:paraId="17DC05B0"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Připomínka je nad rámec návrhu, netýká se zákonů novelizovaných v návrhu.</w:t>
            </w:r>
          </w:p>
          <w:p w14:paraId="2D1596B9" w14:textId="77777777" w:rsidR="000A5EF0" w:rsidRPr="0035187E" w:rsidRDefault="000A5EF0" w:rsidP="0035187E">
            <w:pPr>
              <w:jc w:val="both"/>
              <w:rPr>
                <w:rFonts w:ascii="Times New Roman" w:hAnsi="Times New Roman" w:cs="Times New Roman"/>
                <w:sz w:val="20"/>
                <w:szCs w:val="20"/>
              </w:rPr>
            </w:pPr>
          </w:p>
          <w:p w14:paraId="7C7BFAF8" w14:textId="36904170" w:rsidR="000A5EF0" w:rsidRPr="0035187E" w:rsidRDefault="000A5EF0" w:rsidP="0035187E">
            <w:pPr>
              <w:jc w:val="both"/>
              <w:rPr>
                <w:rFonts w:ascii="Times New Roman" w:hAnsi="Times New Roman" w:cs="Times New Roman"/>
                <w:b/>
                <w:bCs/>
                <w:i/>
                <w:iCs/>
                <w:sz w:val="20"/>
                <w:szCs w:val="20"/>
              </w:rPr>
            </w:pPr>
            <w:r w:rsidRPr="0035187E">
              <w:rPr>
                <w:rFonts w:ascii="Times New Roman" w:hAnsi="Times New Roman" w:cs="Times New Roman"/>
                <w:i/>
                <w:iCs/>
                <w:sz w:val="20"/>
                <w:szCs w:val="20"/>
              </w:rPr>
              <w:t>Vyjádření připomínkového místa</w:t>
            </w:r>
            <w:r w:rsidR="00067CFE" w:rsidRPr="0035187E">
              <w:rPr>
                <w:rFonts w:ascii="Times New Roman" w:hAnsi="Times New Roman" w:cs="Times New Roman"/>
                <w:i/>
                <w:iCs/>
                <w:sz w:val="20"/>
                <w:szCs w:val="20"/>
              </w:rPr>
              <w:t xml:space="preserve"> k písemnému vypořádání</w:t>
            </w:r>
            <w:r w:rsidRPr="0035187E">
              <w:rPr>
                <w:rFonts w:ascii="Times New Roman" w:hAnsi="Times New Roman" w:cs="Times New Roman"/>
                <w:i/>
                <w:iCs/>
                <w:sz w:val="20"/>
                <w:szCs w:val="20"/>
              </w:rPr>
              <w:t>: Trváme na připomínce č. 3.</w:t>
            </w:r>
          </w:p>
          <w:p w14:paraId="3B57F6E7" w14:textId="77777777" w:rsidR="000A5EF0" w:rsidRPr="0035187E" w:rsidRDefault="000A5EF0"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Nelze souhlasit s tvrzením, že podnět přesahuje rámec navrhovaného zákona. Předložený materiál explicitně obsahuje soubor opatření, jejichž deklarovaným cílem je revize a částečná náprava dopadů konsolidačního balíčku. Návrh tedy již nyní zasahuje mimo vlastní oblast evidence tržeb a otevírá daňové otázky širšího charakteru. Pokud je v rámci návrhu možné selektivně napravovat některá opatření přijatá konsolidačním balíčkem, není důvod, aby obdobným způsobem nemohla být řešena i další opatření, která vykazují zjevnou nerovnováhu mezi jednotlivými skupinami daňových subjektů. Argument o „přesahu rámce“ je proto v tomto kontextu nekonzistentní, neboť by při jeho důsledné aplikaci nebylo možné do návrhu zahrnout ani ostatní již obsažená doprovodná opatření.</w:t>
            </w:r>
          </w:p>
          <w:p w14:paraId="38A7CAAB" w14:textId="31F093DA" w:rsidR="000A5EF0" w:rsidRPr="0035187E" w:rsidRDefault="000A5EF0" w:rsidP="0035187E">
            <w:pPr>
              <w:jc w:val="both"/>
              <w:rPr>
                <w:rFonts w:ascii="Times New Roman" w:hAnsi="Times New Roman"/>
                <w:i/>
                <w:iCs/>
                <w:sz w:val="20"/>
                <w:szCs w:val="20"/>
              </w:rPr>
            </w:pPr>
            <w:proofErr w:type="gramStart"/>
            <w:r w:rsidRPr="0035187E">
              <w:rPr>
                <w:rFonts w:ascii="Times New Roman" w:hAnsi="Times New Roman"/>
                <w:i/>
                <w:iCs/>
                <w:sz w:val="20"/>
                <w:szCs w:val="20"/>
              </w:rPr>
              <w:t>a)Poznámka</w:t>
            </w:r>
            <w:proofErr w:type="gramEnd"/>
            <w:r w:rsidRPr="0035187E">
              <w:rPr>
                <w:rFonts w:ascii="Times New Roman" w:hAnsi="Times New Roman"/>
                <w:i/>
                <w:iCs/>
                <w:sz w:val="20"/>
                <w:szCs w:val="20"/>
              </w:rPr>
              <w:t xml:space="preserve"> o selektivním charakteru a rozporu s principem rovnosti a daňové spravedlnosti není dostatečně odůvodněna. Naopak je třeba zdůraznit, že současný stav představuje zjevnou nerovnováhu mezi sociálními partnery. Zatímco zaměstnavatelé mají možnost uplatnit členské příspěvky svým organizacím jako daňově uznatelný náklad, zaměstnanci tuto možnost ve vztahu ke svým organizacím zastupujícím jejich zájmy nemají. Právě tato asymetrie je z pohledu rovnosti problematická. </w:t>
            </w:r>
            <w:r w:rsidRPr="0035187E">
              <w:rPr>
                <w:rFonts w:ascii="Times New Roman" w:hAnsi="Times New Roman"/>
                <w:i/>
                <w:iCs/>
                <w:sz w:val="20"/>
                <w:szCs w:val="20"/>
              </w:rPr>
              <w:lastRenderedPageBreak/>
              <w:t>Současně nelze považovat za relevantní argument, že stát podporuje činnost odborů prostřednictvím osvobození plnění poskytovaných jejich členům. Primární funkcí odborových organizací není přerozdělování finančních prostředků mezi členy, ale vedení sociálního dialogu, kolektivní vyjednávání a ochrana práv zaměstnanců. Daňové zvýhodnění za odvedené členské příspěvky proto neslouží jako individuální benefit, ale jako nástroj podpory fungování sociálního dialogu, který má širší společenský dopad.</w:t>
            </w:r>
          </w:p>
          <w:p w14:paraId="1816D84B" w14:textId="36F8D5EB" w:rsidR="000A5EF0" w:rsidRPr="0035187E" w:rsidRDefault="000A5EF0" w:rsidP="0035187E">
            <w:pPr>
              <w:jc w:val="both"/>
              <w:rPr>
                <w:rFonts w:ascii="Times New Roman" w:hAnsi="Times New Roman" w:cs="Times New Roman"/>
                <w:i/>
                <w:iCs/>
                <w:sz w:val="20"/>
                <w:szCs w:val="20"/>
              </w:rPr>
            </w:pPr>
            <w:proofErr w:type="gramStart"/>
            <w:r w:rsidRPr="0035187E">
              <w:rPr>
                <w:rFonts w:ascii="Times New Roman" w:hAnsi="Times New Roman" w:cs="Times New Roman"/>
                <w:i/>
                <w:iCs/>
                <w:sz w:val="20"/>
                <w:szCs w:val="20"/>
              </w:rPr>
              <w:t>b)Konsolidační</w:t>
            </w:r>
            <w:proofErr w:type="gramEnd"/>
            <w:r w:rsidRPr="0035187E">
              <w:rPr>
                <w:rFonts w:ascii="Times New Roman" w:hAnsi="Times New Roman" w:cs="Times New Roman"/>
                <w:i/>
                <w:iCs/>
                <w:sz w:val="20"/>
                <w:szCs w:val="20"/>
              </w:rPr>
              <w:t xml:space="preserve"> balíček, jehož dopady jsou nyní v rámci návrhu částečně revidovány, byl připraven právě Ministerstvem financí ČR. Otevírá-li tedy návrh zákona otázku revize dopadů tohoto balíčku, je zcela legitimní diskutovat i další opatření, která byla jeho součástí a která mají přímý dopad na příjmy zaměstnanců a celkové nastavení daňového a odvodového zatížení práce. V případě potřeby je standardní praxí meziresortní spolupráce s příslušnými gestory, typicky právě s Ministerstvem práce a sociálních věcí.</w:t>
            </w:r>
          </w:p>
          <w:p w14:paraId="72170703" w14:textId="15CAE854" w:rsidR="001E10EF" w:rsidRPr="0035187E" w:rsidRDefault="000A5EF0"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c)K tvrzení, že připomínka nesouvisí s návrhem, uvádíme, že i toto opatření bylo součástí konsolidačního balíčku, jehož vybrané dopady jsou nyní v rámci návrhu revidovány. Snížení přídělu do FKSP přitom prokazatelně přispělo k dalšímu oslabení konkurenceschopnosti veřejného sektoru na trhu práce. Veřejná sféra má ve srovnání se soukromým sektorem dlouhodobě omezené možnosti poskytování zaměstnaneckých benefitů a FKSP představuje jeden z klíčových nástrojů, jak tuto nevýhodu alespoň částečně kompenzovat. Neobnovení původní výše přídělu tak dále prohlubuje nerovnováhu mezi veřejným a soukromým sektorem a negativně dopadá na schopnost státu zajistit dostatek kvalifikovaných zaměstnanců</w:t>
            </w:r>
            <w:r w:rsidR="00120B06">
              <w:rPr>
                <w:rFonts w:ascii="Times New Roman" w:hAnsi="Times New Roman" w:cs="Times New Roman"/>
                <w:i/>
                <w:iCs/>
                <w:sz w:val="20"/>
                <w:szCs w:val="20"/>
              </w:rPr>
              <w:t>.</w:t>
            </w:r>
          </w:p>
          <w:p w14:paraId="47597E98" w14:textId="6A4A12F5" w:rsidR="00067CFE" w:rsidRPr="0035187E" w:rsidRDefault="00067CFE" w:rsidP="0035187E">
            <w:pPr>
              <w:jc w:val="both"/>
              <w:rPr>
                <w:rFonts w:ascii="Times New Roman" w:hAnsi="Times New Roman" w:cs="Times New Roman"/>
                <w:sz w:val="20"/>
                <w:szCs w:val="20"/>
              </w:rPr>
            </w:pPr>
          </w:p>
        </w:tc>
      </w:tr>
      <w:tr w:rsidR="0035187E" w:rsidRPr="0035187E" w14:paraId="0B8E00CB"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96FE4C9" w14:textId="4432454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29.</w:t>
            </w:r>
          </w:p>
        </w:tc>
        <w:tc>
          <w:tcPr>
            <w:tcW w:w="583" w:type="pct"/>
            <w:tcBorders>
              <w:top w:val="single" w:sz="4" w:space="0" w:color="auto"/>
              <w:left w:val="single" w:sz="4" w:space="0" w:color="auto"/>
              <w:right w:val="single" w:sz="4" w:space="0" w:color="auto"/>
            </w:tcBorders>
            <w:shd w:val="clear" w:color="auto" w:fill="auto"/>
          </w:tcPr>
          <w:p w14:paraId="34A8D3FA" w14:textId="579897C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Českomoravská konfederace odborových svazů</w:t>
            </w:r>
          </w:p>
        </w:tc>
        <w:tc>
          <w:tcPr>
            <w:tcW w:w="168" w:type="pct"/>
            <w:tcBorders>
              <w:top w:val="single" w:sz="4" w:space="0" w:color="auto"/>
              <w:left w:val="single" w:sz="4" w:space="0" w:color="auto"/>
              <w:right w:val="single" w:sz="4" w:space="0" w:color="auto"/>
            </w:tcBorders>
            <w:shd w:val="clear" w:color="auto" w:fill="auto"/>
          </w:tcPr>
          <w:p w14:paraId="4BD8F94F" w14:textId="30E81E5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w:t>
            </w:r>
          </w:p>
        </w:tc>
        <w:tc>
          <w:tcPr>
            <w:tcW w:w="169" w:type="pct"/>
            <w:tcBorders>
              <w:top w:val="single" w:sz="4" w:space="0" w:color="auto"/>
              <w:left w:val="single" w:sz="4" w:space="0" w:color="auto"/>
              <w:right w:val="single" w:sz="4" w:space="0" w:color="auto"/>
            </w:tcBorders>
            <w:shd w:val="clear" w:color="auto" w:fill="auto"/>
          </w:tcPr>
          <w:p w14:paraId="5DE11D38" w14:textId="53E11D9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03D6A6D" w14:textId="79017F2F" w:rsidR="000B4BD4" w:rsidRPr="0035187E" w:rsidRDefault="000B4BD4" w:rsidP="0035187E">
            <w:pPr>
              <w:keepNext/>
              <w:numPr>
                <w:ilvl w:val="1"/>
                <w:numId w:val="44"/>
              </w:numPr>
              <w:jc w:val="both"/>
              <w:outlineLvl w:val="1"/>
              <w:rPr>
                <w:rFonts w:ascii="Times New Roman" w:hAnsi="Times New Roman" w:cs="Times New Roman"/>
                <w:b/>
                <w:sz w:val="20"/>
                <w:szCs w:val="20"/>
              </w:rPr>
            </w:pPr>
            <w:r w:rsidRPr="0035187E">
              <w:rPr>
                <w:rFonts w:ascii="Times New Roman" w:hAnsi="Times New Roman" w:cs="Times New Roman"/>
                <w:b/>
                <w:sz w:val="20"/>
                <w:szCs w:val="20"/>
              </w:rPr>
              <w:t>K jednotlivým ustanovením</w:t>
            </w:r>
          </w:p>
          <w:p w14:paraId="49793399" w14:textId="77777777" w:rsidR="000B4BD4" w:rsidRPr="0035187E" w:rsidRDefault="000B4BD4" w:rsidP="0035187E">
            <w:pPr>
              <w:keepNext/>
              <w:numPr>
                <w:ilvl w:val="1"/>
                <w:numId w:val="44"/>
              </w:numPr>
              <w:jc w:val="both"/>
              <w:outlineLvl w:val="1"/>
              <w:rPr>
                <w:rFonts w:ascii="Times New Roman" w:hAnsi="Times New Roman" w:cs="Times New Roman"/>
                <w:b/>
                <w:sz w:val="20"/>
                <w:szCs w:val="20"/>
              </w:rPr>
            </w:pPr>
          </w:p>
          <w:p w14:paraId="2F28CE36" w14:textId="4F760357" w:rsidR="000B4BD4" w:rsidRPr="0035187E" w:rsidRDefault="000B4BD4" w:rsidP="0035187E">
            <w:pPr>
              <w:tabs>
                <w:tab w:val="right" w:pos="426"/>
              </w:tabs>
              <w:jc w:val="both"/>
              <w:rPr>
                <w:rFonts w:ascii="Times New Roman" w:hAnsi="Times New Roman" w:cs="Times New Roman"/>
                <w:b/>
                <w:bCs/>
                <w:sz w:val="20"/>
                <w:szCs w:val="20"/>
              </w:rPr>
            </w:pPr>
            <w:r w:rsidRPr="0035187E">
              <w:rPr>
                <w:rFonts w:ascii="Times New Roman" w:hAnsi="Times New Roman" w:cs="Times New Roman"/>
                <w:b/>
                <w:bCs/>
                <w:sz w:val="20"/>
                <w:szCs w:val="20"/>
              </w:rPr>
              <w:t>K části druhé – Změna zákona o daních z příjmů</w:t>
            </w:r>
          </w:p>
          <w:p w14:paraId="7CAA6B98" w14:textId="77777777" w:rsidR="000B4BD4" w:rsidRPr="0035187E" w:rsidRDefault="000B4BD4" w:rsidP="0035187E">
            <w:pPr>
              <w:tabs>
                <w:tab w:val="right" w:pos="426"/>
              </w:tabs>
              <w:jc w:val="both"/>
              <w:rPr>
                <w:rFonts w:ascii="Times New Roman" w:hAnsi="Times New Roman" w:cs="Times New Roman"/>
                <w:b/>
                <w:bCs/>
                <w:sz w:val="20"/>
                <w:szCs w:val="20"/>
              </w:rPr>
            </w:pPr>
          </w:p>
          <w:p w14:paraId="4B7BB5B3" w14:textId="77777777" w:rsidR="000B4BD4" w:rsidRPr="0035187E" w:rsidRDefault="000B4BD4" w:rsidP="0035187E">
            <w:pPr>
              <w:numPr>
                <w:ilvl w:val="0"/>
                <w:numId w:val="45"/>
              </w:numPr>
              <w:tabs>
                <w:tab w:val="right" w:pos="426"/>
              </w:tabs>
              <w:ind w:left="0" w:firstLine="0"/>
              <w:jc w:val="both"/>
              <w:rPr>
                <w:rFonts w:ascii="Times New Roman" w:hAnsi="Times New Roman" w:cs="Times New Roman"/>
                <w:sz w:val="20"/>
                <w:szCs w:val="20"/>
              </w:rPr>
            </w:pPr>
            <w:r w:rsidRPr="0035187E">
              <w:rPr>
                <w:rFonts w:ascii="Times New Roman" w:hAnsi="Times New Roman" w:cs="Times New Roman"/>
                <w:b/>
                <w:bCs/>
                <w:sz w:val="20"/>
                <w:szCs w:val="20"/>
              </w:rPr>
              <w:t>K bodu 4 (§ 6 odst. 9 písm. d)</w:t>
            </w:r>
          </w:p>
          <w:p w14:paraId="3195CD2D" w14:textId="77777777" w:rsidR="000B4BD4" w:rsidRPr="0035187E" w:rsidRDefault="000B4BD4" w:rsidP="0035187E">
            <w:pPr>
              <w:tabs>
                <w:tab w:val="right" w:pos="426"/>
              </w:tabs>
              <w:jc w:val="both"/>
              <w:rPr>
                <w:rFonts w:ascii="Times New Roman" w:hAnsi="Times New Roman" w:cs="Times New Roman"/>
                <w:sz w:val="20"/>
                <w:szCs w:val="20"/>
              </w:rPr>
            </w:pPr>
          </w:p>
          <w:p w14:paraId="63F663D3" w14:textId="01C65ACB" w:rsidR="000B4BD4" w:rsidRPr="0035187E" w:rsidRDefault="000B4BD4" w:rsidP="0035187E">
            <w:pPr>
              <w:tabs>
                <w:tab w:val="right" w:pos="426"/>
              </w:tabs>
              <w:jc w:val="both"/>
              <w:rPr>
                <w:rFonts w:ascii="Times New Roman" w:hAnsi="Times New Roman" w:cs="Times New Roman"/>
                <w:sz w:val="20"/>
                <w:szCs w:val="20"/>
              </w:rPr>
            </w:pPr>
            <w:r w:rsidRPr="0035187E">
              <w:rPr>
                <w:rFonts w:ascii="Times New Roman" w:hAnsi="Times New Roman" w:cs="Times New Roman"/>
                <w:sz w:val="20"/>
                <w:szCs w:val="20"/>
              </w:rPr>
              <w:t>Požadujeme vysvětlení podmínky „obvyklosti“ volnočasového benefitu.</w:t>
            </w:r>
          </w:p>
          <w:p w14:paraId="5399A889" w14:textId="77777777" w:rsidR="000B4BD4" w:rsidRPr="0035187E" w:rsidRDefault="000B4BD4" w:rsidP="0035187E">
            <w:pPr>
              <w:tabs>
                <w:tab w:val="right" w:pos="426"/>
              </w:tabs>
              <w:jc w:val="both"/>
              <w:rPr>
                <w:rFonts w:ascii="Times New Roman" w:hAnsi="Times New Roman" w:cs="Times New Roman"/>
                <w:b/>
                <w:bCs/>
                <w:sz w:val="20"/>
                <w:szCs w:val="20"/>
              </w:rPr>
            </w:pPr>
          </w:p>
          <w:p w14:paraId="7E6080A5" w14:textId="5AED105D" w:rsidR="000B4BD4" w:rsidRPr="0035187E" w:rsidRDefault="000B4BD4" w:rsidP="0035187E">
            <w:pPr>
              <w:tabs>
                <w:tab w:val="right" w:pos="426"/>
              </w:tabs>
              <w:jc w:val="both"/>
              <w:rPr>
                <w:rFonts w:ascii="Times New Roman" w:hAnsi="Times New Roman" w:cs="Times New Roman"/>
                <w:b/>
                <w:bCs/>
                <w:sz w:val="20"/>
                <w:szCs w:val="20"/>
              </w:rPr>
            </w:pPr>
            <w:r w:rsidRPr="0035187E">
              <w:rPr>
                <w:rFonts w:ascii="Times New Roman" w:hAnsi="Times New Roman" w:cs="Times New Roman"/>
                <w:b/>
                <w:bCs/>
                <w:sz w:val="20"/>
                <w:szCs w:val="20"/>
              </w:rPr>
              <w:t>Odůvodnění:</w:t>
            </w:r>
          </w:p>
          <w:p w14:paraId="573448D4" w14:textId="77777777" w:rsidR="000B4BD4" w:rsidRPr="0035187E" w:rsidRDefault="000B4BD4" w:rsidP="0035187E">
            <w:pPr>
              <w:tabs>
                <w:tab w:val="right" w:pos="426"/>
              </w:tabs>
              <w:jc w:val="both"/>
              <w:rPr>
                <w:rFonts w:ascii="Times New Roman" w:hAnsi="Times New Roman" w:cs="Times New Roman"/>
                <w:sz w:val="20"/>
                <w:szCs w:val="20"/>
              </w:rPr>
            </w:pPr>
            <w:r w:rsidRPr="0035187E">
              <w:rPr>
                <w:rFonts w:ascii="Times New Roman" w:hAnsi="Times New Roman" w:cs="Times New Roman"/>
                <w:sz w:val="20"/>
                <w:szCs w:val="20"/>
              </w:rPr>
              <w:t>Obvyklost představuje obecný pojem, který není zákonem blíže definován. Je proto obtížné předvídat dopady přijetí takové podmínky v oblasti benefitů, která je v jistém smyslu i prostorem pro konkurenční střet mezi jednotlivými zaměstnavateli, jejichž záměrem může být právě se od ostatních odlišovat svou nabídkou „neobvyklých“ benefitů. V určité smyslu je jakýkoliv nový benefit neobvyklým, a tudíž může docházet k vytváření překážek inovacím a nabízení nových druhů služeb.</w:t>
            </w:r>
          </w:p>
          <w:p w14:paraId="0BDAD5D8" w14:textId="27649414" w:rsidR="000B4BD4" w:rsidRPr="0035187E" w:rsidRDefault="000B4BD4" w:rsidP="0035187E">
            <w:pPr>
              <w:tabs>
                <w:tab w:val="right" w:pos="426"/>
              </w:tabs>
              <w:jc w:val="both"/>
              <w:rPr>
                <w:rFonts w:ascii="Times New Roman" w:hAnsi="Times New Roman" w:cs="Times New Roman"/>
                <w:sz w:val="20"/>
                <w:szCs w:val="20"/>
              </w:rPr>
            </w:pPr>
            <w:r w:rsidRPr="0035187E">
              <w:rPr>
                <w:rFonts w:ascii="Times New Roman" w:hAnsi="Times New Roman" w:cs="Times New Roman"/>
                <w:sz w:val="20"/>
                <w:szCs w:val="20"/>
              </w:rPr>
              <w:t>Není zároveň zřejmé, k jakému aspektu se má posuzování obvyklosti vztahovat – zda k samotnému charakteru benefitu, k jeho rozsahu, k časovému nebo geografickému hledisku jeho poskytování, případně k okruhu zaměstnanců, kterým je určen. V praxi tak může docházet k rozdílným výkladům a sporům mezi zaměstnavateli a správcem daně.</w:t>
            </w:r>
          </w:p>
          <w:p w14:paraId="589184C0" w14:textId="77777777" w:rsidR="000B4BD4" w:rsidRPr="0035187E" w:rsidRDefault="000B4BD4" w:rsidP="0035187E">
            <w:pPr>
              <w:tabs>
                <w:tab w:val="right" w:pos="426"/>
              </w:tabs>
              <w:jc w:val="both"/>
              <w:rPr>
                <w:rFonts w:ascii="Times New Roman" w:hAnsi="Times New Roman" w:cs="Times New Roman"/>
                <w:sz w:val="20"/>
                <w:szCs w:val="20"/>
              </w:rPr>
            </w:pPr>
          </w:p>
          <w:p w14:paraId="654A775D" w14:textId="619EB082" w:rsidR="000B4BD4" w:rsidRPr="0035187E" w:rsidRDefault="000B4BD4" w:rsidP="0035187E">
            <w:pPr>
              <w:tabs>
                <w:tab w:val="right" w:pos="426"/>
              </w:tabs>
              <w:jc w:val="both"/>
              <w:rPr>
                <w:rFonts w:ascii="Times New Roman" w:hAnsi="Times New Roman" w:cs="Times New Roman"/>
                <w:sz w:val="20"/>
                <w:szCs w:val="20"/>
              </w:rPr>
            </w:pPr>
            <w:r w:rsidRPr="0035187E">
              <w:rPr>
                <w:rFonts w:ascii="Times New Roman" w:hAnsi="Times New Roman" w:cs="Times New Roman"/>
                <w:sz w:val="20"/>
                <w:szCs w:val="20"/>
              </w:rPr>
              <w:t xml:space="preserve">Případné excesy při poskytování benefitů by mělo dostatečně pokrýt již navrhované kritérium přiměřenosti. </w:t>
            </w:r>
          </w:p>
          <w:p w14:paraId="1FE6679C" w14:textId="77777777" w:rsidR="000B4BD4" w:rsidRPr="0035187E" w:rsidRDefault="000B4BD4" w:rsidP="0035187E">
            <w:pPr>
              <w:tabs>
                <w:tab w:val="right" w:pos="426"/>
              </w:tabs>
              <w:jc w:val="both"/>
              <w:rPr>
                <w:rFonts w:ascii="Times New Roman" w:hAnsi="Times New Roman" w:cs="Times New Roman"/>
                <w:sz w:val="20"/>
                <w:szCs w:val="20"/>
              </w:rPr>
            </w:pPr>
          </w:p>
          <w:p w14:paraId="74D217F4" w14:textId="77777777" w:rsidR="000B4BD4" w:rsidRPr="0035187E" w:rsidRDefault="000B4BD4" w:rsidP="0035187E">
            <w:pPr>
              <w:tabs>
                <w:tab w:val="right" w:pos="426"/>
              </w:tabs>
              <w:jc w:val="both"/>
              <w:rPr>
                <w:rFonts w:ascii="Times New Roman" w:hAnsi="Times New Roman" w:cs="Times New Roman"/>
                <w:sz w:val="20"/>
                <w:szCs w:val="20"/>
              </w:rPr>
            </w:pPr>
            <w:r w:rsidRPr="0035187E">
              <w:rPr>
                <w:rFonts w:ascii="Times New Roman" w:hAnsi="Times New Roman" w:cs="Times New Roman"/>
                <w:sz w:val="20"/>
                <w:szCs w:val="20"/>
              </w:rPr>
              <w:t>Bez dalšího vysvětlení považujeme doplnění obvyklosti za nadbytečné a potenciálně problematické z hlediska právní jistoty.</w:t>
            </w:r>
          </w:p>
          <w:p w14:paraId="56F59BBD" w14:textId="77777777" w:rsidR="000B4BD4" w:rsidRPr="0035187E" w:rsidRDefault="000B4BD4" w:rsidP="0035187E">
            <w:pPr>
              <w:tabs>
                <w:tab w:val="right" w:pos="426"/>
              </w:tabs>
              <w:jc w:val="both"/>
              <w:rPr>
                <w:rFonts w:ascii="Times New Roman" w:hAnsi="Times New Roman" w:cs="Times New Roman"/>
                <w:b/>
                <w:sz w:val="20"/>
                <w:szCs w:val="20"/>
              </w:rPr>
            </w:pPr>
          </w:p>
          <w:p w14:paraId="202ADF29" w14:textId="48E36710" w:rsidR="000B4BD4" w:rsidRPr="0035187E" w:rsidRDefault="000B4BD4" w:rsidP="0035187E">
            <w:pPr>
              <w:tabs>
                <w:tab w:val="right" w:pos="426"/>
              </w:tabs>
              <w:jc w:val="both"/>
              <w:rPr>
                <w:rFonts w:ascii="Times New Roman" w:hAnsi="Times New Roman" w:cs="Times New Roman"/>
                <w:sz w:val="20"/>
                <w:szCs w:val="20"/>
              </w:rPr>
            </w:pPr>
            <w:r w:rsidRPr="0035187E">
              <w:rPr>
                <w:rFonts w:ascii="Times New Roman" w:hAnsi="Times New Roman" w:cs="Times New Roman"/>
                <w:b/>
                <w:sz w:val="20"/>
                <w:szCs w:val="20"/>
              </w:rPr>
              <w:t>Tuto připomínku považujeme za zásadní.</w:t>
            </w:r>
          </w:p>
        </w:tc>
        <w:tc>
          <w:tcPr>
            <w:tcW w:w="1453" w:type="pct"/>
            <w:tcBorders>
              <w:top w:val="single" w:sz="4" w:space="0" w:color="auto"/>
              <w:left w:val="single" w:sz="4" w:space="0" w:color="auto"/>
              <w:right w:val="single" w:sz="4" w:space="0" w:color="auto"/>
            </w:tcBorders>
            <w:shd w:val="clear" w:color="auto" w:fill="auto"/>
          </w:tcPr>
          <w:p w14:paraId="5C035B8D"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Vysvětleno.</w:t>
            </w:r>
          </w:p>
          <w:p w14:paraId="2340AE08" w14:textId="69F670D1"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Kritérium obvyklosti vychází z dosavadního § 6 odst. 9 písm. g) zákona o daních z příjmů, který upravuje daňové osvobození nepeněžních příjmů plynoucích z účasti zaměstnance nebo jeho rodinného příslušníka na společenské akci pořádané zaměstnavatelem pro omezený okruh účastníků, a to včetně akcí s kulturním či sportovním prvkem. Toto ustanovení bude v návaznosti na zrušení příslušného stropu v § 6 odst. 9 písm. d) bodu 2 zákona o daních z příjmů zrušeno, přičemž dané akce budou nově podřazeny pod toto ustanovení. </w:t>
            </w:r>
          </w:p>
          <w:p w14:paraId="44AF320B" w14:textId="09CF1F75"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Výklad jednotlivých kritérií uvedených v dosavadním § 6 odst. 9 písm. g) zákona o daních z příjmů, rozpracovává metodická informace GFŘ k zaměstnaneckým benefitům z roku 2024. Ta mimo jiné uvádí, že obvyklost pořádání akce se posuzuje zejména s ohledem na běžné standardy v podnikatelské praxi, a to ve vazbě na okruh účastníků (např. pouze zaměstnanci, zaměstnanci včetně rodinných příslušníků či obchodní partneři), charakter akce (např. sportovní den pro děti, zaměstnanecké sportovní hry apod.) a její pravidelnost.</w:t>
            </w:r>
          </w:p>
          <w:p w14:paraId="78CD0D07"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Navrhuje se toto kritérium výslovně zakotvit nejen pro akce pořádané přímo zaměstnavatelem, ale i pro sportovní a kulturní akce zajišťované zaměstnavatelem prostřednictvím externích subjektů (např. cestovních kanceláří). Takové upřesnění poskytne potřebnou legislativní oporu pro posuzování případů, které mohou spíše nasvědčovat zneužívání daňové podpory než skutečné snaze o podporu a stabilizaci pracovního prostředí.</w:t>
            </w:r>
          </w:p>
          <w:p w14:paraId="6FB8CF57" w14:textId="77777777" w:rsidR="004F6CEB" w:rsidRPr="0035187E" w:rsidRDefault="004F6CEB" w:rsidP="0035187E">
            <w:pPr>
              <w:jc w:val="both"/>
              <w:rPr>
                <w:rFonts w:ascii="Times New Roman" w:hAnsi="Times New Roman" w:cs="Times New Roman"/>
                <w:sz w:val="20"/>
                <w:szCs w:val="20"/>
              </w:rPr>
            </w:pPr>
          </w:p>
          <w:p w14:paraId="27BFFE5D" w14:textId="1FF736D1" w:rsidR="004F6CEB" w:rsidRPr="0035187E" w:rsidRDefault="004F6CEB" w:rsidP="0035187E">
            <w:pPr>
              <w:jc w:val="both"/>
              <w:rPr>
                <w:rFonts w:ascii="Times New Roman" w:hAnsi="Times New Roman" w:cs="Times New Roman"/>
                <w:sz w:val="20"/>
                <w:szCs w:val="20"/>
              </w:rPr>
            </w:pPr>
            <w:r w:rsidRPr="0035187E">
              <w:rPr>
                <w:rFonts w:ascii="Times New Roman" w:hAnsi="Times New Roman" w:cs="Times New Roman"/>
                <w:i/>
                <w:iCs/>
                <w:sz w:val="20"/>
                <w:szCs w:val="20"/>
              </w:rPr>
              <w:t>Připomínkové místo uvedlo, že považuje vypořádání za akceptovatelné a netrvá na rozporu.</w:t>
            </w:r>
          </w:p>
        </w:tc>
      </w:tr>
      <w:tr w:rsidR="0035187E" w:rsidRPr="0035187E" w14:paraId="53421FA9"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54A16C3" w14:textId="14035EC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29.</w:t>
            </w:r>
          </w:p>
        </w:tc>
        <w:tc>
          <w:tcPr>
            <w:tcW w:w="583" w:type="pct"/>
            <w:tcBorders>
              <w:top w:val="single" w:sz="4" w:space="0" w:color="auto"/>
              <w:left w:val="single" w:sz="4" w:space="0" w:color="auto"/>
              <w:right w:val="single" w:sz="4" w:space="0" w:color="auto"/>
            </w:tcBorders>
            <w:shd w:val="clear" w:color="auto" w:fill="auto"/>
          </w:tcPr>
          <w:p w14:paraId="0657DC15" w14:textId="60569AB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Českomoravská konfederace odborových svazů</w:t>
            </w:r>
          </w:p>
        </w:tc>
        <w:tc>
          <w:tcPr>
            <w:tcW w:w="168" w:type="pct"/>
            <w:tcBorders>
              <w:top w:val="single" w:sz="4" w:space="0" w:color="auto"/>
              <w:left w:val="single" w:sz="4" w:space="0" w:color="auto"/>
              <w:right w:val="single" w:sz="4" w:space="0" w:color="auto"/>
            </w:tcBorders>
            <w:shd w:val="clear" w:color="auto" w:fill="auto"/>
          </w:tcPr>
          <w:p w14:paraId="73A2CFAB" w14:textId="6AFC649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5.</w:t>
            </w:r>
          </w:p>
        </w:tc>
        <w:tc>
          <w:tcPr>
            <w:tcW w:w="169" w:type="pct"/>
            <w:tcBorders>
              <w:top w:val="single" w:sz="4" w:space="0" w:color="auto"/>
              <w:left w:val="single" w:sz="4" w:space="0" w:color="auto"/>
              <w:right w:val="single" w:sz="4" w:space="0" w:color="auto"/>
            </w:tcBorders>
            <w:shd w:val="clear" w:color="auto" w:fill="auto"/>
          </w:tcPr>
          <w:p w14:paraId="4805BC3F" w14:textId="6FAC0E8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ADF441D" w14:textId="77777777" w:rsidR="000B4BD4" w:rsidRPr="0035187E" w:rsidRDefault="000B4BD4" w:rsidP="0035187E">
            <w:pPr>
              <w:numPr>
                <w:ilvl w:val="0"/>
                <w:numId w:val="45"/>
              </w:numPr>
              <w:tabs>
                <w:tab w:val="right" w:pos="426"/>
              </w:tabs>
              <w:ind w:left="0" w:firstLine="0"/>
              <w:jc w:val="both"/>
              <w:rPr>
                <w:rFonts w:ascii="Times New Roman" w:hAnsi="Times New Roman" w:cs="Times New Roman"/>
                <w:sz w:val="20"/>
                <w:szCs w:val="20"/>
              </w:rPr>
            </w:pPr>
            <w:r w:rsidRPr="0035187E">
              <w:rPr>
                <w:rFonts w:ascii="Times New Roman" w:hAnsi="Times New Roman" w:cs="Times New Roman"/>
                <w:b/>
                <w:bCs/>
                <w:sz w:val="20"/>
                <w:szCs w:val="20"/>
              </w:rPr>
              <w:t>K bodu 4 a 5 (§ 6 odst. 9 písm. d)</w:t>
            </w:r>
          </w:p>
          <w:p w14:paraId="36CCAF1A" w14:textId="77777777" w:rsidR="000B4BD4" w:rsidRPr="0035187E" w:rsidRDefault="000B4BD4" w:rsidP="0035187E">
            <w:pPr>
              <w:tabs>
                <w:tab w:val="right" w:pos="426"/>
              </w:tabs>
              <w:jc w:val="both"/>
              <w:rPr>
                <w:rFonts w:ascii="Times New Roman" w:hAnsi="Times New Roman" w:cs="Times New Roman"/>
                <w:sz w:val="20"/>
                <w:szCs w:val="20"/>
              </w:rPr>
            </w:pPr>
          </w:p>
          <w:p w14:paraId="0244D239" w14:textId="00F44A22" w:rsidR="000B4BD4" w:rsidRPr="0035187E" w:rsidRDefault="000B4BD4" w:rsidP="0035187E">
            <w:pPr>
              <w:tabs>
                <w:tab w:val="right" w:pos="426"/>
              </w:tabs>
              <w:jc w:val="both"/>
              <w:rPr>
                <w:rFonts w:ascii="Times New Roman" w:hAnsi="Times New Roman" w:cs="Times New Roman"/>
                <w:sz w:val="20"/>
                <w:szCs w:val="20"/>
              </w:rPr>
            </w:pPr>
            <w:r w:rsidRPr="0035187E">
              <w:rPr>
                <w:rFonts w:ascii="Times New Roman" w:hAnsi="Times New Roman" w:cs="Times New Roman"/>
                <w:sz w:val="20"/>
                <w:szCs w:val="20"/>
              </w:rPr>
              <w:t>Požadujeme vypustit návrh zavádějící pevný limit daňového osvobození rekreací a zájezdů.</w:t>
            </w:r>
          </w:p>
          <w:p w14:paraId="20B79FEF" w14:textId="77777777" w:rsidR="000B4BD4" w:rsidRPr="0035187E" w:rsidRDefault="000B4BD4" w:rsidP="0035187E">
            <w:pPr>
              <w:tabs>
                <w:tab w:val="right" w:pos="426"/>
              </w:tabs>
              <w:jc w:val="both"/>
              <w:rPr>
                <w:rFonts w:ascii="Times New Roman" w:hAnsi="Times New Roman" w:cs="Times New Roman"/>
                <w:b/>
                <w:bCs/>
                <w:sz w:val="20"/>
                <w:szCs w:val="20"/>
              </w:rPr>
            </w:pPr>
          </w:p>
          <w:p w14:paraId="25418556" w14:textId="65664D7D" w:rsidR="000B4BD4" w:rsidRPr="0035187E" w:rsidRDefault="000B4BD4" w:rsidP="0035187E">
            <w:pPr>
              <w:tabs>
                <w:tab w:val="right" w:pos="426"/>
              </w:tabs>
              <w:jc w:val="both"/>
              <w:rPr>
                <w:rFonts w:ascii="Times New Roman" w:hAnsi="Times New Roman" w:cs="Times New Roman"/>
                <w:b/>
                <w:bCs/>
                <w:sz w:val="20"/>
                <w:szCs w:val="20"/>
              </w:rPr>
            </w:pPr>
            <w:r w:rsidRPr="0035187E">
              <w:rPr>
                <w:rFonts w:ascii="Times New Roman" w:hAnsi="Times New Roman" w:cs="Times New Roman"/>
                <w:b/>
                <w:bCs/>
                <w:sz w:val="20"/>
                <w:szCs w:val="20"/>
              </w:rPr>
              <w:t>Odůvodnění:</w:t>
            </w:r>
          </w:p>
          <w:p w14:paraId="5DA509A9" w14:textId="3F7F6067" w:rsidR="000B4BD4" w:rsidRPr="0035187E" w:rsidRDefault="000B4BD4" w:rsidP="0035187E">
            <w:pPr>
              <w:tabs>
                <w:tab w:val="right" w:pos="426"/>
              </w:tabs>
              <w:jc w:val="both"/>
              <w:rPr>
                <w:rFonts w:ascii="Times New Roman" w:hAnsi="Times New Roman" w:cs="Times New Roman"/>
                <w:sz w:val="20"/>
                <w:szCs w:val="20"/>
              </w:rPr>
            </w:pPr>
            <w:r w:rsidRPr="0035187E">
              <w:rPr>
                <w:rFonts w:ascii="Times New Roman" w:hAnsi="Times New Roman" w:cs="Times New Roman"/>
                <w:sz w:val="20"/>
                <w:szCs w:val="20"/>
              </w:rPr>
              <w:t>Návrh vytváří další samostatný limit daňového osvobození nepeněžních benefitů, který je navíc svou koncepcí odlišný od limitů dříve uplatňovaných, neboť pracuje s pevnou částkou namísto proměnné hodnoty odpovídající průměrné mzdě za zdaňovací období. Takovou změnu lze vnímat jako další administrativní znepřehlednění systému benefitů.</w:t>
            </w:r>
          </w:p>
          <w:p w14:paraId="14A21B53" w14:textId="77777777" w:rsidR="000B4BD4" w:rsidRPr="0035187E" w:rsidRDefault="000B4BD4" w:rsidP="0035187E">
            <w:pPr>
              <w:tabs>
                <w:tab w:val="right" w:pos="426"/>
              </w:tabs>
              <w:jc w:val="both"/>
              <w:rPr>
                <w:rFonts w:ascii="Times New Roman" w:hAnsi="Times New Roman" w:cs="Times New Roman"/>
                <w:sz w:val="20"/>
                <w:szCs w:val="20"/>
              </w:rPr>
            </w:pPr>
          </w:p>
          <w:p w14:paraId="1F708BF0" w14:textId="29FEF2B4" w:rsidR="000B4BD4" w:rsidRPr="0035187E" w:rsidRDefault="000B4BD4" w:rsidP="0035187E">
            <w:pPr>
              <w:tabs>
                <w:tab w:val="right" w:pos="426"/>
              </w:tabs>
              <w:jc w:val="both"/>
              <w:rPr>
                <w:rFonts w:ascii="Times New Roman" w:hAnsi="Times New Roman" w:cs="Times New Roman"/>
                <w:sz w:val="20"/>
                <w:szCs w:val="20"/>
              </w:rPr>
            </w:pPr>
            <w:r w:rsidRPr="0035187E">
              <w:rPr>
                <w:rFonts w:ascii="Times New Roman" w:hAnsi="Times New Roman" w:cs="Times New Roman"/>
                <w:sz w:val="20"/>
                <w:szCs w:val="20"/>
              </w:rPr>
              <w:t>Při rozšiřování kategorií benefitů a na ně uplatňovaných daňových režimů zároveň vzniká další prostor pro interpretační nejasnosti, typicky v případech, kdy se poskytovaný volnočasový benefit svým charakterem nachází na pomezí těchto kategorií (sportovní zájezdy, ubytování s lázeňskou službou či vzdělávacími aktivitami a jiné).</w:t>
            </w:r>
          </w:p>
          <w:p w14:paraId="34B1BC08" w14:textId="77777777" w:rsidR="000B4BD4" w:rsidRPr="0035187E" w:rsidRDefault="000B4BD4" w:rsidP="0035187E">
            <w:pPr>
              <w:tabs>
                <w:tab w:val="right" w:pos="426"/>
              </w:tabs>
              <w:jc w:val="both"/>
              <w:rPr>
                <w:rFonts w:ascii="Times New Roman" w:hAnsi="Times New Roman" w:cs="Times New Roman"/>
                <w:sz w:val="20"/>
                <w:szCs w:val="20"/>
              </w:rPr>
            </w:pPr>
          </w:p>
          <w:p w14:paraId="3BB52D1C" w14:textId="2187542D" w:rsidR="000B4BD4" w:rsidRPr="0035187E" w:rsidRDefault="000B4BD4" w:rsidP="0035187E">
            <w:pPr>
              <w:tabs>
                <w:tab w:val="right" w:pos="426"/>
              </w:tabs>
              <w:jc w:val="both"/>
              <w:rPr>
                <w:rFonts w:ascii="Times New Roman" w:hAnsi="Times New Roman" w:cs="Times New Roman"/>
                <w:sz w:val="20"/>
                <w:szCs w:val="20"/>
              </w:rPr>
            </w:pPr>
            <w:r w:rsidRPr="0035187E">
              <w:rPr>
                <w:rFonts w:ascii="Times New Roman" w:hAnsi="Times New Roman" w:cs="Times New Roman"/>
                <w:sz w:val="20"/>
                <w:szCs w:val="20"/>
              </w:rPr>
              <w:t>Zároveň je vhodné upozornit, že samotný koncept zaměstnavatelem organizovaných rekreací a zájezdů již v řadě případů neodpovídá současným preferencím zaměstnanců. Mnoho lidí si dnes raději organizuje svou dovolenou individuálně tak, aby co nejlépe odpovídala jejich osobním potřebám, rodinné situaci či časovým možnostem. Příliš úzké vymezení daňově zvýhodněných forem rekreace vede k situaci, kdy tradiční model organizovaného zájezdu je zvýhodňován oproti flexibilnějším formám individuálního cestování, které dnes mnozí zaměstnanci preferují.</w:t>
            </w:r>
          </w:p>
          <w:p w14:paraId="5FB510F2" w14:textId="77777777" w:rsidR="000B4BD4" w:rsidRPr="0035187E" w:rsidRDefault="000B4BD4" w:rsidP="0035187E">
            <w:pPr>
              <w:tabs>
                <w:tab w:val="right" w:pos="426"/>
              </w:tabs>
              <w:jc w:val="both"/>
              <w:rPr>
                <w:rFonts w:ascii="Times New Roman" w:hAnsi="Times New Roman" w:cs="Times New Roman"/>
                <w:sz w:val="20"/>
                <w:szCs w:val="20"/>
              </w:rPr>
            </w:pPr>
          </w:p>
          <w:p w14:paraId="1F1390BC" w14:textId="1F20C6E1" w:rsidR="000B4BD4" w:rsidRPr="0035187E" w:rsidRDefault="000B4BD4" w:rsidP="0035187E">
            <w:pPr>
              <w:tabs>
                <w:tab w:val="right" w:pos="426"/>
              </w:tabs>
              <w:jc w:val="both"/>
              <w:rPr>
                <w:rFonts w:ascii="Times New Roman" w:hAnsi="Times New Roman" w:cs="Times New Roman"/>
                <w:sz w:val="20"/>
                <w:szCs w:val="20"/>
              </w:rPr>
            </w:pPr>
            <w:r w:rsidRPr="0035187E">
              <w:rPr>
                <w:rFonts w:ascii="Times New Roman" w:hAnsi="Times New Roman" w:cs="Times New Roman"/>
                <w:b/>
                <w:sz w:val="20"/>
                <w:szCs w:val="20"/>
              </w:rPr>
              <w:t>Tuto připomínku považujeme za zásadní.</w:t>
            </w:r>
          </w:p>
        </w:tc>
        <w:tc>
          <w:tcPr>
            <w:tcW w:w="1453" w:type="pct"/>
            <w:tcBorders>
              <w:top w:val="single" w:sz="4" w:space="0" w:color="auto"/>
              <w:left w:val="single" w:sz="4" w:space="0" w:color="auto"/>
              <w:right w:val="single" w:sz="4" w:space="0" w:color="auto"/>
            </w:tcBorders>
            <w:shd w:val="clear" w:color="auto" w:fill="auto"/>
          </w:tcPr>
          <w:p w14:paraId="3ED23650"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Nevyhověno.</w:t>
            </w:r>
          </w:p>
          <w:p w14:paraId="217A60E6" w14:textId="77777777" w:rsidR="000B4BD4" w:rsidRPr="0035187E" w:rsidRDefault="000B4BD4" w:rsidP="0035187E">
            <w:pPr>
              <w:contextualSpacing/>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 xml:space="preserve">Poskytnutí rekreace a zájezdu bude ponecháno mezi volnočasovými benefity v § 6 odst. 9 písm. d) ZDP. </w:t>
            </w:r>
          </w:p>
          <w:p w14:paraId="3F317070" w14:textId="1C67419F" w:rsidR="000B4BD4" w:rsidRPr="0035187E" w:rsidRDefault="000B4BD4" w:rsidP="0035187E">
            <w:pPr>
              <w:jc w:val="both"/>
              <w:rPr>
                <w:rFonts w:ascii="Times New Roman" w:hAnsi="Times New Roman" w:cs="Times New Roman"/>
                <w:iCs/>
                <w:sz w:val="20"/>
                <w:szCs w:val="20"/>
              </w:rPr>
            </w:pPr>
            <w:r w:rsidRPr="0035187E">
              <w:rPr>
                <w:rFonts w:ascii="Times New Roman" w:hAnsi="Times New Roman" w:cs="Times New Roman"/>
                <w:sz w:val="20"/>
                <w:szCs w:val="20"/>
              </w:rPr>
              <w:lastRenderedPageBreak/>
              <w:t>Návrh zákona o evidenci tržeb</w:t>
            </w:r>
            <w:r w:rsidRPr="0035187E">
              <w:rPr>
                <w:rFonts w:ascii="Times New Roman" w:hAnsi="Times New Roman" w:cs="Times New Roman"/>
                <w:b/>
                <w:bCs/>
                <w:sz w:val="20"/>
                <w:szCs w:val="20"/>
              </w:rPr>
              <w:t xml:space="preserve"> </w:t>
            </w:r>
            <w:r w:rsidRPr="0035187E">
              <w:rPr>
                <w:rFonts w:ascii="Times New Roman" w:hAnsi="Times New Roman" w:cs="Times New Roman"/>
                <w:sz w:val="20"/>
                <w:szCs w:val="20"/>
              </w:rPr>
              <w:t xml:space="preserve">počítá se zrušením stropu volnočasových benefitů zaměstnanců tak, jak se vláda zavázala prostřednictvím svého programového prohlášení. </w:t>
            </w:r>
            <w:r w:rsidRPr="0035187E">
              <w:rPr>
                <w:rFonts w:ascii="Times New Roman" w:hAnsi="Times New Roman" w:cs="Times New Roman"/>
                <w:iCs/>
                <w:sz w:val="20"/>
                <w:szCs w:val="20"/>
              </w:rPr>
              <w:t xml:space="preserve">Celá konstrukce výše cit. ustanovení dává poplatníků rozšířené možnosti využití daňových benefitů. </w:t>
            </w:r>
            <w:proofErr w:type="spellStart"/>
            <w:r w:rsidRPr="0035187E">
              <w:rPr>
                <w:rFonts w:ascii="Times New Roman" w:hAnsi="Times New Roman" w:cs="Times New Roman"/>
                <w:iCs/>
                <w:sz w:val="20"/>
                <w:szCs w:val="20"/>
              </w:rPr>
              <w:t>Zastropování</w:t>
            </w:r>
            <w:proofErr w:type="spellEnd"/>
            <w:r w:rsidRPr="0035187E">
              <w:rPr>
                <w:rFonts w:ascii="Times New Roman" w:hAnsi="Times New Roman" w:cs="Times New Roman"/>
                <w:iCs/>
                <w:sz w:val="20"/>
                <w:szCs w:val="20"/>
              </w:rPr>
              <w:t xml:space="preserve"> daňového osvobození nepeněžního plnění na rekreaci a zájezdy omezuje dopady na veřejné rozpočty a brání nepřímému zvýhodňování ekonomicky zdatnějších zaměstnavatelů. Současně zajišťuje, že daňové zvýhodnění plní svůj sociální účel podpory běžné rekreace a regenerace pracovní síly, nikoli financování nadstandardních forem dovolené. </w:t>
            </w:r>
          </w:p>
          <w:p w14:paraId="46B11E2B" w14:textId="77777777" w:rsidR="000B4BD4" w:rsidRPr="0035187E" w:rsidRDefault="000B4BD4"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 xml:space="preserve">Návrh vychází z legislativní úpravy účinné do konce roku 2023, podle níž byla hodnota nepeněžního plnění ve formě rekreace a zájezdu na straně zaměstnance osvobozena od daně až do výše 20 000 Kč za zdaňovací období. Navrhovaná úprava proto nepřináší novou administrativní zátěž ani nevyvolává interpretační nejasnosti. </w:t>
            </w:r>
          </w:p>
          <w:p w14:paraId="71D00C30" w14:textId="77777777" w:rsidR="004F6CEB" w:rsidRPr="0035187E" w:rsidRDefault="004F6CEB" w:rsidP="0035187E">
            <w:pPr>
              <w:jc w:val="both"/>
              <w:rPr>
                <w:rFonts w:ascii="Times New Roman" w:hAnsi="Times New Roman" w:cs="Times New Roman"/>
                <w:iCs/>
                <w:sz w:val="20"/>
                <w:szCs w:val="20"/>
              </w:rPr>
            </w:pPr>
          </w:p>
          <w:p w14:paraId="1B701B71" w14:textId="155AC231" w:rsidR="004F6CEB" w:rsidRPr="0035187E" w:rsidRDefault="004F6CEB" w:rsidP="0035187E">
            <w:pPr>
              <w:jc w:val="both"/>
              <w:rPr>
                <w:rFonts w:ascii="Times New Roman" w:hAnsi="Times New Roman" w:cs="Times New Roman"/>
                <w:i/>
                <w:sz w:val="20"/>
                <w:szCs w:val="20"/>
              </w:rPr>
            </w:pPr>
            <w:r w:rsidRPr="0035187E">
              <w:rPr>
                <w:rFonts w:ascii="Times New Roman" w:hAnsi="Times New Roman" w:cs="Times New Roman"/>
                <w:i/>
                <w:sz w:val="20"/>
                <w:szCs w:val="20"/>
              </w:rPr>
              <w:t xml:space="preserve">Vyjádření připomínkového </w:t>
            </w:r>
            <w:r w:rsidR="00067CFE" w:rsidRPr="0035187E">
              <w:rPr>
                <w:rFonts w:ascii="Times New Roman" w:hAnsi="Times New Roman" w:cs="Times New Roman"/>
                <w:i/>
                <w:iCs/>
                <w:sz w:val="20"/>
                <w:szCs w:val="20"/>
              </w:rPr>
              <w:t>k písemnému vypořádání</w:t>
            </w:r>
            <w:r w:rsidR="00067CFE" w:rsidRPr="0035187E">
              <w:rPr>
                <w:rFonts w:ascii="Times New Roman" w:hAnsi="Times New Roman" w:cs="Times New Roman"/>
                <w:i/>
                <w:sz w:val="20"/>
                <w:szCs w:val="20"/>
              </w:rPr>
              <w:t xml:space="preserve"> </w:t>
            </w:r>
            <w:r w:rsidRPr="0035187E">
              <w:rPr>
                <w:rFonts w:ascii="Times New Roman" w:hAnsi="Times New Roman" w:cs="Times New Roman"/>
                <w:i/>
                <w:sz w:val="20"/>
                <w:szCs w:val="20"/>
              </w:rPr>
              <w:t>místa: Trváme na připomínce č. 5. Nezpochybňujeme legitimitu cíle omezit dopady na veřejné rozpočty a zabránit zneužívání daňového zvýhodnění. Domníváme se však, že volba pevně stanoveného limitu není systémově vhodná. Na rozdíl od ostatních limitací je zde zaváděna odlišná koncepce, která narušuje vnitřní konzistenci systému a zvyšuje jeho složitost. S plynutím času navíc bude nutné částku průběžně aktualizovat, jinak v podstatě přestane plnit svůj účel. V této souvislosti se nám proto jeví jako vhodná alespoň úprava konstrukce limitu tak, aby byl navázán na průměrnou mzdu za zdaňovací období, obdobně jako u jiných benefitů. Takové řešení by zachovalo fiskální kontrolu, ale zároveň by respektovalo principy jednotného a předvídatelného nastavení daňového systému.</w:t>
            </w:r>
          </w:p>
          <w:p w14:paraId="7E0708D2" w14:textId="77777777" w:rsidR="00067CFE" w:rsidRPr="0035187E" w:rsidRDefault="004F6CEB" w:rsidP="0035187E">
            <w:pPr>
              <w:jc w:val="both"/>
              <w:rPr>
                <w:rFonts w:ascii="Times New Roman" w:hAnsi="Times New Roman" w:cs="Times New Roman"/>
                <w:i/>
                <w:sz w:val="20"/>
                <w:szCs w:val="20"/>
              </w:rPr>
            </w:pPr>
            <w:r w:rsidRPr="0035187E">
              <w:rPr>
                <w:rFonts w:ascii="Times New Roman" w:hAnsi="Times New Roman" w:cs="Times New Roman"/>
                <w:i/>
                <w:sz w:val="20"/>
                <w:szCs w:val="20"/>
              </w:rPr>
              <w:t xml:space="preserve">Současně upozorňujeme, že navrhovaná úprava vychází z konceptu rekreací, který již neodpovídá současné praxi. Zaměstnanci dnes ve značné míře preferují individuálně organizované formy cestování, zatímco návrh fakticky zvýhodňuje tradiční model </w:t>
            </w:r>
            <w:r w:rsidRPr="0035187E">
              <w:rPr>
                <w:rFonts w:ascii="Times New Roman" w:hAnsi="Times New Roman" w:cs="Times New Roman"/>
                <w:i/>
                <w:sz w:val="20"/>
                <w:szCs w:val="20"/>
              </w:rPr>
              <w:lastRenderedPageBreak/>
              <w:t>organizovaných zájezdů. To vede k deformaci chování a neodpovídá reálnému vývoji v oblasti zaměstnaneckých benefitů, s čímž se předkladatel nijak nevypořádal.</w:t>
            </w:r>
          </w:p>
          <w:p w14:paraId="70B2D13F" w14:textId="77777777" w:rsidR="001E10EF" w:rsidRPr="0035187E" w:rsidRDefault="001E10EF" w:rsidP="0035187E">
            <w:pPr>
              <w:jc w:val="both"/>
              <w:rPr>
                <w:rFonts w:ascii="Times New Roman" w:hAnsi="Times New Roman" w:cs="Times New Roman"/>
                <w:i/>
                <w:sz w:val="20"/>
                <w:szCs w:val="20"/>
              </w:rPr>
            </w:pPr>
          </w:p>
          <w:p w14:paraId="4CA43996" w14:textId="4924928F" w:rsidR="001E10EF" w:rsidRPr="0035187E" w:rsidRDefault="001E10EF" w:rsidP="0035187E">
            <w:pPr>
              <w:jc w:val="both"/>
              <w:rPr>
                <w:rFonts w:ascii="Times New Roman" w:hAnsi="Times New Roman" w:cs="Times New Roman"/>
                <w:iCs/>
                <w:sz w:val="20"/>
                <w:szCs w:val="20"/>
              </w:rPr>
            </w:pPr>
            <w:r w:rsidRPr="00120B06">
              <w:rPr>
                <w:rFonts w:ascii="Times New Roman" w:hAnsi="Times New Roman" w:cs="Times New Roman"/>
                <w:i/>
                <w:iCs/>
                <w:sz w:val="20"/>
                <w:szCs w:val="20"/>
              </w:rPr>
              <w:t>Připomínkové místo v dohodnutém termínu pro finální vyjádření, zda rozpor trvá, neposlalo žádnou reakci. Materiál je proto předložen bez rozporu.</w:t>
            </w:r>
          </w:p>
        </w:tc>
      </w:tr>
      <w:tr w:rsidR="0035187E" w:rsidRPr="0035187E" w14:paraId="3D9417DF"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AC56D03" w14:textId="757ACD8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29.</w:t>
            </w:r>
          </w:p>
        </w:tc>
        <w:tc>
          <w:tcPr>
            <w:tcW w:w="583" w:type="pct"/>
            <w:tcBorders>
              <w:top w:val="single" w:sz="4" w:space="0" w:color="auto"/>
              <w:left w:val="single" w:sz="4" w:space="0" w:color="auto"/>
              <w:right w:val="single" w:sz="4" w:space="0" w:color="auto"/>
            </w:tcBorders>
            <w:shd w:val="clear" w:color="auto" w:fill="auto"/>
          </w:tcPr>
          <w:p w14:paraId="72F3E507" w14:textId="032A91F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Českomoravská konfederace odborových svazů</w:t>
            </w:r>
          </w:p>
        </w:tc>
        <w:tc>
          <w:tcPr>
            <w:tcW w:w="168" w:type="pct"/>
            <w:tcBorders>
              <w:top w:val="single" w:sz="4" w:space="0" w:color="auto"/>
              <w:left w:val="single" w:sz="4" w:space="0" w:color="auto"/>
              <w:right w:val="single" w:sz="4" w:space="0" w:color="auto"/>
            </w:tcBorders>
            <w:shd w:val="clear" w:color="auto" w:fill="auto"/>
          </w:tcPr>
          <w:p w14:paraId="11A62EB0" w14:textId="0E7C8B6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6.</w:t>
            </w:r>
          </w:p>
        </w:tc>
        <w:tc>
          <w:tcPr>
            <w:tcW w:w="169" w:type="pct"/>
            <w:tcBorders>
              <w:top w:val="single" w:sz="4" w:space="0" w:color="auto"/>
              <w:left w:val="single" w:sz="4" w:space="0" w:color="auto"/>
              <w:right w:val="single" w:sz="4" w:space="0" w:color="auto"/>
            </w:tcBorders>
            <w:shd w:val="clear" w:color="auto" w:fill="auto"/>
          </w:tcPr>
          <w:p w14:paraId="2F59D434" w14:textId="5AFD8B9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067468C" w14:textId="77777777" w:rsidR="000B4BD4" w:rsidRPr="0035187E" w:rsidRDefault="000B4BD4" w:rsidP="0035187E">
            <w:pPr>
              <w:numPr>
                <w:ilvl w:val="0"/>
                <w:numId w:val="45"/>
              </w:numPr>
              <w:tabs>
                <w:tab w:val="right" w:pos="426"/>
              </w:tabs>
              <w:ind w:left="0" w:firstLine="0"/>
              <w:jc w:val="both"/>
              <w:rPr>
                <w:rFonts w:ascii="Times New Roman" w:hAnsi="Times New Roman" w:cs="Times New Roman"/>
                <w:sz w:val="20"/>
                <w:szCs w:val="20"/>
              </w:rPr>
            </w:pPr>
            <w:r w:rsidRPr="0035187E">
              <w:rPr>
                <w:rFonts w:ascii="Times New Roman" w:hAnsi="Times New Roman" w:cs="Times New Roman"/>
                <w:b/>
                <w:bCs/>
                <w:sz w:val="20"/>
                <w:szCs w:val="20"/>
              </w:rPr>
              <w:t>K bodům 4 a 5 (§ 6 odst. 9 písm. d)</w:t>
            </w:r>
          </w:p>
          <w:p w14:paraId="7765A62A" w14:textId="77777777" w:rsidR="000B4BD4" w:rsidRPr="0035187E" w:rsidRDefault="000B4BD4" w:rsidP="0035187E">
            <w:pPr>
              <w:tabs>
                <w:tab w:val="right" w:pos="426"/>
              </w:tabs>
              <w:jc w:val="both"/>
              <w:rPr>
                <w:rFonts w:ascii="Times New Roman" w:hAnsi="Times New Roman" w:cs="Times New Roman"/>
                <w:sz w:val="20"/>
                <w:szCs w:val="20"/>
              </w:rPr>
            </w:pPr>
          </w:p>
          <w:p w14:paraId="550A46E5" w14:textId="702C87E1" w:rsidR="000B4BD4" w:rsidRPr="0035187E" w:rsidRDefault="000B4BD4" w:rsidP="0035187E">
            <w:pPr>
              <w:tabs>
                <w:tab w:val="right" w:pos="426"/>
              </w:tabs>
              <w:jc w:val="both"/>
              <w:rPr>
                <w:rFonts w:ascii="Times New Roman" w:hAnsi="Times New Roman" w:cs="Times New Roman"/>
                <w:sz w:val="20"/>
                <w:szCs w:val="20"/>
              </w:rPr>
            </w:pPr>
            <w:r w:rsidRPr="0035187E">
              <w:rPr>
                <w:rFonts w:ascii="Times New Roman" w:hAnsi="Times New Roman" w:cs="Times New Roman"/>
                <w:sz w:val="20"/>
                <w:szCs w:val="20"/>
              </w:rPr>
              <w:t>Požadujeme zrušení limitu daňového osvobození zdravotních benefitů (bod 1.)</w:t>
            </w:r>
          </w:p>
          <w:p w14:paraId="72D99306" w14:textId="77777777" w:rsidR="000B4BD4" w:rsidRPr="0035187E" w:rsidRDefault="000B4BD4" w:rsidP="0035187E">
            <w:pPr>
              <w:tabs>
                <w:tab w:val="right" w:pos="426"/>
              </w:tabs>
              <w:jc w:val="both"/>
              <w:rPr>
                <w:rFonts w:ascii="Times New Roman" w:hAnsi="Times New Roman" w:cs="Times New Roman"/>
                <w:b/>
                <w:bCs/>
                <w:sz w:val="20"/>
                <w:szCs w:val="20"/>
              </w:rPr>
            </w:pPr>
          </w:p>
          <w:p w14:paraId="064E9776" w14:textId="11A49AF6" w:rsidR="000B4BD4" w:rsidRPr="0035187E" w:rsidRDefault="000B4BD4" w:rsidP="0035187E">
            <w:pPr>
              <w:tabs>
                <w:tab w:val="right" w:pos="426"/>
              </w:tabs>
              <w:jc w:val="both"/>
              <w:rPr>
                <w:rFonts w:ascii="Times New Roman" w:hAnsi="Times New Roman" w:cs="Times New Roman"/>
                <w:b/>
                <w:bCs/>
                <w:sz w:val="20"/>
                <w:szCs w:val="20"/>
              </w:rPr>
            </w:pPr>
            <w:r w:rsidRPr="0035187E">
              <w:rPr>
                <w:rFonts w:ascii="Times New Roman" w:hAnsi="Times New Roman" w:cs="Times New Roman"/>
                <w:b/>
                <w:bCs/>
                <w:sz w:val="20"/>
                <w:szCs w:val="20"/>
              </w:rPr>
              <w:t>Odůvodnění:</w:t>
            </w:r>
          </w:p>
          <w:p w14:paraId="10153C4C" w14:textId="4316F55C" w:rsidR="000B4BD4" w:rsidRPr="0035187E" w:rsidRDefault="000B4BD4" w:rsidP="0035187E">
            <w:pPr>
              <w:tabs>
                <w:tab w:val="right" w:pos="426"/>
              </w:tabs>
              <w:jc w:val="both"/>
              <w:rPr>
                <w:rFonts w:ascii="Times New Roman" w:hAnsi="Times New Roman" w:cs="Times New Roman"/>
                <w:sz w:val="20"/>
                <w:szCs w:val="20"/>
              </w:rPr>
            </w:pPr>
            <w:r w:rsidRPr="0035187E">
              <w:rPr>
                <w:rFonts w:ascii="Times New Roman" w:hAnsi="Times New Roman" w:cs="Times New Roman"/>
                <w:sz w:val="20"/>
                <w:szCs w:val="20"/>
              </w:rPr>
              <w:t>Nepovažujeme za vhodný signál, kdy jsou volnočasové benefity skrze celkové zrušení limitu daňového osvobození fakticky upřednostňovány před benefity zdravotními. Zdravotní benefity mají přitom pro společnost i ekonomiku vysokou přidanou hodnotu, neboť efektivně napomáhají prevenci a přispívají ke snížení nemocnosti zaměstnanců a šetří tak výdaje z veřejných rozpočtů. V situaci stárnutí pracovní síly a rostoucích nároků na pracovní výkon je proto žádoucí, aby zaměstnavatelé byli motivováni tyto benefity poskytovat.</w:t>
            </w:r>
          </w:p>
          <w:p w14:paraId="62CF94AD" w14:textId="77777777" w:rsidR="000B4BD4" w:rsidRPr="0035187E" w:rsidRDefault="000B4BD4" w:rsidP="0035187E">
            <w:pPr>
              <w:tabs>
                <w:tab w:val="right" w:pos="426"/>
              </w:tabs>
              <w:jc w:val="both"/>
              <w:rPr>
                <w:rFonts w:ascii="Times New Roman" w:hAnsi="Times New Roman" w:cs="Times New Roman"/>
                <w:sz w:val="20"/>
                <w:szCs w:val="20"/>
              </w:rPr>
            </w:pPr>
          </w:p>
          <w:p w14:paraId="19B6EC74" w14:textId="77777777" w:rsidR="000B4BD4" w:rsidRPr="0035187E" w:rsidRDefault="000B4BD4" w:rsidP="0035187E">
            <w:pPr>
              <w:tabs>
                <w:tab w:val="right" w:pos="426"/>
              </w:tabs>
              <w:jc w:val="both"/>
              <w:rPr>
                <w:rFonts w:ascii="Times New Roman" w:hAnsi="Times New Roman" w:cs="Times New Roman"/>
                <w:sz w:val="20"/>
                <w:szCs w:val="20"/>
              </w:rPr>
            </w:pPr>
            <w:r w:rsidRPr="0035187E">
              <w:rPr>
                <w:rFonts w:ascii="Times New Roman" w:hAnsi="Times New Roman" w:cs="Times New Roman"/>
                <w:sz w:val="20"/>
                <w:szCs w:val="20"/>
              </w:rPr>
              <w:t>I v návaznosti na předchozí připomínku představuje odstranění limitu navíc výrazné snížení administrativní zátěže při řešení agendy benefitů, jejíž složitost a roztříštěnost jinak může některé zaměstnavatele demotivovat od péče o zdraví svých zaměstnanců.</w:t>
            </w:r>
          </w:p>
          <w:p w14:paraId="7AC718FF" w14:textId="77777777" w:rsidR="000B4BD4" w:rsidRPr="0035187E" w:rsidRDefault="000B4BD4" w:rsidP="0035187E">
            <w:pPr>
              <w:tabs>
                <w:tab w:val="right" w:pos="426"/>
              </w:tabs>
              <w:jc w:val="both"/>
              <w:rPr>
                <w:rFonts w:ascii="Times New Roman" w:hAnsi="Times New Roman" w:cs="Times New Roman"/>
                <w:b/>
                <w:sz w:val="20"/>
                <w:szCs w:val="20"/>
              </w:rPr>
            </w:pPr>
          </w:p>
          <w:p w14:paraId="242EA68F" w14:textId="1FEA4E35" w:rsidR="000B4BD4" w:rsidRPr="0035187E" w:rsidRDefault="000B4BD4" w:rsidP="0035187E">
            <w:pPr>
              <w:tabs>
                <w:tab w:val="right" w:pos="426"/>
              </w:tabs>
              <w:jc w:val="both"/>
              <w:rPr>
                <w:rFonts w:ascii="Times New Roman" w:hAnsi="Times New Roman" w:cs="Times New Roman"/>
                <w:sz w:val="20"/>
                <w:szCs w:val="20"/>
              </w:rPr>
            </w:pPr>
            <w:r w:rsidRPr="0035187E">
              <w:rPr>
                <w:rFonts w:ascii="Times New Roman" w:hAnsi="Times New Roman" w:cs="Times New Roman"/>
                <w:b/>
                <w:sz w:val="20"/>
                <w:szCs w:val="20"/>
              </w:rPr>
              <w:t>Tuto připomínku považujeme za zásadní.</w:t>
            </w:r>
          </w:p>
        </w:tc>
        <w:tc>
          <w:tcPr>
            <w:tcW w:w="1453" w:type="pct"/>
            <w:tcBorders>
              <w:top w:val="single" w:sz="4" w:space="0" w:color="auto"/>
              <w:left w:val="single" w:sz="4" w:space="0" w:color="auto"/>
              <w:right w:val="single" w:sz="4" w:space="0" w:color="auto"/>
            </w:tcBorders>
            <w:shd w:val="clear" w:color="auto" w:fill="auto"/>
          </w:tcPr>
          <w:p w14:paraId="63EFEA52" w14:textId="72D105DD"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t>Nevyhověno.</w:t>
            </w:r>
            <w:r w:rsidR="00120B06">
              <w:rPr>
                <w:rFonts w:ascii="Times New Roman" w:hAnsi="Times New Roman" w:cs="Times New Roman"/>
                <w:b/>
                <w:sz w:val="20"/>
                <w:szCs w:val="20"/>
              </w:rPr>
              <w:t xml:space="preserve"> </w:t>
            </w:r>
            <w:r w:rsidR="00120B06" w:rsidRPr="00120B06">
              <w:rPr>
                <w:rFonts w:ascii="Times New Roman" w:hAnsi="Times New Roman" w:cs="Times New Roman"/>
                <w:b/>
                <w:color w:val="FF0000"/>
                <w:sz w:val="20"/>
                <w:szCs w:val="20"/>
              </w:rPr>
              <w:t>ROZPOR</w:t>
            </w:r>
          </w:p>
          <w:p w14:paraId="5F7356CD" w14:textId="3D7FE921"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Podnět přesahuje rámec navrhované úpravy zákona o evidenci tržeb.</w:t>
            </w:r>
          </w:p>
          <w:p w14:paraId="3477354B" w14:textId="06030914"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Zachování limitu pro zdravotní benefity považujeme za odůvodněné. Zatímco volnočasové benefity mají převážně společenský či relaxační charakter a jejich hodnotové limity nemají přímý vliv na prevenci ani udržení pracovní schopnosti, zdravotní benefity přímo podporují zdraví zaměstnanců, prevenci nemocí a přispívají k dlouhodobé pracovní výkonnosti.</w:t>
            </w:r>
          </w:p>
          <w:p w14:paraId="45CBABF7" w14:textId="0C071025"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Zrušení limitu by mohlo vést k neefektivnímu využívání zdravotních benefitů pro daňovou optimalizaci, kdy by výhody přesahující skutečné potřeby zdraví zaměstnanců byly osvobozeny od daně, aniž by přinášely reálný zdravotní prospěch. Zachování limitu umožňuje cílené a efektivní poskytování zdravotních benefitů, které mají skutečný pozitivní dopad jak pro zaměstnance, tak pro veřejný zdravotní systém.</w:t>
            </w:r>
          </w:p>
          <w:p w14:paraId="2BB88AC5"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Odlišné zacházení s volnočasovými a zdravotními benefity tedy odpovídá jejich odlišné společenské a ekonomické hodnotě a cíli, kterým je podpora prevence a udržení zdraví zaměstnanců.</w:t>
            </w:r>
          </w:p>
          <w:p w14:paraId="4986F9CB" w14:textId="77777777" w:rsidR="004F6CEB" w:rsidRPr="0035187E" w:rsidRDefault="004F6CEB" w:rsidP="0035187E">
            <w:pPr>
              <w:jc w:val="both"/>
              <w:rPr>
                <w:rFonts w:ascii="Times New Roman" w:hAnsi="Times New Roman" w:cs="Times New Roman"/>
                <w:sz w:val="20"/>
                <w:szCs w:val="20"/>
              </w:rPr>
            </w:pPr>
          </w:p>
          <w:p w14:paraId="2CB8835B" w14:textId="02051EA8" w:rsidR="001E10EF" w:rsidRPr="0035187E" w:rsidRDefault="004F6CEB" w:rsidP="00120B06">
            <w:pPr>
              <w:jc w:val="both"/>
              <w:rPr>
                <w:rFonts w:ascii="Times New Roman" w:hAnsi="Times New Roman" w:cs="Times New Roman"/>
                <w:i/>
                <w:iCs/>
                <w:sz w:val="20"/>
                <w:szCs w:val="20"/>
              </w:rPr>
            </w:pPr>
            <w:r w:rsidRPr="0035187E">
              <w:rPr>
                <w:rFonts w:ascii="Times New Roman" w:hAnsi="Times New Roman" w:cs="Times New Roman"/>
                <w:i/>
                <w:iCs/>
                <w:sz w:val="20"/>
                <w:szCs w:val="20"/>
              </w:rPr>
              <w:t xml:space="preserve">Vyjádření připomínkového </w:t>
            </w:r>
            <w:r w:rsidR="00C91198" w:rsidRPr="0035187E">
              <w:rPr>
                <w:rFonts w:ascii="Times New Roman" w:hAnsi="Times New Roman" w:cs="Times New Roman"/>
                <w:i/>
                <w:iCs/>
                <w:sz w:val="20"/>
                <w:szCs w:val="20"/>
              </w:rPr>
              <w:t xml:space="preserve">k písemnému vypořádání </w:t>
            </w:r>
            <w:r w:rsidRPr="0035187E">
              <w:rPr>
                <w:rFonts w:ascii="Times New Roman" w:hAnsi="Times New Roman" w:cs="Times New Roman"/>
                <w:i/>
                <w:iCs/>
                <w:sz w:val="20"/>
                <w:szCs w:val="20"/>
              </w:rPr>
              <w:t xml:space="preserve">místa: Trváme na připomínce č. 6. Argumentaci uvedenou v návrhu vypořádání považujeme za vnitřně rozpornou. Na jedné straně je v návrhu obsaženo rozvolnění režimu volnočasových benefitů, u nichž je riziko využití pro neadekvátní nadstandardní či čistě spotřební účely zjevné, zatímco u zdravotních benefitů, které mají prokazatelný preventivní a veřejně prospěšný charakter, je zachováván restriktivní přístup. Obava ze zneužívání není </w:t>
            </w:r>
            <w:r w:rsidRPr="0035187E">
              <w:rPr>
                <w:rFonts w:ascii="Times New Roman" w:hAnsi="Times New Roman" w:cs="Times New Roman"/>
                <w:i/>
                <w:iCs/>
                <w:sz w:val="20"/>
                <w:szCs w:val="20"/>
              </w:rPr>
              <w:lastRenderedPageBreak/>
              <w:t>přesvědčivá, neboť obdobné riziko existuje i u volnočasových benefitů. Zdravotní benefity přitom ve srovnání s volnočasovými aktivitami mají vyšší potenciál přímo přispívat ke snížení nemocnosti, podpoře pracovní schopnosti a v konečném důsledku i ke snižování výdajů veřejných rozpočtů. Jejich podpora by proto měla být systémově silnější, nikoli slabší. Zachování limitu tak vysílá nesprávný signál zaměstnavatelům i zaměstnancům a není v souladu s podporou prevence a ochrany zdraví zaměstnanců.</w:t>
            </w:r>
          </w:p>
        </w:tc>
      </w:tr>
      <w:tr w:rsidR="0035187E" w:rsidRPr="0035187E" w14:paraId="79BA44EF"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564895F" w14:textId="132EDBA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29.</w:t>
            </w:r>
          </w:p>
        </w:tc>
        <w:tc>
          <w:tcPr>
            <w:tcW w:w="583" w:type="pct"/>
            <w:tcBorders>
              <w:top w:val="single" w:sz="4" w:space="0" w:color="auto"/>
              <w:left w:val="single" w:sz="4" w:space="0" w:color="auto"/>
              <w:right w:val="single" w:sz="4" w:space="0" w:color="auto"/>
            </w:tcBorders>
            <w:shd w:val="clear" w:color="auto" w:fill="auto"/>
          </w:tcPr>
          <w:p w14:paraId="2CF6E6AB" w14:textId="07AD08C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Českomoravská konfederace odborových svazů</w:t>
            </w:r>
          </w:p>
        </w:tc>
        <w:tc>
          <w:tcPr>
            <w:tcW w:w="168" w:type="pct"/>
            <w:tcBorders>
              <w:top w:val="single" w:sz="4" w:space="0" w:color="auto"/>
              <w:left w:val="single" w:sz="4" w:space="0" w:color="auto"/>
              <w:right w:val="single" w:sz="4" w:space="0" w:color="auto"/>
            </w:tcBorders>
            <w:shd w:val="clear" w:color="auto" w:fill="auto"/>
          </w:tcPr>
          <w:p w14:paraId="16FBE9FE" w14:textId="1874DBA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7.</w:t>
            </w:r>
          </w:p>
        </w:tc>
        <w:tc>
          <w:tcPr>
            <w:tcW w:w="169" w:type="pct"/>
            <w:tcBorders>
              <w:top w:val="single" w:sz="4" w:space="0" w:color="auto"/>
              <w:left w:val="single" w:sz="4" w:space="0" w:color="auto"/>
              <w:right w:val="single" w:sz="4" w:space="0" w:color="auto"/>
            </w:tcBorders>
            <w:shd w:val="clear" w:color="auto" w:fill="auto"/>
          </w:tcPr>
          <w:p w14:paraId="594C6DC5" w14:textId="561B758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C24313D" w14:textId="50878AE9" w:rsidR="000B4BD4" w:rsidRPr="0035187E" w:rsidRDefault="000B4BD4" w:rsidP="0035187E">
            <w:pPr>
              <w:keepNext/>
              <w:numPr>
                <w:ilvl w:val="1"/>
                <w:numId w:val="44"/>
              </w:numPr>
              <w:jc w:val="both"/>
              <w:outlineLvl w:val="1"/>
              <w:rPr>
                <w:rFonts w:ascii="Times New Roman" w:hAnsi="Times New Roman" w:cs="Times New Roman"/>
                <w:b/>
                <w:sz w:val="20"/>
                <w:szCs w:val="20"/>
              </w:rPr>
            </w:pPr>
            <w:r w:rsidRPr="0035187E">
              <w:rPr>
                <w:rFonts w:ascii="Times New Roman" w:hAnsi="Times New Roman" w:cs="Times New Roman"/>
                <w:b/>
                <w:sz w:val="20"/>
                <w:szCs w:val="20"/>
              </w:rPr>
              <w:t>Nad rámec návrhu</w:t>
            </w:r>
          </w:p>
          <w:p w14:paraId="7AE8F338" w14:textId="77777777" w:rsidR="000B4BD4" w:rsidRPr="0035187E" w:rsidRDefault="000B4BD4" w:rsidP="0035187E">
            <w:pPr>
              <w:keepNext/>
              <w:numPr>
                <w:ilvl w:val="1"/>
                <w:numId w:val="44"/>
              </w:numPr>
              <w:jc w:val="both"/>
              <w:outlineLvl w:val="1"/>
              <w:rPr>
                <w:rFonts w:ascii="Times New Roman" w:hAnsi="Times New Roman" w:cs="Times New Roman"/>
                <w:b/>
                <w:sz w:val="20"/>
                <w:szCs w:val="20"/>
              </w:rPr>
            </w:pPr>
          </w:p>
          <w:p w14:paraId="3381C0A9" w14:textId="77777777" w:rsidR="000B4BD4" w:rsidRPr="0035187E" w:rsidRDefault="000B4BD4" w:rsidP="0035187E">
            <w:pPr>
              <w:numPr>
                <w:ilvl w:val="0"/>
                <w:numId w:val="45"/>
              </w:numPr>
              <w:tabs>
                <w:tab w:val="right" w:pos="426"/>
              </w:tabs>
              <w:ind w:left="0" w:firstLine="0"/>
              <w:jc w:val="both"/>
              <w:rPr>
                <w:rFonts w:ascii="Times New Roman" w:hAnsi="Times New Roman" w:cs="Times New Roman"/>
                <w:sz w:val="20"/>
                <w:szCs w:val="20"/>
              </w:rPr>
            </w:pPr>
            <w:r w:rsidRPr="0035187E">
              <w:rPr>
                <w:rFonts w:ascii="Times New Roman" w:hAnsi="Times New Roman" w:cs="Times New Roman"/>
                <w:b/>
                <w:bCs/>
                <w:sz w:val="20"/>
                <w:szCs w:val="20"/>
              </w:rPr>
              <w:t>K části druhé – Změna zákona o daních z příjmů</w:t>
            </w:r>
          </w:p>
          <w:p w14:paraId="203A6F82" w14:textId="77777777" w:rsidR="000B4BD4" w:rsidRPr="0035187E" w:rsidRDefault="000B4BD4" w:rsidP="0035187E">
            <w:pPr>
              <w:tabs>
                <w:tab w:val="right" w:pos="426"/>
              </w:tabs>
              <w:jc w:val="both"/>
              <w:rPr>
                <w:rFonts w:ascii="Times New Roman" w:hAnsi="Times New Roman" w:cs="Times New Roman"/>
                <w:sz w:val="20"/>
                <w:szCs w:val="20"/>
              </w:rPr>
            </w:pPr>
          </w:p>
          <w:p w14:paraId="13C8E286" w14:textId="470EDCD3" w:rsidR="000B4BD4" w:rsidRPr="0035187E" w:rsidRDefault="000B4BD4" w:rsidP="0035187E">
            <w:pPr>
              <w:tabs>
                <w:tab w:val="right" w:pos="426"/>
              </w:tabs>
              <w:jc w:val="both"/>
              <w:rPr>
                <w:rFonts w:ascii="Times New Roman" w:hAnsi="Times New Roman" w:cs="Times New Roman"/>
                <w:sz w:val="20"/>
                <w:szCs w:val="20"/>
              </w:rPr>
            </w:pPr>
            <w:r w:rsidRPr="0035187E">
              <w:rPr>
                <w:rFonts w:ascii="Times New Roman" w:hAnsi="Times New Roman" w:cs="Times New Roman"/>
                <w:sz w:val="20"/>
                <w:szCs w:val="20"/>
              </w:rPr>
              <w:t>Navrhujeme upravit § 18a odst. 5 písm. c) takto:</w:t>
            </w:r>
          </w:p>
          <w:p w14:paraId="1CA6DAF7" w14:textId="77777777" w:rsidR="000B4BD4" w:rsidRPr="0035187E" w:rsidRDefault="000B4BD4" w:rsidP="0035187E">
            <w:pPr>
              <w:tabs>
                <w:tab w:val="right" w:pos="426"/>
              </w:tabs>
              <w:jc w:val="both"/>
              <w:rPr>
                <w:rFonts w:ascii="Times New Roman" w:hAnsi="Times New Roman" w:cs="Times New Roman"/>
                <w:sz w:val="20"/>
                <w:szCs w:val="20"/>
              </w:rPr>
            </w:pPr>
            <w:r w:rsidRPr="0035187E">
              <w:rPr>
                <w:rFonts w:ascii="Times New Roman" w:hAnsi="Times New Roman" w:cs="Times New Roman"/>
                <w:i/>
                <w:iCs/>
                <w:sz w:val="20"/>
                <w:szCs w:val="20"/>
              </w:rPr>
              <w:t xml:space="preserve">„c) poskytovatelem zdravotních služeb, který má oprávnění k poskytování zdravotních služeb podle zákona upravujícího zdravotní služby, </w:t>
            </w:r>
            <w:r w:rsidRPr="0035187E">
              <w:rPr>
                <w:rFonts w:ascii="Times New Roman" w:hAnsi="Times New Roman" w:cs="Times New Roman"/>
                <w:b/>
                <w:bCs/>
                <w:i/>
                <w:iCs/>
                <w:sz w:val="20"/>
                <w:szCs w:val="20"/>
              </w:rPr>
              <w:t>s výjimkou poskytovatele zdravotních služeb s převažující činností poskytování sociálních služeb podle zákona upravujícího poskytování sociálních služeb</w:t>
            </w:r>
            <w:r w:rsidRPr="0035187E">
              <w:rPr>
                <w:rFonts w:ascii="Times New Roman" w:hAnsi="Times New Roman" w:cs="Times New Roman"/>
                <w:i/>
                <w:iCs/>
                <w:sz w:val="20"/>
                <w:szCs w:val="20"/>
              </w:rPr>
              <w:t>“</w:t>
            </w:r>
            <w:r w:rsidRPr="0035187E">
              <w:rPr>
                <w:rFonts w:ascii="Times New Roman" w:hAnsi="Times New Roman" w:cs="Times New Roman"/>
                <w:sz w:val="20"/>
                <w:szCs w:val="20"/>
              </w:rPr>
              <w:t>.</w:t>
            </w:r>
          </w:p>
          <w:p w14:paraId="024F47BC" w14:textId="77777777" w:rsidR="000B4BD4" w:rsidRPr="0035187E" w:rsidRDefault="000B4BD4" w:rsidP="0035187E">
            <w:pPr>
              <w:tabs>
                <w:tab w:val="right" w:pos="426"/>
              </w:tabs>
              <w:jc w:val="both"/>
              <w:rPr>
                <w:rFonts w:ascii="Times New Roman" w:hAnsi="Times New Roman" w:cs="Times New Roman"/>
                <w:b/>
                <w:bCs/>
                <w:sz w:val="20"/>
                <w:szCs w:val="20"/>
              </w:rPr>
            </w:pPr>
          </w:p>
          <w:p w14:paraId="482AF69E" w14:textId="7CD4946E" w:rsidR="000B4BD4" w:rsidRPr="0035187E" w:rsidRDefault="000B4BD4" w:rsidP="0035187E">
            <w:pPr>
              <w:tabs>
                <w:tab w:val="right" w:pos="426"/>
              </w:tabs>
              <w:jc w:val="both"/>
              <w:rPr>
                <w:rFonts w:ascii="Times New Roman" w:hAnsi="Times New Roman" w:cs="Times New Roman"/>
                <w:b/>
                <w:bCs/>
                <w:sz w:val="20"/>
                <w:szCs w:val="20"/>
              </w:rPr>
            </w:pPr>
            <w:r w:rsidRPr="0035187E">
              <w:rPr>
                <w:rFonts w:ascii="Times New Roman" w:hAnsi="Times New Roman" w:cs="Times New Roman"/>
                <w:b/>
                <w:bCs/>
                <w:sz w:val="20"/>
                <w:szCs w:val="20"/>
              </w:rPr>
              <w:t>Odůvodnění:</w:t>
            </w:r>
          </w:p>
          <w:p w14:paraId="3343F0C7" w14:textId="367FAFDE" w:rsidR="000B4BD4" w:rsidRPr="0035187E" w:rsidRDefault="000B4BD4" w:rsidP="0035187E">
            <w:pPr>
              <w:tabs>
                <w:tab w:val="right" w:pos="426"/>
              </w:tabs>
              <w:jc w:val="both"/>
              <w:rPr>
                <w:rFonts w:ascii="Times New Roman" w:hAnsi="Times New Roman" w:cs="Times New Roman"/>
                <w:sz w:val="20"/>
                <w:szCs w:val="20"/>
              </w:rPr>
            </w:pPr>
            <w:r w:rsidRPr="0035187E">
              <w:rPr>
                <w:rFonts w:ascii="Times New Roman" w:hAnsi="Times New Roman" w:cs="Times New Roman"/>
                <w:sz w:val="20"/>
                <w:szCs w:val="20"/>
              </w:rPr>
              <w:t xml:space="preserve">Podle zákona č. 38/2025 Sb., tzv. změnový zákon o sociálně zdravotním pomezí, musí poskytovatel taxativně vymezených druhů sociálních služeb, jejichž součástí je rovněž poskytování zdravotních služeb, získat nejpozději od 1. 1. 2027 oprávnění k poskytování zdravotních služeb. Vzhledem k tomu, že do účinnosti této změny není poskytovatel sociálních služeb poplatníkem s oprávněním k poskytování zdravotních služeb, nejedná se bez dalšího o poskytovatele zdravotních služeb. V důsledku této změny a zavedení povinného oprávnění ztratí poskytovatelé sociálních služeb jako nositelé oprávnění k poskytování zdravotních služeb daňová zvýhodnění veřejně prospěšných poplatníků, ačkoliv zdravotní složka péče tvoří pouze marginální část všech činností, přičemž navíc z povahy sociálních služeb příjmy těchto poskytovatelů nedostačují na pokrytí nákladů na poskytování sociálních služeb. </w:t>
            </w:r>
          </w:p>
          <w:p w14:paraId="5B8AB6CF" w14:textId="77777777" w:rsidR="000B4BD4" w:rsidRPr="0035187E" w:rsidRDefault="000B4BD4" w:rsidP="0035187E">
            <w:pPr>
              <w:tabs>
                <w:tab w:val="right" w:pos="426"/>
              </w:tabs>
              <w:jc w:val="both"/>
              <w:rPr>
                <w:rFonts w:ascii="Times New Roman" w:hAnsi="Times New Roman" w:cs="Times New Roman"/>
                <w:sz w:val="20"/>
                <w:szCs w:val="20"/>
              </w:rPr>
            </w:pPr>
          </w:p>
          <w:p w14:paraId="5078D2EA" w14:textId="739407E6" w:rsidR="000B4BD4" w:rsidRPr="0035187E" w:rsidRDefault="000B4BD4" w:rsidP="0035187E">
            <w:pPr>
              <w:tabs>
                <w:tab w:val="right" w:pos="426"/>
              </w:tabs>
              <w:jc w:val="both"/>
              <w:rPr>
                <w:rFonts w:ascii="Times New Roman" w:hAnsi="Times New Roman" w:cs="Times New Roman"/>
                <w:sz w:val="20"/>
                <w:szCs w:val="20"/>
              </w:rPr>
            </w:pPr>
            <w:r w:rsidRPr="0035187E">
              <w:rPr>
                <w:rFonts w:ascii="Times New Roman" w:hAnsi="Times New Roman" w:cs="Times New Roman"/>
                <w:sz w:val="20"/>
                <w:szCs w:val="20"/>
              </w:rPr>
              <w:t>Cílem změnového zákona by ale nemělo být zhoršení daňových podmínek pro poskytovatele sociálních služeb. Tato změna by se dotkla pouze některých druhů sociálních služeb a poskytovatelé sociálních služeb by měli rozdílné postavení z hlediska zákona o daních z příjmů. V případě například domovů pro seniory není jejich cílem vstupovat na trh s nabídkou zdravotních služeb, ale pouze v rámci sociálních služeb zabezpečit zdravotní potřeby svých klientů. Je pravděpodobné, že se jedná o opomenutí zákonodárce ve vztahu k vymezené skupině poskytovatelů sociálních služeb; navrhovaná změna má proto za cíl toto opomenutí napravit. Vzhledem k tomu, že změna zachovává stávající stav ve vztahu k poskytovatelům sociálních služeb, návrh je rozpočtově neutrální. Nedojde jím však k budoucímu zhoršení postavení poskytovatelů sociálních služeb.</w:t>
            </w:r>
          </w:p>
          <w:p w14:paraId="1100078E" w14:textId="77777777" w:rsidR="000B4BD4" w:rsidRPr="0035187E" w:rsidRDefault="000B4BD4" w:rsidP="0035187E">
            <w:pPr>
              <w:tabs>
                <w:tab w:val="right" w:pos="426"/>
              </w:tabs>
              <w:jc w:val="both"/>
              <w:rPr>
                <w:rFonts w:ascii="Times New Roman" w:hAnsi="Times New Roman" w:cs="Times New Roman"/>
                <w:sz w:val="20"/>
                <w:szCs w:val="20"/>
              </w:rPr>
            </w:pPr>
          </w:p>
          <w:p w14:paraId="641BF6C1" w14:textId="68AEF57C" w:rsidR="000B4BD4" w:rsidRPr="0035187E" w:rsidRDefault="000B4BD4" w:rsidP="0035187E">
            <w:pPr>
              <w:tabs>
                <w:tab w:val="right" w:pos="426"/>
              </w:tabs>
              <w:jc w:val="both"/>
              <w:rPr>
                <w:rFonts w:ascii="Times New Roman" w:hAnsi="Times New Roman" w:cs="Times New Roman"/>
                <w:sz w:val="20"/>
                <w:szCs w:val="20"/>
              </w:rPr>
            </w:pPr>
            <w:r w:rsidRPr="0035187E">
              <w:rPr>
                <w:rFonts w:ascii="Times New Roman" w:hAnsi="Times New Roman" w:cs="Times New Roman"/>
                <w:b/>
                <w:sz w:val="20"/>
                <w:szCs w:val="20"/>
              </w:rPr>
              <w:t>Tuto připomínku považujeme za zásadní.</w:t>
            </w:r>
          </w:p>
        </w:tc>
        <w:tc>
          <w:tcPr>
            <w:tcW w:w="1453" w:type="pct"/>
            <w:tcBorders>
              <w:top w:val="single" w:sz="4" w:space="0" w:color="auto"/>
              <w:left w:val="single" w:sz="4" w:space="0" w:color="auto"/>
              <w:right w:val="single" w:sz="4" w:space="0" w:color="auto"/>
            </w:tcBorders>
            <w:shd w:val="clear" w:color="auto" w:fill="auto"/>
          </w:tcPr>
          <w:p w14:paraId="79A08C50"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Nevyhověno.</w:t>
            </w:r>
          </w:p>
          <w:p w14:paraId="1F33E16F"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Podle informací MF poplatníci poskytující sociální služby, kteří budou mít zároveň i nově oprávnění k poskytování zdravotních služeb, s přechodem na nový systém „širokého základu daně“ počítají a připravují se na něj, nelze tedy bez širší diskuse tento režim zase omezit. Zároveň by mohlo dojít k situaci, kdy někteří z těchto poplatníků už na široký základ přešli a opět by se museli vracet zpět, což by bylo administrativně náročné. Jednoznačně nelze určit, který systém stanovení základu daně je pro poplatníky výhodnější. Při „úzkém základu daně“ některé příjmy nejsou předmětem daně, poplatníci však musí provádět administrativně náročné klíčování a určité typy příjmů zdanit vždy. V širokém základu daně jsou předmětem daně všechny příjmy (s výjimkou investičních dotací), zároveň však oproti těmto příjmům lze započítat veškeré daňově uznatelné náklady, což může vyústit v nulový základ daně. Nelze tedy souhlasit, že dojde ke zhoršenému postavení poskytovatelů sociálních služeb.</w:t>
            </w:r>
          </w:p>
          <w:p w14:paraId="245C2948"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Přechod na nový systém bude vyřešen novou úpravou, která zajistí, že se systém nebude měnit v průběhu zdaňovacího období.</w:t>
            </w:r>
          </w:p>
          <w:p w14:paraId="6A4AE704" w14:textId="77777777" w:rsidR="004F6CEB" w:rsidRPr="0035187E" w:rsidRDefault="004F6CEB" w:rsidP="0035187E">
            <w:pPr>
              <w:jc w:val="both"/>
              <w:rPr>
                <w:rFonts w:ascii="Times New Roman" w:hAnsi="Times New Roman" w:cs="Times New Roman"/>
                <w:sz w:val="20"/>
                <w:szCs w:val="20"/>
              </w:rPr>
            </w:pPr>
          </w:p>
          <w:p w14:paraId="0D0D3F61" w14:textId="5045337F" w:rsidR="004F6CEB" w:rsidRPr="0035187E" w:rsidRDefault="004F6CEB" w:rsidP="0035187E">
            <w:pPr>
              <w:jc w:val="both"/>
              <w:rPr>
                <w:rFonts w:ascii="Times New Roman" w:hAnsi="Times New Roman" w:cs="Times New Roman"/>
                <w:sz w:val="20"/>
                <w:szCs w:val="20"/>
              </w:rPr>
            </w:pPr>
            <w:r w:rsidRPr="0035187E">
              <w:rPr>
                <w:rFonts w:ascii="Times New Roman" w:hAnsi="Times New Roman" w:cs="Times New Roman"/>
                <w:i/>
                <w:iCs/>
                <w:sz w:val="20"/>
                <w:szCs w:val="20"/>
              </w:rPr>
              <w:t>Připomínkové místo uvedlo, že považuje vypořádání za akceptovatelné a netrvá na rozporu.</w:t>
            </w:r>
          </w:p>
          <w:p w14:paraId="1FD6424D" w14:textId="615E4C43" w:rsidR="000B4BD4" w:rsidRPr="0035187E" w:rsidRDefault="000B4BD4" w:rsidP="0035187E">
            <w:pPr>
              <w:jc w:val="both"/>
              <w:rPr>
                <w:rFonts w:ascii="Times New Roman" w:hAnsi="Times New Roman" w:cs="Times New Roman"/>
                <w:sz w:val="20"/>
                <w:szCs w:val="20"/>
              </w:rPr>
            </w:pPr>
          </w:p>
        </w:tc>
      </w:tr>
      <w:tr w:rsidR="0035187E" w:rsidRPr="0035187E" w14:paraId="50462A2E"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9F3712B" w14:textId="1436C83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29.</w:t>
            </w:r>
          </w:p>
        </w:tc>
        <w:tc>
          <w:tcPr>
            <w:tcW w:w="583" w:type="pct"/>
            <w:tcBorders>
              <w:top w:val="single" w:sz="4" w:space="0" w:color="auto"/>
              <w:left w:val="single" w:sz="4" w:space="0" w:color="auto"/>
              <w:right w:val="single" w:sz="4" w:space="0" w:color="auto"/>
            </w:tcBorders>
            <w:shd w:val="clear" w:color="auto" w:fill="auto"/>
          </w:tcPr>
          <w:p w14:paraId="0B4971A4" w14:textId="14AB742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Českomoravská konfederace odborových svazů</w:t>
            </w:r>
          </w:p>
        </w:tc>
        <w:tc>
          <w:tcPr>
            <w:tcW w:w="168" w:type="pct"/>
            <w:tcBorders>
              <w:top w:val="single" w:sz="4" w:space="0" w:color="auto"/>
              <w:left w:val="single" w:sz="4" w:space="0" w:color="auto"/>
              <w:right w:val="single" w:sz="4" w:space="0" w:color="auto"/>
            </w:tcBorders>
            <w:shd w:val="clear" w:color="auto" w:fill="auto"/>
          </w:tcPr>
          <w:p w14:paraId="1B994D2A" w14:textId="64B12B3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8.</w:t>
            </w:r>
          </w:p>
        </w:tc>
        <w:tc>
          <w:tcPr>
            <w:tcW w:w="169" w:type="pct"/>
            <w:tcBorders>
              <w:top w:val="single" w:sz="4" w:space="0" w:color="auto"/>
              <w:left w:val="single" w:sz="4" w:space="0" w:color="auto"/>
              <w:right w:val="single" w:sz="4" w:space="0" w:color="auto"/>
            </w:tcBorders>
            <w:shd w:val="clear" w:color="auto" w:fill="auto"/>
          </w:tcPr>
          <w:p w14:paraId="6331FAA7" w14:textId="7BD3096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8133659" w14:textId="77777777" w:rsidR="000B4BD4" w:rsidRPr="0035187E" w:rsidRDefault="000B4BD4" w:rsidP="0035187E">
            <w:pPr>
              <w:numPr>
                <w:ilvl w:val="0"/>
                <w:numId w:val="45"/>
              </w:numPr>
              <w:tabs>
                <w:tab w:val="right" w:pos="426"/>
              </w:tabs>
              <w:ind w:left="0" w:firstLine="0"/>
              <w:jc w:val="both"/>
              <w:rPr>
                <w:rFonts w:ascii="Times New Roman" w:hAnsi="Times New Roman" w:cs="Times New Roman"/>
                <w:sz w:val="20"/>
                <w:szCs w:val="20"/>
              </w:rPr>
            </w:pPr>
            <w:r w:rsidRPr="0035187E">
              <w:rPr>
                <w:rFonts w:ascii="Times New Roman" w:hAnsi="Times New Roman" w:cs="Times New Roman"/>
                <w:b/>
                <w:bCs/>
                <w:sz w:val="20"/>
                <w:szCs w:val="20"/>
              </w:rPr>
              <w:t>K části druhé – Změna zákona o daních z příjmů</w:t>
            </w:r>
          </w:p>
          <w:p w14:paraId="0EE3D3A7" w14:textId="77777777" w:rsidR="000B4BD4" w:rsidRPr="0035187E" w:rsidRDefault="000B4BD4" w:rsidP="0035187E">
            <w:pPr>
              <w:tabs>
                <w:tab w:val="right" w:pos="426"/>
              </w:tabs>
              <w:jc w:val="both"/>
              <w:rPr>
                <w:rFonts w:ascii="Times New Roman" w:hAnsi="Times New Roman" w:cs="Times New Roman"/>
                <w:sz w:val="20"/>
                <w:szCs w:val="20"/>
              </w:rPr>
            </w:pPr>
          </w:p>
          <w:p w14:paraId="7418CAF2" w14:textId="44050028" w:rsidR="000B4BD4" w:rsidRPr="0035187E" w:rsidRDefault="000B4BD4" w:rsidP="0035187E">
            <w:pPr>
              <w:tabs>
                <w:tab w:val="right" w:pos="426"/>
              </w:tabs>
              <w:jc w:val="both"/>
              <w:rPr>
                <w:rFonts w:ascii="Times New Roman" w:hAnsi="Times New Roman" w:cs="Times New Roman"/>
                <w:sz w:val="20"/>
                <w:szCs w:val="20"/>
              </w:rPr>
            </w:pPr>
            <w:r w:rsidRPr="0035187E">
              <w:rPr>
                <w:rFonts w:ascii="Times New Roman" w:hAnsi="Times New Roman" w:cs="Times New Roman"/>
                <w:sz w:val="20"/>
                <w:szCs w:val="20"/>
              </w:rPr>
              <w:t>Navrhujeme do § 18a doplnit odstavec 6, který zní:</w:t>
            </w:r>
          </w:p>
          <w:p w14:paraId="762EA537" w14:textId="77777777" w:rsidR="000B4BD4" w:rsidRPr="0035187E" w:rsidRDefault="000B4BD4" w:rsidP="0035187E">
            <w:pPr>
              <w:tabs>
                <w:tab w:val="right" w:pos="426"/>
              </w:tabs>
              <w:jc w:val="both"/>
              <w:rPr>
                <w:rFonts w:ascii="Times New Roman" w:hAnsi="Times New Roman" w:cs="Times New Roman"/>
                <w:sz w:val="20"/>
                <w:szCs w:val="20"/>
              </w:rPr>
            </w:pPr>
            <w:r w:rsidRPr="0035187E">
              <w:rPr>
                <w:rFonts w:ascii="Times New Roman" w:hAnsi="Times New Roman" w:cs="Times New Roman"/>
                <w:i/>
                <w:iCs/>
                <w:sz w:val="20"/>
                <w:szCs w:val="20"/>
              </w:rPr>
              <w:t>„(6) U poplatníka daně z příjmů právnických osob, který je pouze část zdaňovacího období veřejně prospěšným poplatníkem podle odstavce 5, se odstavec 5 použije na příjmy za celé zdaňovací období.“</w:t>
            </w:r>
            <w:r w:rsidRPr="0035187E">
              <w:rPr>
                <w:rFonts w:ascii="Times New Roman" w:hAnsi="Times New Roman" w:cs="Times New Roman"/>
                <w:sz w:val="20"/>
                <w:szCs w:val="20"/>
              </w:rPr>
              <w:t>.</w:t>
            </w:r>
          </w:p>
          <w:p w14:paraId="6404835A" w14:textId="77777777" w:rsidR="000B4BD4" w:rsidRPr="0035187E" w:rsidRDefault="000B4BD4" w:rsidP="0035187E">
            <w:pPr>
              <w:tabs>
                <w:tab w:val="right" w:pos="426"/>
              </w:tabs>
              <w:jc w:val="both"/>
              <w:rPr>
                <w:rFonts w:ascii="Times New Roman" w:hAnsi="Times New Roman" w:cs="Times New Roman"/>
                <w:b/>
                <w:bCs/>
                <w:sz w:val="20"/>
                <w:szCs w:val="20"/>
              </w:rPr>
            </w:pPr>
          </w:p>
          <w:p w14:paraId="76852032" w14:textId="553B6E55" w:rsidR="000B4BD4" w:rsidRPr="0035187E" w:rsidRDefault="000B4BD4" w:rsidP="0035187E">
            <w:pPr>
              <w:tabs>
                <w:tab w:val="right" w:pos="426"/>
              </w:tabs>
              <w:jc w:val="both"/>
              <w:rPr>
                <w:rFonts w:ascii="Times New Roman" w:hAnsi="Times New Roman" w:cs="Times New Roman"/>
                <w:b/>
                <w:bCs/>
                <w:sz w:val="20"/>
                <w:szCs w:val="20"/>
              </w:rPr>
            </w:pPr>
            <w:r w:rsidRPr="0035187E">
              <w:rPr>
                <w:rFonts w:ascii="Times New Roman" w:hAnsi="Times New Roman" w:cs="Times New Roman"/>
                <w:b/>
                <w:bCs/>
                <w:sz w:val="20"/>
                <w:szCs w:val="20"/>
              </w:rPr>
              <w:t>Odůvodnění:</w:t>
            </w:r>
          </w:p>
          <w:p w14:paraId="6C3109AF" w14:textId="77777777" w:rsidR="000B4BD4" w:rsidRPr="0035187E" w:rsidRDefault="000B4BD4" w:rsidP="0035187E">
            <w:pPr>
              <w:tabs>
                <w:tab w:val="right" w:pos="426"/>
              </w:tabs>
              <w:jc w:val="both"/>
              <w:rPr>
                <w:rFonts w:ascii="Times New Roman" w:hAnsi="Times New Roman" w:cs="Times New Roman"/>
                <w:sz w:val="20"/>
                <w:szCs w:val="20"/>
              </w:rPr>
            </w:pPr>
            <w:r w:rsidRPr="0035187E">
              <w:rPr>
                <w:rFonts w:ascii="Times New Roman" w:hAnsi="Times New Roman" w:cs="Times New Roman"/>
                <w:sz w:val="20"/>
                <w:szCs w:val="20"/>
              </w:rPr>
              <w:t>V současné době není v zákoně č. 586/1992 Sb., o daních z příjmů, řešeno, jakým způsobem má postupovat veřejně prospěšný poplatník, který v průběhu zdaňovacího období přestane nebo začne splňovat podmínky pro veřejně prospěšného poplatníka s tzv. širokým základem daně, tedy základem daně určovaným podle § 18a odst. 4 ZDP. Navrhuje se tedy nové ustanovení, které stanoví, že v případě, kdy je poplatník alespoň část zdaňovacího období poplatníkem se širokým základem daně, stanoví základ daně, jako by byl tímto poplatníkem po celé zdaňovací období. Zajišťuje se tak jednotný postup poplatníků při stanovení základu daně, a že aplikace tzv. širokého základu daně je při přechodu na nový režim administrativně jednodušší. Pro účely uplatnění srážkové daně podle § 36 odst. 5 písm. a) ZDP to neplatí; skutečnost, zda se uplatní srážková daň, by se měla posoudit vždy v okamžiku vzniku příjmu podle charakteru poplatníka v dané chvíli.</w:t>
            </w:r>
          </w:p>
          <w:p w14:paraId="304D7197" w14:textId="1C2FF0AF" w:rsidR="000B4BD4" w:rsidRPr="0035187E" w:rsidRDefault="000B4BD4" w:rsidP="0035187E">
            <w:pPr>
              <w:tabs>
                <w:tab w:val="right" w:pos="426"/>
              </w:tabs>
              <w:jc w:val="both"/>
              <w:rPr>
                <w:rFonts w:ascii="Times New Roman" w:hAnsi="Times New Roman" w:cs="Times New Roman"/>
                <w:sz w:val="20"/>
                <w:szCs w:val="20"/>
              </w:rPr>
            </w:pPr>
            <w:r w:rsidRPr="0035187E">
              <w:rPr>
                <w:rFonts w:ascii="Times New Roman" w:hAnsi="Times New Roman" w:cs="Times New Roman"/>
                <w:sz w:val="20"/>
                <w:szCs w:val="20"/>
              </w:rPr>
              <w:t>Ke změně z úzkého základu daně na široký základ daně u veřejně prospěšného poplatníka v průběhu zdaňovacího období může dojít například v případě, kdy tento subjekt v průběhu zdaňovacího období získá oprávnění k poskytování zdravotních služeb podle zákona upravujícího zdravotní služby.</w:t>
            </w:r>
          </w:p>
          <w:p w14:paraId="76312D02" w14:textId="77777777" w:rsidR="000B4BD4" w:rsidRPr="0035187E" w:rsidRDefault="000B4BD4" w:rsidP="0035187E">
            <w:pPr>
              <w:tabs>
                <w:tab w:val="right" w:pos="426"/>
              </w:tabs>
              <w:jc w:val="both"/>
              <w:rPr>
                <w:rFonts w:ascii="Times New Roman" w:hAnsi="Times New Roman" w:cs="Times New Roman"/>
                <w:sz w:val="20"/>
                <w:szCs w:val="20"/>
              </w:rPr>
            </w:pPr>
          </w:p>
          <w:p w14:paraId="0F69D3EE" w14:textId="09EEFFFB" w:rsidR="000B4BD4" w:rsidRPr="0035187E" w:rsidRDefault="000B4BD4" w:rsidP="0035187E">
            <w:pPr>
              <w:tabs>
                <w:tab w:val="right" w:pos="426"/>
              </w:tabs>
              <w:jc w:val="both"/>
              <w:rPr>
                <w:rFonts w:ascii="Times New Roman" w:hAnsi="Times New Roman" w:cs="Times New Roman"/>
                <w:sz w:val="20"/>
                <w:szCs w:val="20"/>
              </w:rPr>
            </w:pPr>
            <w:r w:rsidRPr="0035187E">
              <w:rPr>
                <w:rFonts w:ascii="Times New Roman" w:hAnsi="Times New Roman" w:cs="Times New Roman"/>
                <w:b/>
                <w:sz w:val="20"/>
                <w:szCs w:val="20"/>
              </w:rPr>
              <w:t>Tuto připomínku považujeme za zásadní.</w:t>
            </w:r>
          </w:p>
        </w:tc>
        <w:tc>
          <w:tcPr>
            <w:tcW w:w="1453" w:type="pct"/>
            <w:tcBorders>
              <w:top w:val="single" w:sz="4" w:space="0" w:color="auto"/>
              <w:left w:val="single" w:sz="4" w:space="0" w:color="auto"/>
              <w:right w:val="single" w:sz="4" w:space="0" w:color="auto"/>
            </w:tcBorders>
            <w:shd w:val="clear" w:color="auto" w:fill="auto"/>
          </w:tcPr>
          <w:p w14:paraId="4CF6720E"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Vyhověno jinak.</w:t>
            </w:r>
          </w:p>
          <w:p w14:paraId="59AAC1B1"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Bude navrženo nové pravidlo, které zajistí, že veřejně prospěšný poplatník, který v průběhu zdaňovacího období přestane nebo začne splňovat podmínky pro veřejně prospěšného poplatníka s tzv. širokým základem daně, tedy základem daně určovaným podle § 18a odst. 5, bude postupovat podle původního režimu na počátku zdaňovacího období po celé zdaňovací období, ve kterém ke změně došlo. Ke přechodu na nový systém dojde až v následujícím zdaňovacím období. To pro poplatníky zajistí jednoduší přechod, neboť nebudou muset zpětně cokoliv měnit. V případě, že by poplatník např. získal oprávnění poskytovat zdravotní služby ke konci roku, mohlo by být pro něj problematické zpětně opravovat evidenci.</w:t>
            </w:r>
          </w:p>
          <w:p w14:paraId="48C3ED84" w14:textId="77777777" w:rsidR="004F6CEB" w:rsidRPr="0035187E" w:rsidRDefault="004F6CEB" w:rsidP="0035187E">
            <w:pPr>
              <w:jc w:val="both"/>
              <w:rPr>
                <w:rFonts w:ascii="Times New Roman" w:hAnsi="Times New Roman" w:cs="Times New Roman"/>
                <w:sz w:val="20"/>
                <w:szCs w:val="20"/>
              </w:rPr>
            </w:pPr>
          </w:p>
          <w:p w14:paraId="69F3FD38" w14:textId="1F7BB4BA" w:rsidR="004F6CEB" w:rsidRPr="0035187E" w:rsidRDefault="004F6CEB" w:rsidP="0035187E">
            <w:pPr>
              <w:jc w:val="both"/>
              <w:rPr>
                <w:rFonts w:ascii="Times New Roman" w:hAnsi="Times New Roman" w:cs="Times New Roman"/>
                <w:sz w:val="20"/>
                <w:szCs w:val="20"/>
              </w:rPr>
            </w:pPr>
            <w:r w:rsidRPr="0035187E">
              <w:rPr>
                <w:rFonts w:ascii="Times New Roman" w:hAnsi="Times New Roman" w:cs="Times New Roman"/>
                <w:i/>
                <w:iCs/>
                <w:sz w:val="20"/>
                <w:szCs w:val="20"/>
              </w:rPr>
              <w:t>Připomínkové místo uvedlo, že považuje vypořádání za akceptovatelné a netrvá na rozporu.</w:t>
            </w:r>
          </w:p>
        </w:tc>
      </w:tr>
      <w:tr w:rsidR="0035187E" w:rsidRPr="0035187E" w14:paraId="1C5C17CB"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290A7EE" w14:textId="2BF697D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34.</w:t>
            </w:r>
          </w:p>
        </w:tc>
        <w:tc>
          <w:tcPr>
            <w:tcW w:w="583" w:type="pct"/>
            <w:tcBorders>
              <w:top w:val="single" w:sz="4" w:space="0" w:color="auto"/>
              <w:left w:val="single" w:sz="4" w:space="0" w:color="auto"/>
              <w:right w:val="single" w:sz="4" w:space="0" w:color="auto"/>
            </w:tcBorders>
            <w:shd w:val="clear" w:color="auto" w:fill="auto"/>
          </w:tcPr>
          <w:p w14:paraId="228716E0" w14:textId="3FDCDD7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Digitální a informační agentura</w:t>
            </w:r>
          </w:p>
        </w:tc>
        <w:tc>
          <w:tcPr>
            <w:tcW w:w="168" w:type="pct"/>
            <w:tcBorders>
              <w:top w:val="single" w:sz="4" w:space="0" w:color="auto"/>
              <w:left w:val="single" w:sz="4" w:space="0" w:color="auto"/>
              <w:right w:val="single" w:sz="4" w:space="0" w:color="auto"/>
            </w:tcBorders>
            <w:shd w:val="clear" w:color="auto" w:fill="auto"/>
          </w:tcPr>
          <w:p w14:paraId="338558CE" w14:textId="17F569F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1DACB0FA" w14:textId="3CEF889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AABDB65" w14:textId="266548E3" w:rsidR="000B4BD4" w:rsidRPr="0035187E" w:rsidRDefault="000B4BD4" w:rsidP="0035187E">
            <w:pPr>
              <w:jc w:val="both"/>
              <w:rPr>
                <w:rFonts w:ascii="Times New Roman" w:hAnsi="Times New Roman" w:cs="Times New Roman"/>
                <w:kern w:val="2"/>
                <w:sz w:val="20"/>
                <w:szCs w:val="20"/>
              </w:rPr>
            </w:pPr>
            <w:r w:rsidRPr="0035187E">
              <w:rPr>
                <w:rFonts w:ascii="Times New Roman" w:hAnsi="Times New Roman" w:cs="Times New Roman"/>
                <w:kern w:val="2"/>
                <w:sz w:val="20"/>
                <w:szCs w:val="20"/>
              </w:rPr>
              <w:t>K materiálu byla uplatněna následující připomínka:</w:t>
            </w:r>
          </w:p>
          <w:p w14:paraId="16A9EDBB" w14:textId="77777777" w:rsidR="000B4BD4" w:rsidRPr="0035187E" w:rsidRDefault="000B4BD4" w:rsidP="0035187E">
            <w:pPr>
              <w:jc w:val="both"/>
              <w:rPr>
                <w:rFonts w:ascii="Times New Roman" w:hAnsi="Times New Roman" w:cs="Times New Roman"/>
                <w:kern w:val="2"/>
                <w:sz w:val="20"/>
                <w:szCs w:val="20"/>
              </w:rPr>
            </w:pPr>
          </w:p>
          <w:p w14:paraId="3E0C9486" w14:textId="77777777" w:rsidR="000B4BD4" w:rsidRPr="0035187E" w:rsidRDefault="000B4BD4" w:rsidP="0035187E">
            <w:pPr>
              <w:contextualSpacing/>
              <w:jc w:val="both"/>
              <w:rPr>
                <w:rFonts w:ascii="Times New Roman" w:hAnsi="Times New Roman" w:cs="Times New Roman"/>
                <w:kern w:val="2"/>
                <w:sz w:val="20"/>
                <w:szCs w:val="20"/>
              </w:rPr>
            </w:pPr>
            <w:r w:rsidRPr="0035187E">
              <w:rPr>
                <w:rFonts w:ascii="Times New Roman" w:hAnsi="Times New Roman" w:cs="Times New Roman"/>
                <w:kern w:val="2"/>
                <w:sz w:val="20"/>
                <w:szCs w:val="20"/>
              </w:rPr>
              <w:t xml:space="preserve">V rámci jednání o zajištění spolupráce Správy státních služeb vytvářejících důvěru (SSSVD) a Generálního finančního ředitelství při poskytování státních služeb vytvářejících důvěru, kterého se účastnili zástupci vedení Ministerstva financí, Digitální a informační agentury (DIA) a SSSVD, byla projednána potřeba legislativního zakotvení činností souvisejících se správou státních služeb vytvářejících důvěru v oblasti elektronické evidence tržeb, </w:t>
            </w:r>
            <w:proofErr w:type="spellStart"/>
            <w:r w:rsidRPr="0035187E">
              <w:rPr>
                <w:rFonts w:ascii="Times New Roman" w:hAnsi="Times New Roman" w:cs="Times New Roman"/>
                <w:kern w:val="2"/>
                <w:sz w:val="20"/>
                <w:szCs w:val="20"/>
              </w:rPr>
              <w:t>konkr</w:t>
            </w:r>
            <w:proofErr w:type="spellEnd"/>
            <w:r w:rsidRPr="0035187E">
              <w:rPr>
                <w:rFonts w:ascii="Times New Roman" w:hAnsi="Times New Roman" w:cs="Times New Roman"/>
                <w:kern w:val="2"/>
                <w:sz w:val="20"/>
                <w:szCs w:val="20"/>
              </w:rPr>
              <w:t>. výkonu činnosti týkající se správy certifikátů pro tuto oblast. Na základě výsledku tohoto jednání bychom proto požádali o doplnění nového ustanovení do předmětného návrhu zákona, přičemž navrhujeme jeho zapracování v následujícím znění:</w:t>
            </w:r>
          </w:p>
          <w:p w14:paraId="03AAA290" w14:textId="77777777" w:rsidR="000B4BD4" w:rsidRPr="0035187E" w:rsidRDefault="000B4BD4" w:rsidP="0035187E">
            <w:pPr>
              <w:contextualSpacing/>
              <w:jc w:val="both"/>
              <w:rPr>
                <w:rFonts w:ascii="Times New Roman" w:hAnsi="Times New Roman" w:cs="Times New Roman"/>
                <w:kern w:val="2"/>
                <w:sz w:val="20"/>
                <w:szCs w:val="20"/>
              </w:rPr>
            </w:pPr>
          </w:p>
          <w:p w14:paraId="442B2589" w14:textId="77777777" w:rsidR="000B4BD4" w:rsidRPr="0035187E" w:rsidRDefault="000B4BD4" w:rsidP="0035187E">
            <w:pPr>
              <w:contextualSpacing/>
              <w:jc w:val="both"/>
              <w:rPr>
                <w:rFonts w:ascii="Times New Roman" w:hAnsi="Times New Roman" w:cs="Times New Roman"/>
                <w:kern w:val="2"/>
                <w:sz w:val="20"/>
                <w:szCs w:val="20"/>
              </w:rPr>
            </w:pPr>
            <w:r w:rsidRPr="0035187E">
              <w:rPr>
                <w:rFonts w:ascii="Times New Roman" w:hAnsi="Times New Roman" w:cs="Times New Roman"/>
                <w:b/>
                <w:bCs/>
                <w:kern w:val="2"/>
                <w:sz w:val="20"/>
                <w:szCs w:val="20"/>
              </w:rPr>
              <w:t>Návrh legislativní úpravy:</w:t>
            </w:r>
          </w:p>
          <w:p w14:paraId="464BCD97" w14:textId="77777777" w:rsidR="000B4BD4" w:rsidRPr="0035187E" w:rsidRDefault="000B4BD4" w:rsidP="0035187E">
            <w:pPr>
              <w:jc w:val="both"/>
              <w:rPr>
                <w:rFonts w:ascii="Times New Roman" w:hAnsi="Times New Roman" w:cs="Times New Roman"/>
                <w:i/>
                <w:iCs/>
                <w:kern w:val="2"/>
                <w:sz w:val="20"/>
                <w:szCs w:val="20"/>
              </w:rPr>
            </w:pPr>
            <w:r w:rsidRPr="0035187E">
              <w:rPr>
                <w:rFonts w:ascii="Times New Roman" w:hAnsi="Times New Roman" w:cs="Times New Roman"/>
                <w:i/>
                <w:iCs/>
                <w:kern w:val="2"/>
                <w:sz w:val="20"/>
                <w:szCs w:val="20"/>
              </w:rPr>
              <w:t>„Správa státních služeb vytvářejících důvěru</w:t>
            </w:r>
          </w:p>
          <w:p w14:paraId="651AE502" w14:textId="77777777" w:rsidR="000B4BD4" w:rsidRPr="0035187E" w:rsidRDefault="000B4BD4" w:rsidP="0035187E">
            <w:pPr>
              <w:jc w:val="both"/>
              <w:rPr>
                <w:rFonts w:ascii="Times New Roman" w:hAnsi="Times New Roman" w:cs="Times New Roman"/>
                <w:i/>
                <w:iCs/>
                <w:kern w:val="2"/>
                <w:sz w:val="20"/>
                <w:szCs w:val="20"/>
              </w:rPr>
            </w:pPr>
            <w:r w:rsidRPr="0035187E">
              <w:rPr>
                <w:rFonts w:ascii="Times New Roman" w:hAnsi="Times New Roman" w:cs="Times New Roman"/>
                <w:i/>
                <w:iCs/>
                <w:kern w:val="2"/>
                <w:sz w:val="20"/>
                <w:szCs w:val="20"/>
              </w:rPr>
              <w:lastRenderedPageBreak/>
              <w:t>a) zajišťuje služby vytvářející důvěru v oblasti elektronické evidence tržeb,</w:t>
            </w:r>
            <w:r w:rsidRPr="0035187E">
              <w:rPr>
                <w:rFonts w:ascii="Times New Roman" w:hAnsi="Times New Roman" w:cs="Times New Roman"/>
                <w:i/>
                <w:iCs/>
                <w:kern w:val="2"/>
                <w:sz w:val="20"/>
                <w:szCs w:val="20"/>
              </w:rPr>
              <w:br/>
              <w:t>b) vykonává činnosti související se správou certifikátů pro tuto oblast.“</w:t>
            </w:r>
          </w:p>
          <w:p w14:paraId="53D05EAF" w14:textId="77777777" w:rsidR="000B4BD4" w:rsidRPr="0035187E" w:rsidRDefault="000B4BD4" w:rsidP="0035187E">
            <w:pPr>
              <w:contextualSpacing/>
              <w:jc w:val="both"/>
              <w:rPr>
                <w:rFonts w:ascii="Times New Roman" w:hAnsi="Times New Roman" w:cs="Times New Roman"/>
                <w:kern w:val="2"/>
                <w:sz w:val="20"/>
                <w:szCs w:val="20"/>
              </w:rPr>
            </w:pPr>
          </w:p>
          <w:p w14:paraId="7BCD3B0F" w14:textId="77777777" w:rsidR="000B4BD4" w:rsidRPr="0035187E" w:rsidRDefault="000B4BD4" w:rsidP="0035187E">
            <w:pPr>
              <w:contextualSpacing/>
              <w:jc w:val="both"/>
              <w:rPr>
                <w:rFonts w:ascii="Times New Roman" w:hAnsi="Times New Roman" w:cs="Times New Roman"/>
                <w:kern w:val="2"/>
                <w:sz w:val="20"/>
                <w:szCs w:val="20"/>
              </w:rPr>
            </w:pPr>
            <w:r w:rsidRPr="0035187E">
              <w:rPr>
                <w:rFonts w:ascii="Times New Roman" w:hAnsi="Times New Roman" w:cs="Times New Roman"/>
                <w:kern w:val="2"/>
                <w:sz w:val="20"/>
                <w:szCs w:val="20"/>
              </w:rPr>
              <w:t>V této věci byl rovněž osloven vrchní ředitel sekce 02 – ICT a projektového řízení v Ministerstvu financí, kterému byl zaslán dopis se stručným popisem projednávaného požadavku včetně návrhu jeho legislativního doplnění tak, jak je uvedeno výše.</w:t>
            </w:r>
          </w:p>
          <w:p w14:paraId="0B5FA657" w14:textId="77777777" w:rsidR="000B4BD4" w:rsidRPr="0035187E" w:rsidRDefault="000B4BD4" w:rsidP="0035187E">
            <w:pPr>
              <w:contextualSpacing/>
              <w:jc w:val="both"/>
              <w:rPr>
                <w:rFonts w:ascii="Times New Roman" w:hAnsi="Times New Roman" w:cs="Times New Roman"/>
                <w:kern w:val="2"/>
                <w:sz w:val="20"/>
                <w:szCs w:val="20"/>
              </w:rPr>
            </w:pPr>
          </w:p>
          <w:p w14:paraId="050E2E02" w14:textId="595F73D2" w:rsidR="000B4BD4" w:rsidRPr="0035187E" w:rsidRDefault="000B4BD4" w:rsidP="0035187E">
            <w:pPr>
              <w:contextualSpacing/>
              <w:jc w:val="both"/>
              <w:rPr>
                <w:rFonts w:ascii="Times New Roman" w:hAnsi="Times New Roman" w:cs="Times New Roman"/>
                <w:b/>
                <w:sz w:val="20"/>
                <w:szCs w:val="20"/>
              </w:rPr>
            </w:pPr>
            <w:r w:rsidRPr="0035187E">
              <w:rPr>
                <w:rFonts w:ascii="Times New Roman" w:hAnsi="Times New Roman" w:cs="Times New Roman"/>
                <w:kern w:val="2"/>
                <w:sz w:val="20"/>
                <w:szCs w:val="20"/>
              </w:rPr>
              <w:t xml:space="preserve">Připomínka je </w:t>
            </w:r>
            <w:r w:rsidRPr="0035187E">
              <w:rPr>
                <w:rFonts w:ascii="Times New Roman" w:hAnsi="Times New Roman" w:cs="Times New Roman"/>
                <w:b/>
                <w:bCs/>
                <w:kern w:val="2"/>
                <w:sz w:val="20"/>
                <w:szCs w:val="20"/>
              </w:rPr>
              <w:t>zásadní</w:t>
            </w:r>
            <w:r w:rsidRPr="0035187E">
              <w:rPr>
                <w:rFonts w:ascii="Times New Roman" w:hAnsi="Times New Roman" w:cs="Times New Roman"/>
                <w:kern w:val="2"/>
                <w:sz w:val="20"/>
                <w:szCs w:val="20"/>
              </w:rPr>
              <w:t>.</w:t>
            </w:r>
          </w:p>
        </w:tc>
        <w:tc>
          <w:tcPr>
            <w:tcW w:w="1453" w:type="pct"/>
            <w:tcBorders>
              <w:top w:val="single" w:sz="4" w:space="0" w:color="auto"/>
              <w:left w:val="single" w:sz="4" w:space="0" w:color="auto"/>
              <w:right w:val="single" w:sz="4" w:space="0" w:color="auto"/>
            </w:tcBorders>
            <w:shd w:val="clear" w:color="auto" w:fill="auto"/>
          </w:tcPr>
          <w:p w14:paraId="523E7740" w14:textId="3EB396D4"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Vyhověno jinak.</w:t>
            </w:r>
          </w:p>
          <w:p w14:paraId="57B54C30" w14:textId="04341645"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Zákon o evidenci tržeb nemůže bez dalšího normovat aktivitu Správy státních služeb vytvářejících důvěru, která navíc není orgánem veřejné moci. Je proto třeba upravit působnost orgánů Finanční správy České republiky tak, aby jim bylo výslovně umožněno zajistit určité činnosti prostřednictvím Správy státních služeb vytvářejících důvěru.</w:t>
            </w:r>
          </w:p>
          <w:p w14:paraId="5D470FE2" w14:textId="460FA82E"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v § 2 rozšířen o nový odstavec 3 v následujícím znění:</w:t>
            </w:r>
          </w:p>
          <w:p w14:paraId="6DDC5449" w14:textId="77777777" w:rsidR="000B4BD4" w:rsidRPr="0035187E" w:rsidRDefault="000B4BD4" w:rsidP="0035187E">
            <w:pPr>
              <w:jc w:val="both"/>
              <w:rPr>
                <w:rFonts w:ascii="Times New Roman" w:hAnsi="Times New Roman" w:cs="Times New Roman"/>
                <w:sz w:val="20"/>
                <w:szCs w:val="20"/>
              </w:rPr>
            </w:pPr>
          </w:p>
          <w:p w14:paraId="669E8523" w14:textId="1C8EF3DA" w:rsidR="000B4BD4" w:rsidRPr="0035187E" w:rsidRDefault="000B4BD4" w:rsidP="0035187E">
            <w:pPr>
              <w:jc w:val="both"/>
              <w:rPr>
                <w:rFonts w:ascii="Times New Roman" w:hAnsi="Times New Roman" w:cs="Times New Roman"/>
                <w:i/>
                <w:sz w:val="20"/>
                <w:szCs w:val="20"/>
              </w:rPr>
            </w:pPr>
            <w:r w:rsidRPr="0035187E">
              <w:rPr>
                <w:rFonts w:ascii="Times New Roman" w:hAnsi="Times New Roman" w:cs="Times New Roman"/>
                <w:i/>
                <w:sz w:val="20"/>
                <w:szCs w:val="20"/>
              </w:rPr>
              <w:t>„(3) Orgány Finanční správy České republiky mohou prostřednictvím Správy státních služeb vytvářejících důvěru</w:t>
            </w:r>
          </w:p>
          <w:p w14:paraId="6A668E0B" w14:textId="77777777" w:rsidR="000B4BD4" w:rsidRPr="0035187E" w:rsidRDefault="000B4BD4" w:rsidP="0035187E">
            <w:pPr>
              <w:jc w:val="both"/>
              <w:rPr>
                <w:rFonts w:ascii="Times New Roman" w:hAnsi="Times New Roman" w:cs="Times New Roman"/>
                <w:i/>
                <w:sz w:val="20"/>
                <w:szCs w:val="20"/>
              </w:rPr>
            </w:pPr>
            <w:r w:rsidRPr="0035187E">
              <w:rPr>
                <w:rFonts w:ascii="Times New Roman" w:hAnsi="Times New Roman" w:cs="Times New Roman"/>
                <w:i/>
                <w:sz w:val="20"/>
                <w:szCs w:val="20"/>
              </w:rPr>
              <w:lastRenderedPageBreak/>
              <w:t>a) zajišťovat služby vytvářející důvěru v oblasti evidence tržeb,</w:t>
            </w:r>
          </w:p>
          <w:p w14:paraId="665352B6" w14:textId="77777777" w:rsidR="000B4BD4" w:rsidRPr="0035187E" w:rsidRDefault="000B4BD4" w:rsidP="0035187E">
            <w:pPr>
              <w:jc w:val="both"/>
              <w:rPr>
                <w:rFonts w:ascii="Times New Roman" w:hAnsi="Times New Roman" w:cs="Times New Roman"/>
                <w:i/>
                <w:sz w:val="20"/>
                <w:szCs w:val="20"/>
              </w:rPr>
            </w:pPr>
            <w:r w:rsidRPr="0035187E">
              <w:rPr>
                <w:rFonts w:ascii="Times New Roman" w:hAnsi="Times New Roman" w:cs="Times New Roman"/>
                <w:i/>
                <w:sz w:val="20"/>
                <w:szCs w:val="20"/>
              </w:rPr>
              <w:t>b) vykonávat činnosti související se správou certifikátů pro evidenci tržeb.“</w:t>
            </w:r>
          </w:p>
          <w:p w14:paraId="61508A07" w14:textId="77777777" w:rsidR="00F90803" w:rsidRPr="0035187E" w:rsidRDefault="00F90803" w:rsidP="0035187E">
            <w:pPr>
              <w:jc w:val="both"/>
              <w:rPr>
                <w:rFonts w:ascii="Times New Roman" w:hAnsi="Times New Roman" w:cs="Times New Roman"/>
                <w:i/>
                <w:sz w:val="20"/>
                <w:szCs w:val="20"/>
              </w:rPr>
            </w:pPr>
          </w:p>
          <w:p w14:paraId="0C07A546" w14:textId="480E3F20" w:rsidR="00F90803" w:rsidRPr="0035187E" w:rsidRDefault="00E743CB" w:rsidP="0035187E">
            <w:pPr>
              <w:jc w:val="both"/>
              <w:rPr>
                <w:rFonts w:ascii="Times New Roman" w:hAnsi="Times New Roman" w:cs="Times New Roman"/>
                <w:sz w:val="20"/>
                <w:szCs w:val="20"/>
              </w:rPr>
            </w:pPr>
            <w:r w:rsidRPr="0035187E">
              <w:rPr>
                <w:rFonts w:ascii="Times New Roman" w:hAnsi="Times New Roman" w:cs="Times New Roman"/>
                <w:i/>
                <w:iCs/>
                <w:sz w:val="20"/>
                <w:szCs w:val="20"/>
              </w:rPr>
              <w:t xml:space="preserve">Připomínkové místo nezaslalo reakci k písemnému vypořádání.  </w:t>
            </w:r>
          </w:p>
        </w:tc>
      </w:tr>
      <w:tr w:rsidR="0035187E" w:rsidRPr="0035187E" w14:paraId="15FF7C81"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B8E0FC2" w14:textId="519C32F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40.</w:t>
            </w:r>
          </w:p>
        </w:tc>
        <w:tc>
          <w:tcPr>
            <w:tcW w:w="583" w:type="pct"/>
            <w:tcBorders>
              <w:top w:val="single" w:sz="4" w:space="0" w:color="auto"/>
              <w:left w:val="single" w:sz="4" w:space="0" w:color="auto"/>
              <w:right w:val="single" w:sz="4" w:space="0" w:color="auto"/>
            </w:tcBorders>
            <w:shd w:val="clear" w:color="auto" w:fill="auto"/>
          </w:tcPr>
          <w:p w14:paraId="63FF2C83" w14:textId="637BE52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4F5B8FC8" w14:textId="7094932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06A7BE9B" w14:textId="0EDDF4A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211C72B" w14:textId="77777777" w:rsidR="000B4BD4" w:rsidRPr="0035187E" w:rsidRDefault="000B4BD4" w:rsidP="0035187E">
            <w:p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Hospodářská komora České republiky (HK ČR) vítá předložený návrh zákona o evidenci tržeb a o změně některých dalších zákonů a považujeme jej za krok správným směrem. Zavedení modernizovaného systému elektronické evidence tržeb může přispět k omezení šedé ekonomiky, posílení férových podmínek mezi podnikatelskými subjekty a k důslednějšímu plnění daňových povinností. HK ČR pozitivně hodnotí také tu skutečnost, že návrh zákona vychází ze zkušeností s fungováním původního systému elektronické evidence tržeb a současně usiluje o jeho modernizaci a zjednodušení. Omezení rozsahu evidovaných údajů a snahu o snížení administrativní zátěže podnikatelů považuje HK ČR za krok správným směrem. Přestože jde dle názoru HK ČR o přiměřené a efektivní nastavení regulace, uplatňuje následující připomínky</w:t>
            </w:r>
            <w:r w:rsidRPr="0035187E">
              <w:rPr>
                <w:rFonts w:ascii="Times New Roman" w:eastAsia="Calibri" w:hAnsi="Times New Roman" w:cs="Times New Roman"/>
                <w:sz w:val="20"/>
                <w:szCs w:val="20"/>
              </w:rPr>
              <w:t>.</w:t>
            </w:r>
          </w:p>
          <w:p w14:paraId="7F126B5F" w14:textId="77777777" w:rsidR="000B4BD4" w:rsidRPr="0035187E" w:rsidRDefault="000B4BD4" w:rsidP="0035187E">
            <w:pPr>
              <w:tabs>
                <w:tab w:val="left" w:pos="567"/>
              </w:tabs>
              <w:jc w:val="both"/>
              <w:rPr>
                <w:rFonts w:ascii="Times New Roman" w:hAnsi="Times New Roman" w:cs="Times New Roman"/>
                <w:sz w:val="20"/>
                <w:szCs w:val="20"/>
              </w:rPr>
            </w:pPr>
          </w:p>
          <w:p w14:paraId="00AE28E8" w14:textId="77777777" w:rsidR="000B4BD4" w:rsidRPr="0035187E" w:rsidRDefault="000B4BD4" w:rsidP="0035187E">
            <w:pPr>
              <w:numPr>
                <w:ilvl w:val="0"/>
                <w:numId w:val="68"/>
              </w:numPr>
              <w:tabs>
                <w:tab w:val="left" w:pos="567"/>
              </w:tabs>
              <w:ind w:left="0" w:firstLine="0"/>
              <w:jc w:val="both"/>
              <w:rPr>
                <w:rFonts w:ascii="Times New Roman" w:hAnsi="Times New Roman" w:cs="Times New Roman"/>
                <w:b/>
                <w:sz w:val="20"/>
                <w:szCs w:val="20"/>
              </w:rPr>
            </w:pPr>
            <w:r w:rsidRPr="0035187E">
              <w:rPr>
                <w:rFonts w:ascii="Times New Roman" w:hAnsi="Times New Roman" w:cs="Times New Roman"/>
                <w:b/>
                <w:sz w:val="20"/>
                <w:szCs w:val="20"/>
              </w:rPr>
              <w:t>Zásadní obecné připomínky k předloženému materiálu</w:t>
            </w:r>
          </w:p>
          <w:p w14:paraId="34640D65" w14:textId="77777777" w:rsidR="000B4BD4" w:rsidRPr="0035187E" w:rsidRDefault="000B4BD4" w:rsidP="0035187E">
            <w:pPr>
              <w:numPr>
                <w:ilvl w:val="0"/>
                <w:numId w:val="67"/>
              </w:num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Nová koncepce zákona vychází z principu technologické neutrality, který reflektuje také judikaturu Ústavního soudu. Respektujeme proto, že v novém modelu mohou být do systému zahrnuty i bezhotovostní platby. Ústavní soud zároveň potvrdil, že bezhotovostní transakce jsou ze své podstaty transparentní a dohledatelné, což z nich činí nízkorizikový typ transakcí z hlediska daňových úniků. V této souvislosti upozorňujeme na riziko, že Ústavní soud setrvá i v případě EET 2.0 na své původní pozici, že všechny bezhotovostní transakce mají být ze speciální evidence tržeb vyňaty.</w:t>
            </w:r>
          </w:p>
          <w:p w14:paraId="7D62AF9C"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Technologická neutralita neznamená, že systém nemůže zohledňovat rozdílné vlastnosti jednotlivých platebních metod, zejména jejich míru auditovatelnosti a existující digitální stopu.</w:t>
            </w:r>
          </w:p>
          <w:p w14:paraId="4DF7E9CC"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Upozorňujeme, že jednotný systém může být administrativně jednoduchý pro stát, ale nemusí být jednoduchý pro podnikatele. Z tohoto pohledu je důležité, aby EET 2.0 maximálně využilo potenciál digitálních plateb a umožnilo automatickou evidenci transakcí bez dodatečných administrativních kroků ze strany obchodníků. Efektivní systém evidence tržeb by měl být navržen tak, aby využíval technologické možnosti jednotlivých platebních metod a umožnil automatickou evidenci tam, kde je to možné.</w:t>
            </w:r>
          </w:p>
          <w:p w14:paraId="3AD10B8E" w14:textId="77777777" w:rsidR="000B4BD4" w:rsidRPr="0035187E" w:rsidRDefault="000B4BD4" w:rsidP="0035187E">
            <w:p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Integrace pokladních systémů a platebních terminálů navíc umožňuje, aby byl typ transakce generován automaticky, nikoli zadáván manuálně obchodníkem. Cílem systému evidence tržeb by nemělo být pouze shromažďování dat, ale zajištění spolehlivé evidence při minimální zátěži pro podnikatele. Digitální platební infrastruktura již dnes vytváří velké množství relevantních dat o transakcích. Efektivní regulace by měla využít existující data současné platební infrastruktury o transakcích a vyhnout se duplicitnímu reportingu.</w:t>
            </w:r>
          </w:p>
          <w:p w14:paraId="00B51544"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Podporujeme zejména:</w:t>
            </w:r>
          </w:p>
          <w:p w14:paraId="3DFD7A8A" w14:textId="77777777" w:rsidR="000B4BD4" w:rsidRPr="0035187E" w:rsidRDefault="000B4BD4" w:rsidP="0035187E">
            <w:pPr>
              <w:numPr>
                <w:ilvl w:val="0"/>
                <w:numId w:val="69"/>
              </w:numPr>
              <w:autoSpaceDE w:val="0"/>
              <w:autoSpaceDN w:val="0"/>
              <w:adjustRightInd w:val="0"/>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lastRenderedPageBreak/>
              <w:t>plnou automatizaci evidence karetních transakcí – bez administrativních dopadů na podnikatele,</w:t>
            </w:r>
          </w:p>
          <w:p w14:paraId="4052D9C0" w14:textId="77777777" w:rsidR="000B4BD4" w:rsidRPr="0035187E" w:rsidRDefault="000B4BD4" w:rsidP="0035187E">
            <w:pPr>
              <w:numPr>
                <w:ilvl w:val="0"/>
                <w:numId w:val="69"/>
              </w:numPr>
              <w:autoSpaceDE w:val="0"/>
              <w:autoSpaceDN w:val="0"/>
              <w:adjustRightInd w:val="0"/>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diferenciaci podle rizika: regulované platební metody (karty) jako nízkorizikové,</w:t>
            </w:r>
          </w:p>
          <w:p w14:paraId="457862FB" w14:textId="77777777" w:rsidR="000B4BD4" w:rsidRPr="0035187E" w:rsidRDefault="000B4BD4" w:rsidP="0035187E">
            <w:pPr>
              <w:numPr>
                <w:ilvl w:val="0"/>
                <w:numId w:val="69"/>
              </w:numPr>
              <w:autoSpaceDE w:val="0"/>
              <w:autoSpaceDN w:val="0"/>
              <w:adjustRightInd w:val="0"/>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propojení EET 2.0 s platební infrastrukturou přes API.</w:t>
            </w:r>
          </w:p>
          <w:p w14:paraId="367A14EB"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Za klíčové principy považujeme:</w:t>
            </w:r>
          </w:p>
          <w:p w14:paraId="04815E21"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a) Jednoduchost pro obchodníky a zákazníky – systém by měl být navržen tak, aby evidence tržby proběhla automaticky v rámci běžného platebního procesu. Pro podnikatele je zásadní, aby implementace nevyžadovala složité změny v jejich stávajících pokladních systémech. Nejefektivnější evidence tržeb je taková, která proběhne automaticky v rámci platební transakce bez dalšího kroku ze strany obchodníka.</w:t>
            </w:r>
          </w:p>
          <w:p w14:paraId="7204DAE6"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b) Maximální využití existující infrastruktury – většina obchodníků dnes již používá pokladní systémy a platební terminály. EET 2.0 by mělo umožnit jejich jednoduché propojení se státním systémem tak, aby evidence probíhala v rámci jedné transakce mezi pokladnou, platebním terminálem a státním systémem. Takový model:</w:t>
            </w:r>
          </w:p>
          <w:p w14:paraId="3F4E8B43" w14:textId="77777777" w:rsidR="000B4BD4" w:rsidRPr="0035187E" w:rsidRDefault="000B4BD4" w:rsidP="0035187E">
            <w:pPr>
              <w:numPr>
                <w:ilvl w:val="0"/>
                <w:numId w:val="69"/>
              </w:numPr>
              <w:autoSpaceDE w:val="0"/>
              <w:autoSpaceDN w:val="0"/>
              <w:adjustRightInd w:val="0"/>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minimalizuje administrativní zátěž pro podnikatele,</w:t>
            </w:r>
          </w:p>
          <w:p w14:paraId="43415DC9" w14:textId="77777777" w:rsidR="000B4BD4" w:rsidRPr="0035187E" w:rsidRDefault="000B4BD4" w:rsidP="0035187E">
            <w:pPr>
              <w:numPr>
                <w:ilvl w:val="0"/>
                <w:numId w:val="69"/>
              </w:numPr>
              <w:autoSpaceDE w:val="0"/>
              <w:autoSpaceDN w:val="0"/>
              <w:adjustRightInd w:val="0"/>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eliminuje duplicitní zadávání transakcí,</w:t>
            </w:r>
          </w:p>
          <w:p w14:paraId="3DB7B6B2" w14:textId="77777777" w:rsidR="000B4BD4" w:rsidRPr="0035187E" w:rsidRDefault="000B4BD4" w:rsidP="0035187E">
            <w:pPr>
              <w:numPr>
                <w:ilvl w:val="0"/>
                <w:numId w:val="69"/>
              </w:numPr>
              <w:autoSpaceDE w:val="0"/>
              <w:autoSpaceDN w:val="0"/>
              <w:adjustRightInd w:val="0"/>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zvyšuje přesnost evidence,</w:t>
            </w:r>
          </w:p>
          <w:p w14:paraId="4BE899DD" w14:textId="77777777" w:rsidR="000B4BD4" w:rsidRPr="0035187E" w:rsidRDefault="000B4BD4" w:rsidP="0035187E">
            <w:pPr>
              <w:numPr>
                <w:ilvl w:val="0"/>
                <w:numId w:val="69"/>
              </w:numPr>
              <w:autoSpaceDE w:val="0"/>
              <w:autoSpaceDN w:val="0"/>
              <w:adjustRightInd w:val="0"/>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zrychluje proces platby u pokladny.</w:t>
            </w:r>
          </w:p>
          <w:p w14:paraId="35638CE6"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c) Otevřená technologická architektura – klíčovým předpokladem je moderní a standardizované API, které umožní jednoduchou integraci pokladních systémů, platebních terminálů a dalších digitálních řešení. Dobře navržené API:</w:t>
            </w:r>
          </w:p>
          <w:p w14:paraId="472136AF" w14:textId="77777777" w:rsidR="000B4BD4" w:rsidRPr="0035187E" w:rsidRDefault="000B4BD4" w:rsidP="0035187E">
            <w:pPr>
              <w:numPr>
                <w:ilvl w:val="0"/>
                <w:numId w:val="69"/>
              </w:numPr>
              <w:autoSpaceDE w:val="0"/>
              <w:autoSpaceDN w:val="0"/>
              <w:adjustRightInd w:val="0"/>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snižuje náklady implementace,</w:t>
            </w:r>
          </w:p>
          <w:p w14:paraId="603BBD53" w14:textId="77777777" w:rsidR="000B4BD4" w:rsidRPr="0035187E" w:rsidRDefault="000B4BD4" w:rsidP="0035187E">
            <w:pPr>
              <w:numPr>
                <w:ilvl w:val="0"/>
                <w:numId w:val="69"/>
              </w:numPr>
              <w:autoSpaceDE w:val="0"/>
              <w:autoSpaceDN w:val="0"/>
              <w:adjustRightInd w:val="0"/>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umožňuje zapojení širokého ekosystému poskytovatelů řešení,</w:t>
            </w:r>
          </w:p>
          <w:p w14:paraId="6C47F6B4" w14:textId="0A1BC574" w:rsidR="000B4BD4" w:rsidRPr="0035187E" w:rsidRDefault="000B4BD4" w:rsidP="0035187E">
            <w:pPr>
              <w:numPr>
                <w:ilvl w:val="0"/>
                <w:numId w:val="69"/>
              </w:numPr>
              <w:autoSpaceDE w:val="0"/>
              <w:autoSpaceDN w:val="0"/>
              <w:adjustRightInd w:val="0"/>
              <w:jc w:val="both"/>
              <w:rPr>
                <w:rFonts w:ascii="Times New Roman" w:hAnsi="Times New Roman" w:cs="Times New Roman"/>
                <w:sz w:val="20"/>
                <w:szCs w:val="20"/>
              </w:rPr>
            </w:pPr>
            <w:r w:rsidRPr="0035187E">
              <w:rPr>
                <w:rFonts w:ascii="Times New Roman" w:eastAsia="Calibri" w:hAnsi="Times New Roman" w:cs="Times New Roman"/>
                <w:bCs/>
                <w:sz w:val="20"/>
                <w:szCs w:val="20"/>
              </w:rPr>
              <w:t>podporuje inovace v oblasti digitálních pokladen a platebních zařízení.</w:t>
            </w:r>
          </w:p>
        </w:tc>
        <w:tc>
          <w:tcPr>
            <w:tcW w:w="1453" w:type="pct"/>
            <w:tcBorders>
              <w:top w:val="single" w:sz="4" w:space="0" w:color="auto"/>
              <w:left w:val="single" w:sz="4" w:space="0" w:color="auto"/>
              <w:right w:val="single" w:sz="4" w:space="0" w:color="auto"/>
            </w:tcBorders>
            <w:shd w:val="clear" w:color="auto" w:fill="auto"/>
          </w:tcPr>
          <w:p w14:paraId="687B5A9A" w14:textId="77777777"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Bere se na vědomí.</w:t>
            </w:r>
          </w:p>
          <w:p w14:paraId="5F4FAF85" w14:textId="1B1650E3"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Nejde o samostatnou připomínku, ale úvodní deklaraci k navazujícím připomínkám, které zde deklarovaná východiska precizují.</w:t>
            </w:r>
          </w:p>
          <w:p w14:paraId="1CF55B94" w14:textId="77777777" w:rsidR="000B4BD4" w:rsidRPr="0035187E" w:rsidRDefault="000B4BD4" w:rsidP="0035187E">
            <w:pPr>
              <w:jc w:val="both"/>
              <w:rPr>
                <w:rFonts w:ascii="Times New Roman" w:hAnsi="Times New Roman" w:cs="Times New Roman"/>
                <w:sz w:val="20"/>
                <w:szCs w:val="20"/>
              </w:rPr>
            </w:pPr>
          </w:p>
          <w:p w14:paraId="32E02D7B" w14:textId="77777777" w:rsidR="000B4BD4" w:rsidRPr="0035187E" w:rsidRDefault="000B4BD4" w:rsidP="0035187E">
            <w:pPr>
              <w:jc w:val="both"/>
              <w:rPr>
                <w:rFonts w:ascii="Times New Roman" w:hAnsi="Times New Roman" w:cs="Times New Roman"/>
                <w:sz w:val="20"/>
                <w:szCs w:val="20"/>
              </w:rPr>
            </w:pPr>
          </w:p>
          <w:p w14:paraId="5661100E" w14:textId="77777777" w:rsidR="000B4BD4" w:rsidRPr="0035187E" w:rsidRDefault="000B4BD4" w:rsidP="0035187E">
            <w:pPr>
              <w:jc w:val="both"/>
              <w:rPr>
                <w:rFonts w:ascii="Times New Roman" w:hAnsi="Times New Roman" w:cs="Times New Roman"/>
                <w:sz w:val="20"/>
                <w:szCs w:val="20"/>
              </w:rPr>
            </w:pPr>
          </w:p>
          <w:p w14:paraId="2DB83A5A" w14:textId="77777777" w:rsidR="000B4BD4" w:rsidRPr="0035187E" w:rsidRDefault="000B4BD4" w:rsidP="0035187E">
            <w:pPr>
              <w:jc w:val="both"/>
              <w:rPr>
                <w:rFonts w:ascii="Times New Roman" w:hAnsi="Times New Roman" w:cs="Times New Roman"/>
                <w:sz w:val="20"/>
                <w:szCs w:val="20"/>
              </w:rPr>
            </w:pPr>
          </w:p>
          <w:p w14:paraId="6E217962" w14:textId="77777777" w:rsidR="000B4BD4" w:rsidRPr="0035187E" w:rsidRDefault="000B4BD4" w:rsidP="0035187E">
            <w:pPr>
              <w:jc w:val="both"/>
              <w:rPr>
                <w:rFonts w:ascii="Times New Roman" w:hAnsi="Times New Roman" w:cs="Times New Roman"/>
                <w:sz w:val="20"/>
                <w:szCs w:val="20"/>
              </w:rPr>
            </w:pPr>
          </w:p>
          <w:p w14:paraId="4EA1B00F" w14:textId="77777777" w:rsidR="000B4BD4" w:rsidRPr="0035187E" w:rsidRDefault="000B4BD4" w:rsidP="0035187E">
            <w:pPr>
              <w:jc w:val="both"/>
              <w:rPr>
                <w:rFonts w:ascii="Times New Roman" w:hAnsi="Times New Roman" w:cs="Times New Roman"/>
                <w:sz w:val="20"/>
                <w:szCs w:val="20"/>
              </w:rPr>
            </w:pPr>
          </w:p>
          <w:p w14:paraId="5492E87E" w14:textId="77777777" w:rsidR="000B4BD4" w:rsidRPr="0035187E" w:rsidRDefault="000B4BD4" w:rsidP="0035187E">
            <w:pPr>
              <w:jc w:val="both"/>
              <w:rPr>
                <w:rFonts w:ascii="Times New Roman" w:hAnsi="Times New Roman" w:cs="Times New Roman"/>
                <w:sz w:val="20"/>
                <w:szCs w:val="20"/>
              </w:rPr>
            </w:pPr>
          </w:p>
          <w:p w14:paraId="478665D4" w14:textId="77777777" w:rsidR="000B4BD4" w:rsidRPr="0035187E" w:rsidRDefault="000B4BD4" w:rsidP="0035187E">
            <w:pPr>
              <w:jc w:val="both"/>
              <w:rPr>
                <w:rFonts w:ascii="Times New Roman" w:hAnsi="Times New Roman" w:cs="Times New Roman"/>
                <w:sz w:val="20"/>
                <w:szCs w:val="20"/>
              </w:rPr>
            </w:pPr>
          </w:p>
          <w:p w14:paraId="02D1FD36" w14:textId="77777777" w:rsidR="000B4BD4" w:rsidRPr="0035187E" w:rsidRDefault="000B4BD4" w:rsidP="0035187E">
            <w:pPr>
              <w:jc w:val="both"/>
              <w:rPr>
                <w:rFonts w:ascii="Times New Roman" w:hAnsi="Times New Roman" w:cs="Times New Roman"/>
                <w:sz w:val="20"/>
                <w:szCs w:val="20"/>
              </w:rPr>
            </w:pPr>
          </w:p>
          <w:p w14:paraId="0BF75D19" w14:textId="77777777" w:rsidR="000B4BD4" w:rsidRPr="0035187E" w:rsidRDefault="000B4BD4" w:rsidP="0035187E">
            <w:pPr>
              <w:jc w:val="both"/>
              <w:rPr>
                <w:rFonts w:ascii="Times New Roman" w:hAnsi="Times New Roman" w:cs="Times New Roman"/>
                <w:sz w:val="20"/>
                <w:szCs w:val="20"/>
              </w:rPr>
            </w:pPr>
          </w:p>
          <w:p w14:paraId="57AAD537" w14:textId="77777777" w:rsidR="000B4BD4" w:rsidRPr="0035187E" w:rsidRDefault="000B4BD4" w:rsidP="0035187E">
            <w:pPr>
              <w:jc w:val="both"/>
              <w:rPr>
                <w:rFonts w:ascii="Times New Roman" w:hAnsi="Times New Roman" w:cs="Times New Roman"/>
                <w:sz w:val="20"/>
                <w:szCs w:val="20"/>
              </w:rPr>
            </w:pPr>
          </w:p>
          <w:p w14:paraId="5FFF9DC2" w14:textId="77777777" w:rsidR="000B4BD4" w:rsidRPr="0035187E" w:rsidRDefault="000B4BD4" w:rsidP="0035187E">
            <w:pPr>
              <w:jc w:val="both"/>
              <w:rPr>
                <w:rFonts w:ascii="Times New Roman" w:hAnsi="Times New Roman" w:cs="Times New Roman"/>
                <w:sz w:val="20"/>
                <w:szCs w:val="20"/>
              </w:rPr>
            </w:pPr>
          </w:p>
          <w:p w14:paraId="01127345" w14:textId="77777777" w:rsidR="000B4BD4" w:rsidRPr="0035187E" w:rsidRDefault="000B4BD4" w:rsidP="0035187E">
            <w:pPr>
              <w:jc w:val="both"/>
              <w:rPr>
                <w:rFonts w:ascii="Times New Roman" w:hAnsi="Times New Roman" w:cs="Times New Roman"/>
                <w:sz w:val="20"/>
                <w:szCs w:val="20"/>
              </w:rPr>
            </w:pPr>
          </w:p>
          <w:p w14:paraId="3FD98EBE" w14:textId="77777777" w:rsidR="000B4BD4" w:rsidRPr="0035187E" w:rsidRDefault="000B4BD4" w:rsidP="0035187E">
            <w:pPr>
              <w:jc w:val="both"/>
              <w:rPr>
                <w:rFonts w:ascii="Times New Roman" w:hAnsi="Times New Roman" w:cs="Times New Roman"/>
                <w:sz w:val="20"/>
                <w:szCs w:val="20"/>
              </w:rPr>
            </w:pPr>
          </w:p>
          <w:p w14:paraId="29275D19" w14:textId="77777777" w:rsidR="000B4BD4" w:rsidRPr="0035187E" w:rsidRDefault="000B4BD4" w:rsidP="0035187E">
            <w:pPr>
              <w:jc w:val="both"/>
              <w:rPr>
                <w:rFonts w:ascii="Times New Roman" w:hAnsi="Times New Roman" w:cs="Times New Roman"/>
                <w:sz w:val="20"/>
                <w:szCs w:val="20"/>
              </w:rPr>
            </w:pPr>
          </w:p>
          <w:p w14:paraId="65D2B7E9" w14:textId="77777777" w:rsidR="000B4BD4" w:rsidRPr="0035187E" w:rsidRDefault="000B4BD4" w:rsidP="0035187E">
            <w:pPr>
              <w:jc w:val="both"/>
              <w:rPr>
                <w:rFonts w:ascii="Times New Roman" w:hAnsi="Times New Roman" w:cs="Times New Roman"/>
                <w:sz w:val="20"/>
                <w:szCs w:val="20"/>
              </w:rPr>
            </w:pPr>
          </w:p>
          <w:p w14:paraId="166893EB" w14:textId="77777777" w:rsidR="000B4BD4" w:rsidRPr="0035187E" w:rsidRDefault="000B4BD4" w:rsidP="0035187E">
            <w:pPr>
              <w:jc w:val="both"/>
              <w:rPr>
                <w:rFonts w:ascii="Times New Roman" w:hAnsi="Times New Roman" w:cs="Times New Roman"/>
                <w:sz w:val="20"/>
                <w:szCs w:val="20"/>
              </w:rPr>
            </w:pPr>
          </w:p>
          <w:p w14:paraId="3F106A5A" w14:textId="77777777" w:rsidR="000B4BD4" w:rsidRPr="0035187E" w:rsidRDefault="000B4BD4" w:rsidP="0035187E">
            <w:pPr>
              <w:jc w:val="both"/>
              <w:rPr>
                <w:rFonts w:ascii="Times New Roman" w:hAnsi="Times New Roman" w:cs="Times New Roman"/>
                <w:sz w:val="20"/>
                <w:szCs w:val="20"/>
              </w:rPr>
            </w:pPr>
          </w:p>
          <w:p w14:paraId="4E02A81C" w14:textId="77777777" w:rsidR="000B4BD4" w:rsidRPr="0035187E" w:rsidRDefault="000B4BD4" w:rsidP="0035187E">
            <w:pPr>
              <w:jc w:val="both"/>
              <w:rPr>
                <w:rFonts w:ascii="Times New Roman" w:hAnsi="Times New Roman" w:cs="Times New Roman"/>
                <w:sz w:val="20"/>
                <w:szCs w:val="20"/>
              </w:rPr>
            </w:pPr>
          </w:p>
          <w:p w14:paraId="2127997B" w14:textId="77777777" w:rsidR="000B4BD4" w:rsidRPr="0035187E" w:rsidRDefault="000B4BD4" w:rsidP="0035187E">
            <w:pPr>
              <w:jc w:val="both"/>
              <w:rPr>
                <w:rFonts w:ascii="Times New Roman" w:hAnsi="Times New Roman" w:cs="Times New Roman"/>
                <w:sz w:val="20"/>
                <w:szCs w:val="20"/>
              </w:rPr>
            </w:pPr>
          </w:p>
          <w:p w14:paraId="312FF22C" w14:textId="77777777" w:rsidR="000B4BD4" w:rsidRPr="0035187E" w:rsidRDefault="000B4BD4" w:rsidP="0035187E">
            <w:pPr>
              <w:jc w:val="both"/>
              <w:rPr>
                <w:rFonts w:ascii="Times New Roman" w:hAnsi="Times New Roman" w:cs="Times New Roman"/>
                <w:sz w:val="20"/>
                <w:szCs w:val="20"/>
              </w:rPr>
            </w:pPr>
          </w:p>
          <w:p w14:paraId="6070E23D" w14:textId="77777777" w:rsidR="000B4BD4" w:rsidRPr="0035187E" w:rsidRDefault="000B4BD4" w:rsidP="0035187E">
            <w:pPr>
              <w:jc w:val="both"/>
              <w:rPr>
                <w:rFonts w:ascii="Times New Roman" w:hAnsi="Times New Roman" w:cs="Times New Roman"/>
                <w:sz w:val="20"/>
                <w:szCs w:val="20"/>
              </w:rPr>
            </w:pPr>
          </w:p>
          <w:p w14:paraId="42AE562A" w14:textId="77777777" w:rsidR="000B4BD4" w:rsidRPr="0035187E" w:rsidRDefault="000B4BD4" w:rsidP="0035187E">
            <w:pPr>
              <w:jc w:val="both"/>
              <w:rPr>
                <w:rFonts w:ascii="Times New Roman" w:hAnsi="Times New Roman" w:cs="Times New Roman"/>
                <w:sz w:val="20"/>
                <w:szCs w:val="20"/>
              </w:rPr>
            </w:pPr>
          </w:p>
          <w:p w14:paraId="748D0C0A" w14:textId="77777777" w:rsidR="000B4BD4" w:rsidRPr="0035187E" w:rsidRDefault="000B4BD4" w:rsidP="0035187E">
            <w:pPr>
              <w:jc w:val="both"/>
              <w:rPr>
                <w:rFonts w:ascii="Times New Roman" w:hAnsi="Times New Roman" w:cs="Times New Roman"/>
                <w:sz w:val="20"/>
                <w:szCs w:val="20"/>
              </w:rPr>
            </w:pPr>
          </w:p>
          <w:p w14:paraId="5D82467A" w14:textId="77777777" w:rsidR="000B4BD4" w:rsidRPr="0035187E" w:rsidRDefault="000B4BD4" w:rsidP="0035187E">
            <w:pPr>
              <w:jc w:val="both"/>
              <w:rPr>
                <w:rFonts w:ascii="Times New Roman" w:hAnsi="Times New Roman" w:cs="Times New Roman"/>
                <w:sz w:val="20"/>
                <w:szCs w:val="20"/>
              </w:rPr>
            </w:pPr>
          </w:p>
          <w:p w14:paraId="777E1A25" w14:textId="77777777" w:rsidR="000B4BD4" w:rsidRPr="0035187E" w:rsidRDefault="000B4BD4" w:rsidP="0035187E">
            <w:pPr>
              <w:jc w:val="both"/>
              <w:rPr>
                <w:rFonts w:ascii="Times New Roman" w:hAnsi="Times New Roman" w:cs="Times New Roman"/>
                <w:sz w:val="20"/>
                <w:szCs w:val="20"/>
              </w:rPr>
            </w:pPr>
          </w:p>
          <w:p w14:paraId="60619569" w14:textId="77777777" w:rsidR="000B4BD4" w:rsidRPr="0035187E" w:rsidRDefault="000B4BD4" w:rsidP="0035187E">
            <w:pPr>
              <w:jc w:val="both"/>
              <w:rPr>
                <w:rFonts w:ascii="Times New Roman" w:hAnsi="Times New Roman" w:cs="Times New Roman"/>
                <w:sz w:val="20"/>
                <w:szCs w:val="20"/>
              </w:rPr>
            </w:pPr>
          </w:p>
          <w:p w14:paraId="6C926A00" w14:textId="77777777" w:rsidR="000B4BD4" w:rsidRPr="0035187E" w:rsidRDefault="000B4BD4" w:rsidP="0035187E">
            <w:pPr>
              <w:jc w:val="both"/>
              <w:rPr>
                <w:rFonts w:ascii="Times New Roman" w:hAnsi="Times New Roman" w:cs="Times New Roman"/>
                <w:sz w:val="20"/>
                <w:szCs w:val="20"/>
              </w:rPr>
            </w:pPr>
          </w:p>
          <w:p w14:paraId="1B85F374" w14:textId="77777777" w:rsidR="000B4BD4" w:rsidRPr="0035187E" w:rsidRDefault="000B4BD4" w:rsidP="0035187E">
            <w:pPr>
              <w:jc w:val="both"/>
              <w:rPr>
                <w:rFonts w:ascii="Times New Roman" w:hAnsi="Times New Roman" w:cs="Times New Roman"/>
                <w:sz w:val="20"/>
                <w:szCs w:val="20"/>
              </w:rPr>
            </w:pPr>
          </w:p>
          <w:p w14:paraId="0047A478" w14:textId="77777777" w:rsidR="000B4BD4" w:rsidRPr="0035187E" w:rsidRDefault="000B4BD4" w:rsidP="0035187E">
            <w:pPr>
              <w:jc w:val="both"/>
              <w:rPr>
                <w:rFonts w:ascii="Times New Roman" w:hAnsi="Times New Roman" w:cs="Times New Roman"/>
                <w:sz w:val="20"/>
                <w:szCs w:val="20"/>
              </w:rPr>
            </w:pPr>
          </w:p>
          <w:p w14:paraId="4FBB9663" w14:textId="77777777" w:rsidR="000B4BD4" w:rsidRPr="0035187E" w:rsidRDefault="000B4BD4" w:rsidP="0035187E">
            <w:pPr>
              <w:jc w:val="both"/>
              <w:rPr>
                <w:rFonts w:ascii="Times New Roman" w:hAnsi="Times New Roman" w:cs="Times New Roman"/>
                <w:sz w:val="20"/>
                <w:szCs w:val="20"/>
              </w:rPr>
            </w:pPr>
          </w:p>
          <w:p w14:paraId="143E8902" w14:textId="77777777" w:rsidR="000B4BD4" w:rsidRPr="0035187E" w:rsidRDefault="000B4BD4" w:rsidP="0035187E">
            <w:pPr>
              <w:jc w:val="both"/>
              <w:rPr>
                <w:rFonts w:ascii="Times New Roman" w:hAnsi="Times New Roman" w:cs="Times New Roman"/>
                <w:sz w:val="20"/>
                <w:szCs w:val="20"/>
              </w:rPr>
            </w:pPr>
          </w:p>
          <w:p w14:paraId="2BB58710" w14:textId="77777777" w:rsidR="000B4BD4" w:rsidRPr="0035187E" w:rsidRDefault="000B4BD4" w:rsidP="0035187E">
            <w:pPr>
              <w:jc w:val="both"/>
              <w:rPr>
                <w:rFonts w:ascii="Times New Roman" w:hAnsi="Times New Roman" w:cs="Times New Roman"/>
                <w:sz w:val="20"/>
                <w:szCs w:val="20"/>
              </w:rPr>
            </w:pPr>
          </w:p>
          <w:p w14:paraId="1FD052A6" w14:textId="187FB9D4" w:rsidR="000B4BD4" w:rsidRPr="0035187E" w:rsidRDefault="000B4BD4" w:rsidP="0035187E">
            <w:pPr>
              <w:jc w:val="both"/>
              <w:rPr>
                <w:rFonts w:ascii="Times New Roman" w:hAnsi="Times New Roman" w:cs="Times New Roman"/>
                <w:sz w:val="20"/>
                <w:szCs w:val="20"/>
              </w:rPr>
            </w:pPr>
          </w:p>
        </w:tc>
      </w:tr>
      <w:tr w:rsidR="0035187E" w:rsidRPr="0035187E" w14:paraId="453B3518"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412F4A93" w14:textId="47331F5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40.</w:t>
            </w:r>
          </w:p>
        </w:tc>
        <w:tc>
          <w:tcPr>
            <w:tcW w:w="583" w:type="pct"/>
            <w:tcBorders>
              <w:top w:val="single" w:sz="4" w:space="0" w:color="auto"/>
              <w:left w:val="single" w:sz="4" w:space="0" w:color="auto"/>
              <w:right w:val="single" w:sz="4" w:space="0" w:color="auto"/>
            </w:tcBorders>
            <w:shd w:val="clear" w:color="auto" w:fill="auto"/>
          </w:tcPr>
          <w:p w14:paraId="4E4CB77A" w14:textId="0F46397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7027A77F" w14:textId="41C9CC3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w:t>
            </w:r>
          </w:p>
        </w:tc>
        <w:tc>
          <w:tcPr>
            <w:tcW w:w="169" w:type="pct"/>
            <w:tcBorders>
              <w:top w:val="single" w:sz="4" w:space="0" w:color="auto"/>
              <w:left w:val="single" w:sz="4" w:space="0" w:color="auto"/>
              <w:right w:val="single" w:sz="4" w:space="0" w:color="auto"/>
            </w:tcBorders>
            <w:shd w:val="clear" w:color="auto" w:fill="auto"/>
          </w:tcPr>
          <w:p w14:paraId="3C51ADB8" w14:textId="75AC2A3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65F3D31" w14:textId="77777777" w:rsidR="000B4BD4" w:rsidRPr="0035187E" w:rsidRDefault="000B4BD4" w:rsidP="0035187E">
            <w:pPr>
              <w:numPr>
                <w:ilvl w:val="0"/>
                <w:numId w:val="67"/>
              </w:num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Vnímáme poučení a vyřešení některých nedostatků původní verze EET 1.0, zejména zrušení povinnosti automaticky vydávat účtenku (§ 17 návrhu). Identifikujeme však oblasti, kde návrh nedostatečně zohledňuje specifika bezhotovostních platebních systémů pro festivaly (kulturní, sportovní, společenské apod.), jakož i další hromadné akce, a celkově pro řešení stánkového prodeje na jednorázových akcích, jež se zásadně odlišují od standardního maloobchodního prostředí. Cílem připomínky je minimalizace vstupních nákladů pro pořadatele akcí nebo stánkové prodejce na těchto akcích registrovaných do unifikovaného platebního systému pro akci, a tudíž i soulad s věcným záměrem a paragrafovým zněním zákona.</w:t>
            </w:r>
          </w:p>
          <w:p w14:paraId="1EBB63DC" w14:textId="77777777" w:rsidR="000B4BD4" w:rsidRPr="0035187E" w:rsidRDefault="000B4BD4" w:rsidP="0035187E">
            <w:pPr>
              <w:autoSpaceDE w:val="0"/>
              <w:autoSpaceDN w:val="0"/>
              <w:adjustRightInd w:val="0"/>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 xml:space="preserve">Řada festivalů od roku 2022 přešla nebo přechází na tzv. </w:t>
            </w:r>
            <w:proofErr w:type="spellStart"/>
            <w:r w:rsidRPr="0035187E">
              <w:rPr>
                <w:rFonts w:ascii="Times New Roman" w:eastAsia="Calibri" w:hAnsi="Times New Roman" w:cs="Times New Roman"/>
                <w:bCs/>
                <w:sz w:val="20"/>
                <w:szCs w:val="20"/>
              </w:rPr>
              <w:t>cashless</w:t>
            </w:r>
            <w:proofErr w:type="spellEnd"/>
            <w:r w:rsidRPr="0035187E">
              <w:rPr>
                <w:rFonts w:ascii="Times New Roman" w:eastAsia="Calibri" w:hAnsi="Times New Roman" w:cs="Times New Roman"/>
                <w:bCs/>
                <w:sz w:val="20"/>
                <w:szCs w:val="20"/>
              </w:rPr>
              <w:t xml:space="preserve"> platební systémy. Jde o uzavřené platební systémy, které zajišťují kompletní platební infrastrukturu pro desítky festivalů a stovky akcí ročně s miliony zpracovaných transakcí. V posledních letech se rozšiřuje počet festivalů, kde společnosti jako </w:t>
            </w:r>
            <w:proofErr w:type="spellStart"/>
            <w:r w:rsidRPr="0035187E">
              <w:rPr>
                <w:rFonts w:ascii="Times New Roman" w:eastAsia="Calibri" w:hAnsi="Times New Roman" w:cs="Times New Roman"/>
                <w:bCs/>
                <w:sz w:val="20"/>
                <w:szCs w:val="20"/>
              </w:rPr>
              <w:t>NFCtron</w:t>
            </w:r>
            <w:proofErr w:type="spellEnd"/>
            <w:r w:rsidRPr="0035187E">
              <w:rPr>
                <w:rFonts w:ascii="Times New Roman" w:eastAsia="Calibri" w:hAnsi="Times New Roman" w:cs="Times New Roman"/>
                <w:bCs/>
                <w:sz w:val="20"/>
                <w:szCs w:val="20"/>
              </w:rPr>
              <w:t xml:space="preserve"> zajišťují platby debetní/kreditní kartou. </w:t>
            </w:r>
          </w:p>
          <w:p w14:paraId="15F2A759" w14:textId="77777777" w:rsidR="000B4BD4" w:rsidRPr="0035187E" w:rsidRDefault="000B4BD4" w:rsidP="0035187E">
            <w:p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V souvislosti s výše uvedeným požadujeme především následující úpravy v těchto oblastech (detailně popsáno v rámci zásadních konkrétních připomínek):</w:t>
            </w:r>
          </w:p>
          <w:p w14:paraId="190AAC32"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 xml:space="preserve">Digitální doklady: Výslovné potvrzení přípustnosti elektronické formy dokladu vydávaného na žádost zákazníka. </w:t>
            </w:r>
          </w:p>
          <w:p w14:paraId="497CA9BE" w14:textId="77777777" w:rsidR="000B4BD4" w:rsidRPr="0035187E" w:rsidRDefault="000B4BD4" w:rsidP="0035187E">
            <w:pPr>
              <w:numPr>
                <w:ilvl w:val="0"/>
                <w:numId w:val="69"/>
              </w:numPr>
              <w:tabs>
                <w:tab w:val="left" w:pos="567"/>
              </w:tabs>
              <w:jc w:val="both"/>
              <w:rPr>
                <w:rFonts w:ascii="Times New Roman" w:eastAsia="Calibri" w:hAnsi="Times New Roman" w:cs="Times New Roman"/>
                <w:bCs/>
                <w:sz w:val="20"/>
                <w:szCs w:val="20"/>
              </w:rPr>
            </w:pPr>
            <w:proofErr w:type="spellStart"/>
            <w:r w:rsidRPr="0035187E">
              <w:rPr>
                <w:rFonts w:ascii="Times New Roman" w:eastAsia="Calibri" w:hAnsi="Times New Roman" w:cs="Times New Roman"/>
                <w:bCs/>
                <w:sz w:val="20"/>
                <w:szCs w:val="20"/>
              </w:rPr>
              <w:lastRenderedPageBreak/>
              <w:t>Offline</w:t>
            </w:r>
            <w:proofErr w:type="spellEnd"/>
            <w:r w:rsidRPr="0035187E">
              <w:rPr>
                <w:rFonts w:ascii="Times New Roman" w:eastAsia="Calibri" w:hAnsi="Times New Roman" w:cs="Times New Roman"/>
                <w:bCs/>
                <w:sz w:val="20"/>
                <w:szCs w:val="20"/>
              </w:rPr>
              <w:t xml:space="preserve"> režim a stánkový prodej: Přizpůsobení lhůt pro evidenci tržeb při výpadcích a rozšíření režimu § 21 pro stánkový prodej na jednorázových akcích.</w:t>
            </w:r>
          </w:p>
          <w:p w14:paraId="4E88C4F9" w14:textId="77777777" w:rsidR="000B4BD4" w:rsidRPr="0035187E" w:rsidRDefault="000B4BD4" w:rsidP="0035187E">
            <w:pPr>
              <w:numPr>
                <w:ilvl w:val="0"/>
                <w:numId w:val="69"/>
              </w:numPr>
              <w:autoSpaceDE w:val="0"/>
              <w:autoSpaceDN w:val="0"/>
              <w:adjustRightInd w:val="0"/>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 xml:space="preserve">Možnost pověření platební platformy: Upřesnění institutu pověření dle § 11 pro provozovatele </w:t>
            </w:r>
            <w:proofErr w:type="spellStart"/>
            <w:r w:rsidRPr="0035187E">
              <w:rPr>
                <w:rFonts w:ascii="Times New Roman" w:eastAsia="Calibri" w:hAnsi="Times New Roman" w:cs="Times New Roman"/>
                <w:bCs/>
                <w:sz w:val="20"/>
                <w:szCs w:val="20"/>
              </w:rPr>
              <w:t>cashless</w:t>
            </w:r>
            <w:proofErr w:type="spellEnd"/>
            <w:r w:rsidRPr="0035187E">
              <w:rPr>
                <w:rFonts w:ascii="Times New Roman" w:eastAsia="Calibri" w:hAnsi="Times New Roman" w:cs="Times New Roman"/>
                <w:bCs/>
                <w:sz w:val="20"/>
                <w:szCs w:val="20"/>
              </w:rPr>
              <w:t xml:space="preserve">/platebních systémů, kteří centrálně evidují tržby za prodejce. </w:t>
            </w:r>
          </w:p>
          <w:p w14:paraId="6FF97453" w14:textId="77777777" w:rsidR="000B4BD4" w:rsidRPr="0035187E" w:rsidRDefault="000B4BD4" w:rsidP="0035187E">
            <w:pPr>
              <w:numPr>
                <w:ilvl w:val="0"/>
                <w:numId w:val="69"/>
              </w:numPr>
              <w:autoSpaceDE w:val="0"/>
              <w:autoSpaceDN w:val="0"/>
              <w:adjustRightInd w:val="0"/>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Výjimky pro festivaly: Prověření a posílení možností zvláštního režimu pro stánkový prodej v rámci jednorázových kulturních, sportovních či společenských akcí.</w:t>
            </w:r>
          </w:p>
          <w:p w14:paraId="0586A530" w14:textId="77777777" w:rsidR="000B4BD4" w:rsidRPr="0035187E" w:rsidRDefault="000B4BD4" w:rsidP="0035187E">
            <w:pPr>
              <w:autoSpaceDE w:val="0"/>
              <w:autoSpaceDN w:val="0"/>
              <w:adjustRightInd w:val="0"/>
              <w:jc w:val="both"/>
              <w:rPr>
                <w:rFonts w:ascii="Times New Roman" w:eastAsia="Calibri" w:hAnsi="Times New Roman" w:cs="Times New Roman"/>
                <w:bCs/>
                <w:sz w:val="20"/>
                <w:szCs w:val="20"/>
              </w:rPr>
            </w:pPr>
          </w:p>
          <w:p w14:paraId="4FF07542" w14:textId="161D8511" w:rsidR="000B4BD4" w:rsidRPr="0035187E" w:rsidRDefault="000B4BD4" w:rsidP="0035187E">
            <w:pPr>
              <w:autoSpaceDE w:val="0"/>
              <w:autoSpaceDN w:val="0"/>
              <w:adjustRightInd w:val="0"/>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Argumentaci pro tyto připomínky opíráme o standardy tuzemského i mezinárodního práva:</w:t>
            </w:r>
          </w:p>
          <w:p w14:paraId="56CF4E66"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Ústavní rámec: Čl. 26 odst. 1 Listiny základních práv a svobod zaručuje právo podnikat. Dle judikatury Ústavního soudu musí být jakékoliv omezení podnikání přiměřené sledovanému cíli. Pokud náklady na splnění evidenční povinnosti dosahují okolo 10 % tržeb (data FESTAS; především zajištění konektivity na akcích s často +50 000 návštěvníků), jedná se o nepřiměřenou zátěž ve srovnání s běžnými podnikateli (zlomek procenta u restaurací).</w:t>
            </w:r>
          </w:p>
          <w:p w14:paraId="69FF8EB2"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Proporcionalita: Cílem zákona dle § 1 odst. 2 je „</w:t>
            </w:r>
            <w:r w:rsidRPr="0035187E">
              <w:rPr>
                <w:rFonts w:ascii="Times New Roman" w:eastAsia="Calibri" w:hAnsi="Times New Roman" w:cs="Times New Roman"/>
                <w:bCs/>
                <w:i/>
                <w:iCs/>
                <w:sz w:val="20"/>
                <w:szCs w:val="20"/>
              </w:rPr>
              <w:t>efektivnější ověřování plnění daňových povinností</w:t>
            </w:r>
            <w:r w:rsidRPr="0035187E">
              <w:rPr>
                <w:rFonts w:ascii="Times New Roman" w:eastAsia="Calibri" w:hAnsi="Times New Roman" w:cs="Times New Roman"/>
                <w:bCs/>
                <w:sz w:val="20"/>
                <w:szCs w:val="20"/>
              </w:rPr>
              <w:t xml:space="preserve">“. V prostředí </w:t>
            </w:r>
            <w:proofErr w:type="spellStart"/>
            <w:r w:rsidRPr="0035187E">
              <w:rPr>
                <w:rFonts w:ascii="Times New Roman" w:eastAsia="Calibri" w:hAnsi="Times New Roman" w:cs="Times New Roman"/>
                <w:bCs/>
                <w:sz w:val="20"/>
                <w:szCs w:val="20"/>
              </w:rPr>
              <w:t>cashless</w:t>
            </w:r>
            <w:proofErr w:type="spellEnd"/>
            <w:r w:rsidRPr="0035187E">
              <w:rPr>
                <w:rFonts w:ascii="Times New Roman" w:eastAsia="Calibri" w:hAnsi="Times New Roman" w:cs="Times New Roman"/>
                <w:bCs/>
                <w:sz w:val="20"/>
                <w:szCs w:val="20"/>
              </w:rPr>
              <w:t xml:space="preserve"> festivalových systémů je tento cíl naplněn již samotnou povahou platební infrastruktury – každá transakce je digitálně zaznamenána s přesným časovým razítkem, identifikací prodejce a detailem nákupu. Cíle zákona lze tedy dosáhnout mírnějšími prostředky (prodloužené lhůty, pověření platforem, tzv. </w:t>
            </w:r>
            <w:proofErr w:type="spellStart"/>
            <w:r w:rsidRPr="0035187E">
              <w:rPr>
                <w:rFonts w:ascii="Times New Roman" w:eastAsia="Calibri" w:hAnsi="Times New Roman" w:cs="Times New Roman"/>
                <w:bCs/>
                <w:sz w:val="20"/>
                <w:szCs w:val="20"/>
              </w:rPr>
              <w:t>batch</w:t>
            </w:r>
            <w:proofErr w:type="spellEnd"/>
            <w:r w:rsidRPr="0035187E">
              <w:rPr>
                <w:rFonts w:ascii="Times New Roman" w:eastAsia="Calibri" w:hAnsi="Times New Roman" w:cs="Times New Roman"/>
                <w:bCs/>
                <w:sz w:val="20"/>
                <w:szCs w:val="20"/>
              </w:rPr>
              <w:t xml:space="preserve"> odesílání).</w:t>
            </w:r>
          </w:p>
          <w:p w14:paraId="0C12353C"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Evropský kontext: Důvodová zpráva v bodech 187–194 uvádí přehled evropských systémů evidence tržeb. Většina zemí EU aplikuje evidenci pouze na hotovostní platby nebo pouze na plátce DPH. Česká republika připravovanou regulací navrhuje nejširší záběr evidence v EU. Pokud jiné členské státy vyjímají specifické segmenty z evidence, je přiměřené, aby i ČR zohlednila specifika festivalového sektoru – a to zejména za situace, kdy bezhotovostní systémy zajišťují vyšší transparentnost než decentralizované hotovostní platby.</w:t>
            </w:r>
          </w:p>
          <w:p w14:paraId="3190E7DC"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 xml:space="preserve">Vítáme modernizaci evidence tržeb a zejména zrušení povinnosti automaticky vydávat účtenku. Předložené připomínky nemají za cíl obcházení evidenční povinnosti, nýbrž její přizpůsobení realitě moderních platebních technologií a specifickým podmínkám festivalového sektoru. Jsme přesvědčeni, že navrhované úpravy: </w:t>
            </w:r>
          </w:p>
          <w:p w14:paraId="1F1BAB15" w14:textId="77777777" w:rsidR="000B4BD4" w:rsidRPr="0035187E" w:rsidRDefault="000B4BD4" w:rsidP="0035187E">
            <w:pPr>
              <w:numPr>
                <w:ilvl w:val="0"/>
                <w:numId w:val="69"/>
              </w:num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 xml:space="preserve">neoslabují kontrolní funkci zákona, </w:t>
            </w:r>
          </w:p>
          <w:p w14:paraId="037EF509" w14:textId="77777777" w:rsidR="000B4BD4" w:rsidRPr="0035187E" w:rsidRDefault="000B4BD4" w:rsidP="0035187E">
            <w:pPr>
              <w:numPr>
                <w:ilvl w:val="0"/>
                <w:numId w:val="69"/>
              </w:num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 xml:space="preserve">snižují administrativní a finanční zátěž pro podnikatele ve festivalovém sektoru, </w:t>
            </w:r>
          </w:p>
          <w:p w14:paraId="388B1AC9" w14:textId="77777777" w:rsidR="000B4BD4" w:rsidRPr="0035187E" w:rsidRDefault="000B4BD4" w:rsidP="0035187E">
            <w:pPr>
              <w:numPr>
                <w:ilvl w:val="0"/>
                <w:numId w:val="69"/>
              </w:num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podporují digitalizaci a ekologické řešení v souladu s programovým prohlášením vlády,</w:t>
            </w:r>
          </w:p>
          <w:p w14:paraId="24824BFB" w14:textId="6CAB2E29" w:rsidR="000B4BD4" w:rsidRPr="0035187E" w:rsidRDefault="000B4BD4" w:rsidP="0035187E">
            <w:pPr>
              <w:numPr>
                <w:ilvl w:val="0"/>
                <w:numId w:val="69"/>
              </w:numPr>
              <w:tabs>
                <w:tab w:val="left" w:pos="567"/>
              </w:tabs>
              <w:jc w:val="both"/>
              <w:rPr>
                <w:rFonts w:ascii="Times New Roman" w:hAnsi="Times New Roman" w:cs="Times New Roman"/>
                <w:sz w:val="20"/>
                <w:szCs w:val="20"/>
              </w:rPr>
            </w:pPr>
            <w:r w:rsidRPr="0035187E">
              <w:rPr>
                <w:rFonts w:ascii="Times New Roman" w:eastAsia="Calibri" w:hAnsi="Times New Roman" w:cs="Times New Roman"/>
                <w:bCs/>
                <w:sz w:val="20"/>
                <w:szCs w:val="20"/>
              </w:rPr>
              <w:t xml:space="preserve">reflektují praktické zkušenosti z provozu bezhotovostních systémů na festivalech. </w:t>
            </w:r>
          </w:p>
        </w:tc>
        <w:tc>
          <w:tcPr>
            <w:tcW w:w="1453" w:type="pct"/>
            <w:tcBorders>
              <w:top w:val="single" w:sz="4" w:space="0" w:color="auto"/>
              <w:left w:val="single" w:sz="4" w:space="0" w:color="auto"/>
              <w:right w:val="single" w:sz="4" w:space="0" w:color="auto"/>
            </w:tcBorders>
            <w:shd w:val="clear" w:color="auto" w:fill="auto"/>
          </w:tcPr>
          <w:p w14:paraId="1F65AEF1" w14:textId="77777777"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Bere se na vědomí.</w:t>
            </w:r>
          </w:p>
          <w:p w14:paraId="35A99162" w14:textId="7140BD7C"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Viz vypořádání konkrétních připomínek souvisejících s danou oblastí.</w:t>
            </w:r>
          </w:p>
        </w:tc>
      </w:tr>
      <w:tr w:rsidR="0035187E" w:rsidRPr="0035187E" w14:paraId="6DDF10CA"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918B044" w14:textId="1417D43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40.</w:t>
            </w:r>
          </w:p>
        </w:tc>
        <w:tc>
          <w:tcPr>
            <w:tcW w:w="583" w:type="pct"/>
            <w:tcBorders>
              <w:top w:val="single" w:sz="4" w:space="0" w:color="auto"/>
              <w:left w:val="single" w:sz="4" w:space="0" w:color="auto"/>
              <w:right w:val="single" w:sz="4" w:space="0" w:color="auto"/>
            </w:tcBorders>
            <w:shd w:val="clear" w:color="auto" w:fill="auto"/>
          </w:tcPr>
          <w:p w14:paraId="332EE5A3" w14:textId="7135F69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292C7C40" w14:textId="7CC454E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3.</w:t>
            </w:r>
          </w:p>
        </w:tc>
        <w:tc>
          <w:tcPr>
            <w:tcW w:w="169" w:type="pct"/>
            <w:tcBorders>
              <w:top w:val="single" w:sz="4" w:space="0" w:color="auto"/>
              <w:left w:val="single" w:sz="4" w:space="0" w:color="auto"/>
              <w:right w:val="single" w:sz="4" w:space="0" w:color="auto"/>
            </w:tcBorders>
            <w:shd w:val="clear" w:color="auto" w:fill="auto"/>
          </w:tcPr>
          <w:p w14:paraId="2AA77B84" w14:textId="12F9F47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63A4FBD" w14:textId="1DBAFF61" w:rsidR="000B4BD4" w:rsidRPr="0035187E" w:rsidRDefault="000B4BD4" w:rsidP="0035187E">
            <w:pPr>
              <w:numPr>
                <w:ilvl w:val="0"/>
                <w:numId w:val="67"/>
              </w:numPr>
              <w:tabs>
                <w:tab w:val="left" w:pos="567"/>
              </w:tabs>
              <w:jc w:val="both"/>
              <w:rPr>
                <w:rFonts w:ascii="Times New Roman" w:hAnsi="Times New Roman" w:cs="Times New Roman"/>
                <w:sz w:val="20"/>
                <w:szCs w:val="20"/>
              </w:rPr>
            </w:pPr>
            <w:r w:rsidRPr="0035187E">
              <w:rPr>
                <w:rFonts w:ascii="Times New Roman" w:eastAsia="Calibri" w:hAnsi="Times New Roman" w:cs="Times New Roman"/>
                <w:bCs/>
                <w:sz w:val="20"/>
                <w:szCs w:val="20"/>
              </w:rPr>
              <w:t>V zájmu zajištění možnosti kontroly správnosti odeslaných dat je nutné a více než žádoucí, aby prodejce měl možnost získat report ze systému finanční správy v reálném čase.</w:t>
            </w:r>
          </w:p>
        </w:tc>
        <w:tc>
          <w:tcPr>
            <w:tcW w:w="1453" w:type="pct"/>
            <w:tcBorders>
              <w:top w:val="single" w:sz="4" w:space="0" w:color="auto"/>
              <w:left w:val="single" w:sz="4" w:space="0" w:color="auto"/>
              <w:right w:val="single" w:sz="4" w:space="0" w:color="auto"/>
            </w:tcBorders>
            <w:shd w:val="clear" w:color="auto" w:fill="auto"/>
          </w:tcPr>
          <w:p w14:paraId="0A48182F" w14:textId="58BE2B7A" w:rsidR="000B4BD4" w:rsidRPr="0035187E" w:rsidRDefault="00292478"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r w:rsidR="000B4BD4" w:rsidRPr="0035187E">
              <w:rPr>
                <w:rFonts w:ascii="Times New Roman" w:hAnsi="Times New Roman" w:cs="Times New Roman"/>
                <w:b/>
                <w:sz w:val="20"/>
                <w:szCs w:val="20"/>
              </w:rPr>
              <w:t>.</w:t>
            </w:r>
          </w:p>
          <w:p w14:paraId="36120F3B" w14:textId="4B29D273" w:rsidR="000B4BD4" w:rsidRPr="0035187E" w:rsidRDefault="00292478" w:rsidP="0035187E">
            <w:pPr>
              <w:jc w:val="both"/>
              <w:rPr>
                <w:rFonts w:ascii="Times New Roman" w:hAnsi="Times New Roman" w:cs="Times New Roman"/>
                <w:sz w:val="20"/>
                <w:szCs w:val="20"/>
              </w:rPr>
            </w:pPr>
            <w:r w:rsidRPr="0035187E">
              <w:rPr>
                <w:rFonts w:ascii="Times New Roman" w:hAnsi="Times New Roman" w:cs="Times New Roman"/>
                <w:sz w:val="20"/>
                <w:szCs w:val="20"/>
              </w:rPr>
              <w:t>S implementací uvedeného se počítá</w:t>
            </w:r>
            <w:r w:rsidR="000B4BD4" w:rsidRPr="0035187E">
              <w:rPr>
                <w:rFonts w:ascii="Times New Roman" w:hAnsi="Times New Roman" w:cs="Times New Roman"/>
                <w:sz w:val="20"/>
                <w:szCs w:val="20"/>
              </w:rPr>
              <w:t>.</w:t>
            </w:r>
          </w:p>
        </w:tc>
      </w:tr>
      <w:tr w:rsidR="0035187E" w:rsidRPr="0035187E" w14:paraId="29CAE9D6"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750A6F4" w14:textId="3E429F5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40.</w:t>
            </w:r>
          </w:p>
        </w:tc>
        <w:tc>
          <w:tcPr>
            <w:tcW w:w="583" w:type="pct"/>
            <w:tcBorders>
              <w:top w:val="single" w:sz="4" w:space="0" w:color="auto"/>
              <w:left w:val="single" w:sz="4" w:space="0" w:color="auto"/>
              <w:right w:val="single" w:sz="4" w:space="0" w:color="auto"/>
            </w:tcBorders>
            <w:shd w:val="clear" w:color="auto" w:fill="auto"/>
          </w:tcPr>
          <w:p w14:paraId="1C21C153" w14:textId="1CE73FA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56024918" w14:textId="220F128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w:t>
            </w:r>
          </w:p>
        </w:tc>
        <w:tc>
          <w:tcPr>
            <w:tcW w:w="169" w:type="pct"/>
            <w:tcBorders>
              <w:top w:val="single" w:sz="4" w:space="0" w:color="auto"/>
              <w:left w:val="single" w:sz="4" w:space="0" w:color="auto"/>
              <w:right w:val="single" w:sz="4" w:space="0" w:color="auto"/>
            </w:tcBorders>
            <w:shd w:val="clear" w:color="auto" w:fill="auto"/>
          </w:tcPr>
          <w:p w14:paraId="30BB038C" w14:textId="3747268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183E5EF" w14:textId="5E5B9806" w:rsidR="000B4BD4" w:rsidRPr="0035187E" w:rsidRDefault="000B4BD4" w:rsidP="0035187E">
            <w:pPr>
              <w:numPr>
                <w:ilvl w:val="0"/>
                <w:numId w:val="67"/>
              </w:numPr>
              <w:tabs>
                <w:tab w:val="left" w:pos="567"/>
              </w:tabs>
              <w:jc w:val="both"/>
              <w:rPr>
                <w:rFonts w:ascii="Times New Roman" w:hAnsi="Times New Roman" w:cs="Times New Roman"/>
                <w:sz w:val="20"/>
                <w:szCs w:val="20"/>
              </w:rPr>
            </w:pPr>
            <w:r w:rsidRPr="0035187E">
              <w:rPr>
                <w:rFonts w:ascii="Times New Roman" w:eastAsia="Calibri" w:hAnsi="Times New Roman" w:cs="Times New Roman"/>
                <w:bCs/>
                <w:sz w:val="20"/>
                <w:szCs w:val="20"/>
              </w:rPr>
              <w:t>V souvislosti s konáním jednorázových akcí je zásadní, aby v případě technických nebo jiných problémů bylo nastavení pokut přiměřené rozsahu prodeje na dané akci. V případě chyb na straně prodejce během prodeje na jednorázové akci by kontrola měla přistoupit k jasnému zhodnocení situace, proč k chybě došlo a jestli vznikla situací na akci (konektivita, přetížení systému apod.) nebo přímo z rozhodnutí prodejce.</w:t>
            </w:r>
          </w:p>
        </w:tc>
        <w:tc>
          <w:tcPr>
            <w:tcW w:w="1453" w:type="pct"/>
            <w:tcBorders>
              <w:top w:val="single" w:sz="4" w:space="0" w:color="auto"/>
              <w:left w:val="single" w:sz="4" w:space="0" w:color="auto"/>
              <w:right w:val="single" w:sz="4" w:space="0" w:color="auto"/>
            </w:tcBorders>
            <w:shd w:val="clear" w:color="auto" w:fill="auto"/>
          </w:tcPr>
          <w:p w14:paraId="0482E254" w14:textId="77777777"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t>Bere se na vědomí.</w:t>
            </w:r>
          </w:p>
          <w:p w14:paraId="0C18ADA9" w14:textId="2777D3EB"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Lze souhlasit s uvedenými východisky.</w:t>
            </w:r>
          </w:p>
        </w:tc>
      </w:tr>
      <w:tr w:rsidR="0035187E" w:rsidRPr="0035187E" w14:paraId="084F32A0"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8798E7B" w14:textId="6E81668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40.</w:t>
            </w:r>
          </w:p>
        </w:tc>
        <w:tc>
          <w:tcPr>
            <w:tcW w:w="583" w:type="pct"/>
            <w:tcBorders>
              <w:top w:val="single" w:sz="4" w:space="0" w:color="auto"/>
              <w:left w:val="single" w:sz="4" w:space="0" w:color="auto"/>
              <w:right w:val="single" w:sz="4" w:space="0" w:color="auto"/>
            </w:tcBorders>
            <w:shd w:val="clear" w:color="auto" w:fill="auto"/>
          </w:tcPr>
          <w:p w14:paraId="1A5BF96D" w14:textId="7546E46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557C7DEC" w14:textId="020AD46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5.</w:t>
            </w:r>
          </w:p>
        </w:tc>
        <w:tc>
          <w:tcPr>
            <w:tcW w:w="169" w:type="pct"/>
            <w:tcBorders>
              <w:top w:val="single" w:sz="4" w:space="0" w:color="auto"/>
              <w:left w:val="single" w:sz="4" w:space="0" w:color="auto"/>
              <w:right w:val="single" w:sz="4" w:space="0" w:color="auto"/>
            </w:tcBorders>
            <w:shd w:val="clear" w:color="auto" w:fill="auto"/>
          </w:tcPr>
          <w:p w14:paraId="23F7B0D6" w14:textId="7483F50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047BD02" w14:textId="77C0DBF6" w:rsidR="000B4BD4" w:rsidRPr="0035187E" w:rsidRDefault="000B4BD4" w:rsidP="0035187E">
            <w:pPr>
              <w:numPr>
                <w:ilvl w:val="0"/>
                <w:numId w:val="67"/>
              </w:numPr>
              <w:tabs>
                <w:tab w:val="left" w:pos="567"/>
              </w:tabs>
              <w:jc w:val="both"/>
              <w:rPr>
                <w:rFonts w:ascii="Times New Roman" w:hAnsi="Times New Roman" w:cs="Times New Roman"/>
                <w:sz w:val="20"/>
                <w:szCs w:val="20"/>
              </w:rPr>
            </w:pPr>
            <w:r w:rsidRPr="0035187E">
              <w:rPr>
                <w:rFonts w:ascii="Times New Roman" w:eastAsia="Calibri" w:hAnsi="Times New Roman" w:cs="Times New Roman"/>
                <w:sz w:val="20"/>
                <w:szCs w:val="20"/>
              </w:rPr>
              <w:t>HK ČR oceňuje snahu předkladatele eliminovat zátěž nejmenších podnikatelů a reflektovat například reálnou možnost kontroly evidence plateb za služby poskytované drobnými podnikateli v domácnostech jejich klientů. Předkladatel si je však jistě vědom, že stanovení pevného limitu ročních příjmů ve výši do 1 000 000 Kč pro možnost využití režimu EET OFF může v praxi vytvářet výrazný skokový efekt u podnikatelských subjektů nacházejících se v blízkosti této hranice. Subjekty, jejichž příjmy se pohybují těsně pod stanoveným limitem, mohou být motivovány k umělému udržování příjmů pod touto hranicí nebo k přizpůsobování struktury svého podnikání tak, aby nedošlo k jejímu překročení. Takové nastavení může vést k obcházení smyslu právní úpravy a současně vytvářet nerovné podmínky mezi podnikatelskými subjekty, jejichž ekonomická situace se liší pouze minimálně výší dosaženého příjmu. Navrhujeme proto zvážit flexibilnější úpravu nastavení tohoto limitu, případně mechanismu přechodu mezi jednotlivými režimy tak, aby se minimalizoval jeho skokový dopad a omezily potenciální motivace k obcházení právní úpravy.</w:t>
            </w:r>
          </w:p>
        </w:tc>
        <w:tc>
          <w:tcPr>
            <w:tcW w:w="1453" w:type="pct"/>
            <w:tcBorders>
              <w:top w:val="single" w:sz="4" w:space="0" w:color="auto"/>
              <w:left w:val="single" w:sz="4" w:space="0" w:color="auto"/>
              <w:right w:val="single" w:sz="4" w:space="0" w:color="auto"/>
            </w:tcBorders>
            <w:shd w:val="clear" w:color="auto" w:fill="auto"/>
          </w:tcPr>
          <w:p w14:paraId="0665B1DA" w14:textId="541A5CAA"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5AA611AF"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Zavedení konkrétního limitu z povahy věci bude vždy znamenat zmiňovaný skokový efekt. Jeho výhodou je však jednoznačnost a z toho vyvěrající právní jistota. Pokud by limit byl vyjádřen materiálně, vedlo by to v konečném důsledku k tomu, že by v metodické aplikační praxi stejně došlo k jeho stanovení. V daném případě, mj. i s přihlédnutím k tomu, že jde o výsledek diskuse vládní koalice, bylo upřednostněno explicitní vyjádření limitu v textu zákona.</w:t>
            </w:r>
          </w:p>
          <w:p w14:paraId="0B2AE992" w14:textId="4806AFD8" w:rsidR="002B7B42" w:rsidRPr="0035187E" w:rsidRDefault="002B7B42" w:rsidP="0035187E">
            <w:pPr>
              <w:jc w:val="both"/>
              <w:rPr>
                <w:rFonts w:ascii="Times New Roman" w:hAnsi="Times New Roman" w:cs="Times New Roman"/>
                <w:sz w:val="20"/>
                <w:szCs w:val="20"/>
              </w:rPr>
            </w:pPr>
          </w:p>
        </w:tc>
      </w:tr>
      <w:tr w:rsidR="0035187E" w:rsidRPr="0035187E" w14:paraId="678D7C4E"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155DA85" w14:textId="3BB4B5B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40.</w:t>
            </w:r>
          </w:p>
        </w:tc>
        <w:tc>
          <w:tcPr>
            <w:tcW w:w="583" w:type="pct"/>
            <w:tcBorders>
              <w:top w:val="single" w:sz="4" w:space="0" w:color="auto"/>
              <w:left w:val="single" w:sz="4" w:space="0" w:color="auto"/>
              <w:right w:val="single" w:sz="4" w:space="0" w:color="auto"/>
            </w:tcBorders>
            <w:shd w:val="clear" w:color="auto" w:fill="auto"/>
          </w:tcPr>
          <w:p w14:paraId="35AD1B93" w14:textId="1EABB17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4D07A886" w14:textId="290C27E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6.</w:t>
            </w:r>
          </w:p>
        </w:tc>
        <w:tc>
          <w:tcPr>
            <w:tcW w:w="169" w:type="pct"/>
            <w:tcBorders>
              <w:top w:val="single" w:sz="4" w:space="0" w:color="auto"/>
              <w:left w:val="single" w:sz="4" w:space="0" w:color="auto"/>
              <w:right w:val="single" w:sz="4" w:space="0" w:color="auto"/>
            </w:tcBorders>
            <w:shd w:val="clear" w:color="auto" w:fill="auto"/>
          </w:tcPr>
          <w:p w14:paraId="39D8F984" w14:textId="52633C2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3E918D0" w14:textId="5976870B" w:rsidR="000B4BD4" w:rsidRPr="0035187E" w:rsidRDefault="000B4BD4" w:rsidP="0035187E">
            <w:pPr>
              <w:numPr>
                <w:ilvl w:val="0"/>
                <w:numId w:val="67"/>
              </w:numPr>
              <w:tabs>
                <w:tab w:val="left" w:pos="567"/>
              </w:tabs>
              <w:jc w:val="both"/>
              <w:rPr>
                <w:rFonts w:ascii="Times New Roman" w:hAnsi="Times New Roman" w:cs="Times New Roman"/>
                <w:sz w:val="20"/>
                <w:szCs w:val="20"/>
              </w:rPr>
            </w:pPr>
            <w:r w:rsidRPr="0035187E">
              <w:rPr>
                <w:rFonts w:ascii="Times New Roman" w:eastAsia="Calibri" w:hAnsi="Times New Roman" w:cs="Times New Roman"/>
                <w:sz w:val="20"/>
                <w:szCs w:val="20"/>
              </w:rPr>
              <w:t>Považujeme za důležité zdůraznit význam efektivní kontrolní činnosti ze strany příslušných orgánů státní správy. Elektronická evidence tržeb může být účinným nástrojem pouze za předpokladu, že bude doprovázena odpovídajícím proporcionálním výkonem kontrolních pravomocí, který je důležitým předpokladem pro naplnění cílů navrhované právní úpravy.</w:t>
            </w:r>
          </w:p>
        </w:tc>
        <w:tc>
          <w:tcPr>
            <w:tcW w:w="1453" w:type="pct"/>
            <w:tcBorders>
              <w:top w:val="single" w:sz="4" w:space="0" w:color="auto"/>
              <w:left w:val="single" w:sz="4" w:space="0" w:color="auto"/>
              <w:right w:val="single" w:sz="4" w:space="0" w:color="auto"/>
            </w:tcBorders>
            <w:shd w:val="clear" w:color="auto" w:fill="auto"/>
          </w:tcPr>
          <w:p w14:paraId="5B479E58" w14:textId="77777777"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t>Bere se na vědomí.</w:t>
            </w:r>
          </w:p>
          <w:p w14:paraId="3069D7ED" w14:textId="6592815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Lze souhlasit s uvedenými východisky.</w:t>
            </w:r>
          </w:p>
        </w:tc>
      </w:tr>
      <w:tr w:rsidR="0035187E" w:rsidRPr="0035187E" w14:paraId="4DDA531E"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A9E8EC9" w14:textId="3BC37AA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40.</w:t>
            </w:r>
          </w:p>
        </w:tc>
        <w:tc>
          <w:tcPr>
            <w:tcW w:w="583" w:type="pct"/>
            <w:tcBorders>
              <w:top w:val="single" w:sz="4" w:space="0" w:color="auto"/>
              <w:left w:val="single" w:sz="4" w:space="0" w:color="auto"/>
              <w:right w:val="single" w:sz="4" w:space="0" w:color="auto"/>
            </w:tcBorders>
            <w:shd w:val="clear" w:color="auto" w:fill="auto"/>
          </w:tcPr>
          <w:p w14:paraId="4FD87814" w14:textId="5545CF8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3E8386E9" w14:textId="176A4CE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7.</w:t>
            </w:r>
          </w:p>
        </w:tc>
        <w:tc>
          <w:tcPr>
            <w:tcW w:w="169" w:type="pct"/>
            <w:tcBorders>
              <w:top w:val="single" w:sz="4" w:space="0" w:color="auto"/>
              <w:left w:val="single" w:sz="4" w:space="0" w:color="auto"/>
              <w:right w:val="single" w:sz="4" w:space="0" w:color="auto"/>
            </w:tcBorders>
            <w:shd w:val="clear" w:color="auto" w:fill="auto"/>
          </w:tcPr>
          <w:p w14:paraId="56DB64D8" w14:textId="641413C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39B8A842" w14:textId="1281CAF0" w:rsidR="000B4BD4" w:rsidRPr="0035187E" w:rsidRDefault="000B4BD4" w:rsidP="0035187E">
            <w:pPr>
              <w:numPr>
                <w:ilvl w:val="0"/>
                <w:numId w:val="67"/>
              </w:numPr>
              <w:tabs>
                <w:tab w:val="left" w:pos="567"/>
              </w:tabs>
              <w:jc w:val="both"/>
              <w:rPr>
                <w:rFonts w:ascii="Times New Roman" w:hAnsi="Times New Roman" w:cs="Times New Roman"/>
                <w:sz w:val="20"/>
                <w:szCs w:val="20"/>
              </w:rPr>
            </w:pPr>
            <w:r w:rsidRPr="0035187E">
              <w:rPr>
                <w:rFonts w:ascii="Times New Roman" w:eastAsia="Calibri" w:hAnsi="Times New Roman" w:cs="Times New Roman"/>
                <w:sz w:val="20"/>
                <w:szCs w:val="20"/>
              </w:rPr>
              <w:t xml:space="preserve">Z návrhu i dokumentace RIA vyplývá, že EET 2.0 bude založena na novém technickém řešení a modernizovaném datovém modelu. To má přímý dopad nejen na podnikatele v gastronomii, ale i na jejich systémové partnery a dodavatele (např. pivovary, distributory a poskytovatele pokladních systémů). Žádáme proto, aby mezi zveřejněním finální technické specifikace a povinným zahájením ostrého provozu byla stanovena dostatečně dlouhá lhůta, minimálně 12 měsíců pro vývoj, implementaci a testování, a to včetně pilotního provozu v dobrovolném režimu. </w:t>
            </w:r>
            <w:r w:rsidRPr="0035187E">
              <w:rPr>
                <w:rFonts w:ascii="Times New Roman" w:eastAsia="Calibri" w:hAnsi="Times New Roman" w:cs="Times New Roman"/>
                <w:bCs/>
                <w:sz w:val="20"/>
                <w:szCs w:val="20"/>
              </w:rPr>
              <w:t>Tento čas je nezbytný pro úpravy softwaru, napojení na datové struktury a ověření kompatibility napříč celým trhem. Bez toho nelze garantovat plynulý provoz ani hladké zavedení nové povinnosti v tisících provozoven.</w:t>
            </w:r>
          </w:p>
        </w:tc>
        <w:tc>
          <w:tcPr>
            <w:tcW w:w="1453" w:type="pct"/>
            <w:tcBorders>
              <w:top w:val="single" w:sz="4" w:space="0" w:color="auto"/>
              <w:left w:val="single" w:sz="4" w:space="0" w:color="auto"/>
              <w:right w:val="single" w:sz="4" w:space="0" w:color="auto"/>
            </w:tcBorders>
            <w:shd w:val="clear" w:color="auto" w:fill="auto"/>
          </w:tcPr>
          <w:p w14:paraId="46BB3068" w14:textId="77777777"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163CCFBD"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Včasná účinnost regulace zavádějící evidenci tržeb je ze strany vlády dlouhodobě deklarována a návrh zákona proto při nastavení účinnosti vychází </w:t>
            </w:r>
            <w:proofErr w:type="gramStart"/>
            <w:r w:rsidRPr="0035187E">
              <w:rPr>
                <w:rFonts w:ascii="Times New Roman" w:hAnsi="Times New Roman" w:cs="Times New Roman"/>
                <w:sz w:val="20"/>
                <w:szCs w:val="20"/>
              </w:rPr>
              <w:t>z</w:t>
            </w:r>
            <w:proofErr w:type="gramEnd"/>
            <w:r w:rsidRPr="0035187E">
              <w:rPr>
                <w:rFonts w:ascii="Times New Roman" w:hAnsi="Times New Roman" w:cs="Times New Roman"/>
                <w:sz w:val="20"/>
                <w:szCs w:val="20"/>
              </w:rPr>
              <w:t> vládou určeného data 1. ledna 2027.</w:t>
            </w:r>
          </w:p>
          <w:p w14:paraId="14AD0E33" w14:textId="5EE85913"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Nicméně s včasným zveřejněním technické specifikace obsahující podrobný popis a související metodikou se počítá. Na červenec roku 2026 se připravuje spuštění tzv. </w:t>
            </w:r>
            <w:proofErr w:type="spellStart"/>
            <w:r w:rsidRPr="0035187E">
              <w:rPr>
                <w:rFonts w:ascii="Times New Roman" w:hAnsi="Times New Roman" w:cs="Times New Roman"/>
                <w:sz w:val="20"/>
                <w:szCs w:val="20"/>
              </w:rPr>
              <w:t>playground</w:t>
            </w:r>
            <w:proofErr w:type="spellEnd"/>
            <w:r w:rsidRPr="0035187E">
              <w:rPr>
                <w:rFonts w:ascii="Times New Roman" w:hAnsi="Times New Roman" w:cs="Times New Roman"/>
                <w:sz w:val="20"/>
                <w:szCs w:val="20"/>
              </w:rPr>
              <w:t xml:space="preserve"> jako nástroje pro otestování integrace na EET 2.0. Tomuto spuštění by mělo s dostatečným předstihem předcházet zveřejnění technické specifikace EET 2.0. Počítá se i s postupným zpřístupňováním komplexní metodiky zpracovávané v součinnosti s potřebami aplikační praxe, a to včetně řešení specifických obchodních modelů apod. Je předpokládán též pilotní provoz, v </w:t>
            </w:r>
            <w:proofErr w:type="gramStart"/>
            <w:r w:rsidRPr="0035187E">
              <w:rPr>
                <w:rFonts w:ascii="Times New Roman" w:hAnsi="Times New Roman" w:cs="Times New Roman"/>
                <w:sz w:val="20"/>
                <w:szCs w:val="20"/>
              </w:rPr>
              <w:t>rámci</w:t>
            </w:r>
            <w:proofErr w:type="gramEnd"/>
            <w:r w:rsidRPr="0035187E">
              <w:rPr>
                <w:rFonts w:ascii="Times New Roman" w:hAnsi="Times New Roman" w:cs="Times New Roman"/>
                <w:sz w:val="20"/>
                <w:szCs w:val="20"/>
              </w:rPr>
              <w:t xml:space="preserve"> něhož v počátcích účinnosti regulace bude ze strany finanční správy upřednostněna edukace a podpora před kontrolní činností.</w:t>
            </w:r>
          </w:p>
          <w:p w14:paraId="12AE1C80" w14:textId="77777777" w:rsidR="0091048A" w:rsidRPr="0035187E" w:rsidRDefault="0091048A" w:rsidP="0035187E">
            <w:pPr>
              <w:jc w:val="both"/>
              <w:rPr>
                <w:rFonts w:ascii="Times New Roman" w:hAnsi="Times New Roman" w:cs="Times New Roman"/>
                <w:sz w:val="20"/>
                <w:szCs w:val="20"/>
              </w:rPr>
            </w:pPr>
          </w:p>
          <w:p w14:paraId="7C1BB421" w14:textId="62AC37AA" w:rsidR="00292478" w:rsidRPr="0035187E" w:rsidRDefault="00292478" w:rsidP="0035187E">
            <w:pPr>
              <w:jc w:val="both"/>
              <w:rPr>
                <w:rFonts w:ascii="Times New Roman" w:hAnsi="Times New Roman" w:cs="Times New Roman"/>
                <w:i/>
                <w:sz w:val="20"/>
                <w:szCs w:val="20"/>
              </w:rPr>
            </w:pPr>
            <w:r w:rsidRPr="0035187E">
              <w:rPr>
                <w:rFonts w:ascii="Times New Roman" w:hAnsi="Times New Roman" w:cs="Times New Roman"/>
                <w:i/>
                <w:sz w:val="20"/>
                <w:szCs w:val="20"/>
              </w:rPr>
              <w:t>V rámci vypořádání připomínky byl potvrzen zájem na oboustranné spolupráci</w:t>
            </w:r>
            <w:r w:rsidR="0091048A" w:rsidRPr="0035187E">
              <w:rPr>
                <w:rFonts w:ascii="Times New Roman" w:hAnsi="Times New Roman" w:cs="Times New Roman"/>
                <w:i/>
                <w:sz w:val="20"/>
                <w:szCs w:val="20"/>
              </w:rPr>
              <w:t xml:space="preserve"> v této oblasti.</w:t>
            </w:r>
          </w:p>
        </w:tc>
      </w:tr>
      <w:tr w:rsidR="0035187E" w:rsidRPr="0035187E" w14:paraId="7F9C0CC1"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4BB38CED" w14:textId="723867D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40.</w:t>
            </w:r>
          </w:p>
        </w:tc>
        <w:tc>
          <w:tcPr>
            <w:tcW w:w="583" w:type="pct"/>
            <w:tcBorders>
              <w:top w:val="single" w:sz="4" w:space="0" w:color="auto"/>
              <w:left w:val="single" w:sz="4" w:space="0" w:color="auto"/>
              <w:right w:val="single" w:sz="4" w:space="0" w:color="auto"/>
            </w:tcBorders>
            <w:shd w:val="clear" w:color="auto" w:fill="auto"/>
          </w:tcPr>
          <w:p w14:paraId="42323092" w14:textId="78F429C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1A7E2E07" w14:textId="06204FB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8.</w:t>
            </w:r>
          </w:p>
        </w:tc>
        <w:tc>
          <w:tcPr>
            <w:tcW w:w="169" w:type="pct"/>
            <w:tcBorders>
              <w:top w:val="single" w:sz="4" w:space="0" w:color="auto"/>
              <w:left w:val="single" w:sz="4" w:space="0" w:color="auto"/>
              <w:right w:val="single" w:sz="4" w:space="0" w:color="auto"/>
            </w:tcBorders>
            <w:shd w:val="clear" w:color="auto" w:fill="auto"/>
          </w:tcPr>
          <w:p w14:paraId="75B885FA" w14:textId="209DF9D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65DC3AB" w14:textId="77777777" w:rsidR="000B4BD4" w:rsidRPr="0035187E" w:rsidRDefault="000B4BD4" w:rsidP="0035187E">
            <w:pPr>
              <w:numPr>
                <w:ilvl w:val="0"/>
                <w:numId w:val="67"/>
              </w:numPr>
              <w:tabs>
                <w:tab w:val="left" w:pos="567"/>
              </w:tabs>
              <w:jc w:val="both"/>
              <w:rPr>
                <w:rFonts w:ascii="Times New Roman" w:eastAsia="Calibri" w:hAnsi="Times New Roman" w:cs="Times New Roman"/>
                <w:sz w:val="20"/>
                <w:szCs w:val="20"/>
              </w:rPr>
            </w:pPr>
            <w:r w:rsidRPr="0035187E">
              <w:rPr>
                <w:rFonts w:ascii="Times New Roman" w:eastAsia="Calibri" w:hAnsi="Times New Roman" w:cs="Times New Roman"/>
                <w:sz w:val="20"/>
                <w:szCs w:val="20"/>
              </w:rPr>
              <w:t>Návrh deklaruje snížení administrativní zátěže oproti původní EET 1.0, nicméně v praxi je zásadní, aby:</w:t>
            </w:r>
          </w:p>
          <w:p w14:paraId="36285BE7" w14:textId="77777777" w:rsidR="000B4BD4" w:rsidRPr="0035187E" w:rsidRDefault="000B4BD4" w:rsidP="0035187E">
            <w:pPr>
              <w:numPr>
                <w:ilvl w:val="0"/>
                <w:numId w:val="69"/>
              </w:num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nové řešení nevyžadovalo úpravy již fungujících systémů, které dnes používají jak dodavatelé, tak odběratelé,</w:t>
            </w:r>
          </w:p>
          <w:p w14:paraId="455A6C28" w14:textId="77777777" w:rsidR="000B4BD4" w:rsidRPr="0035187E" w:rsidRDefault="000B4BD4" w:rsidP="0035187E">
            <w:pPr>
              <w:numPr>
                <w:ilvl w:val="0"/>
                <w:numId w:val="69"/>
              </w:num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nebylo nutné provádět dodatečné investice do pokladního hardwaru nebo konektivity, zejména u malých hospod a venkovských provozoven, čímž bude zachován princip proporcionality a ochrany drobných podnikatelů,</w:t>
            </w:r>
          </w:p>
          <w:p w14:paraId="38F4200F" w14:textId="77777777" w:rsidR="000B4BD4" w:rsidRPr="0035187E" w:rsidRDefault="000B4BD4" w:rsidP="0035187E">
            <w:pPr>
              <w:numPr>
                <w:ilvl w:val="0"/>
                <w:numId w:val="69"/>
              </w:num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evidenční povinnost byla formulována jednoduše, jednoznačně a bez nutnosti komplikovaného odborného posuzování jednotlivých situací.</w:t>
            </w:r>
          </w:p>
          <w:p w14:paraId="42F8B3F1" w14:textId="21FEB1AA" w:rsidR="000B4BD4" w:rsidRPr="0035187E" w:rsidRDefault="000B4BD4" w:rsidP="0035187E">
            <w:pPr>
              <w:tabs>
                <w:tab w:val="left" w:pos="567"/>
              </w:tabs>
              <w:jc w:val="both"/>
              <w:rPr>
                <w:rFonts w:ascii="Times New Roman" w:hAnsi="Times New Roman" w:cs="Times New Roman"/>
                <w:sz w:val="20"/>
                <w:szCs w:val="20"/>
              </w:rPr>
            </w:pPr>
            <w:r w:rsidRPr="0035187E">
              <w:rPr>
                <w:rFonts w:ascii="Times New Roman" w:eastAsia="Calibri" w:hAnsi="Times New Roman" w:cs="Times New Roman"/>
                <w:sz w:val="20"/>
                <w:szCs w:val="20"/>
              </w:rPr>
              <w:t>Zejména v sektoru gastronomie hrají roli desítky různých typů pokladních a skladových systémů. Každá dodatečná úprava znamená náklady, které se přenášejí celým dodavatelským řetězcem.</w:t>
            </w:r>
          </w:p>
        </w:tc>
        <w:tc>
          <w:tcPr>
            <w:tcW w:w="1453" w:type="pct"/>
            <w:tcBorders>
              <w:top w:val="single" w:sz="4" w:space="0" w:color="auto"/>
              <w:left w:val="single" w:sz="4" w:space="0" w:color="auto"/>
              <w:right w:val="single" w:sz="4" w:space="0" w:color="auto"/>
            </w:tcBorders>
            <w:shd w:val="clear" w:color="auto" w:fill="auto"/>
          </w:tcPr>
          <w:p w14:paraId="78B1F7BD" w14:textId="77777777"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t>Bere se na vědomí.</w:t>
            </w:r>
          </w:p>
          <w:p w14:paraId="5E79FCED"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Předkladatel vychází z obdobných předpokladů, které jsou zmíněny v textu připomínky. Obecně však platí, že jednotlivá východiska nelze naplnit vždy v maximální míře, neboť by došlo k jejich vzájemnému popření. Je proto nutné vždy hledat rovnováhu mezi jednotlivými hodnotami.</w:t>
            </w:r>
          </w:p>
          <w:p w14:paraId="5A1C0296" w14:textId="08E90643"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Např. garance zachování původního řešení nemůže vést k rezignaci na modernizaci a zjednodušení systému.</w:t>
            </w:r>
          </w:p>
        </w:tc>
      </w:tr>
      <w:tr w:rsidR="0035187E" w:rsidRPr="0035187E" w14:paraId="61C6A8E6" w14:textId="77777777" w:rsidTr="0035187E">
        <w:trPr>
          <w:trHeight w:val="44"/>
        </w:trPr>
        <w:tc>
          <w:tcPr>
            <w:tcW w:w="227" w:type="pct"/>
            <w:tcBorders>
              <w:top w:val="single" w:sz="4" w:space="0" w:color="auto"/>
              <w:left w:val="single" w:sz="4" w:space="0" w:color="auto"/>
              <w:right w:val="single" w:sz="4" w:space="0" w:color="auto"/>
            </w:tcBorders>
            <w:shd w:val="clear" w:color="auto" w:fill="auto"/>
          </w:tcPr>
          <w:p w14:paraId="20A24745" w14:textId="49F3713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40.</w:t>
            </w:r>
          </w:p>
        </w:tc>
        <w:tc>
          <w:tcPr>
            <w:tcW w:w="583" w:type="pct"/>
            <w:tcBorders>
              <w:top w:val="single" w:sz="4" w:space="0" w:color="auto"/>
              <w:left w:val="single" w:sz="4" w:space="0" w:color="auto"/>
              <w:right w:val="single" w:sz="4" w:space="0" w:color="auto"/>
            </w:tcBorders>
            <w:shd w:val="clear" w:color="auto" w:fill="auto"/>
          </w:tcPr>
          <w:p w14:paraId="0C94DEFD" w14:textId="1B4B0E3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463B36DF" w14:textId="08F7591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9.</w:t>
            </w:r>
          </w:p>
        </w:tc>
        <w:tc>
          <w:tcPr>
            <w:tcW w:w="169" w:type="pct"/>
            <w:tcBorders>
              <w:top w:val="single" w:sz="4" w:space="0" w:color="auto"/>
              <w:left w:val="single" w:sz="4" w:space="0" w:color="auto"/>
              <w:right w:val="single" w:sz="4" w:space="0" w:color="auto"/>
            </w:tcBorders>
            <w:shd w:val="clear" w:color="auto" w:fill="auto"/>
          </w:tcPr>
          <w:p w14:paraId="68B4F43B" w14:textId="1421D6C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5926C0E" w14:textId="77777777" w:rsidR="000B4BD4" w:rsidRPr="0035187E" w:rsidRDefault="000B4BD4" w:rsidP="0035187E">
            <w:pPr>
              <w:numPr>
                <w:ilvl w:val="0"/>
                <w:numId w:val="67"/>
              </w:numPr>
              <w:tabs>
                <w:tab w:val="left" w:pos="567"/>
              </w:tabs>
              <w:jc w:val="both"/>
              <w:rPr>
                <w:rFonts w:ascii="Times New Roman" w:eastAsia="Calibri" w:hAnsi="Times New Roman" w:cs="Times New Roman"/>
                <w:sz w:val="20"/>
                <w:szCs w:val="20"/>
              </w:rPr>
            </w:pPr>
            <w:r w:rsidRPr="0035187E">
              <w:rPr>
                <w:rFonts w:ascii="Times New Roman" w:eastAsia="Calibri" w:hAnsi="Times New Roman" w:cs="Times New Roman"/>
                <w:sz w:val="20"/>
                <w:szCs w:val="20"/>
              </w:rPr>
              <w:t>V zájmu hladkého zavedení systému evidence tržeb považujeme za zásadní jasnou a včasnou komunikaci změn. Pro efektivní zavedení systému bude klíčové:</w:t>
            </w:r>
          </w:p>
          <w:p w14:paraId="0D485D62" w14:textId="77777777" w:rsidR="000B4BD4" w:rsidRPr="0035187E" w:rsidRDefault="000B4BD4" w:rsidP="0035187E">
            <w:pPr>
              <w:numPr>
                <w:ilvl w:val="0"/>
                <w:numId w:val="69"/>
              </w:num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včasné zveřejnění metodik a technických standardů,</w:t>
            </w:r>
          </w:p>
          <w:p w14:paraId="2C333BAA" w14:textId="77777777" w:rsidR="000B4BD4" w:rsidRPr="0035187E" w:rsidRDefault="000B4BD4" w:rsidP="0035187E">
            <w:pPr>
              <w:numPr>
                <w:ilvl w:val="0"/>
                <w:numId w:val="69"/>
              </w:num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jednoznačné vymezení povinností u specifických transakcí běžných v gastronomii (vratné obaly, zálohy, konsignační sklady, bonusové mechanismy, akce v místě prodeje apod.) bez nutností hledání specifikací ve větším množství podzákonných předpisů, metodik a technických specifikací,</w:t>
            </w:r>
          </w:p>
          <w:p w14:paraId="010A78DE" w14:textId="1AC23EFD" w:rsidR="000B4BD4" w:rsidRPr="0035187E" w:rsidRDefault="000B4BD4" w:rsidP="0035187E">
            <w:pPr>
              <w:numPr>
                <w:ilvl w:val="0"/>
                <w:numId w:val="69"/>
              </w:numPr>
              <w:tabs>
                <w:tab w:val="left" w:pos="567"/>
              </w:tabs>
              <w:jc w:val="both"/>
              <w:rPr>
                <w:rFonts w:ascii="Times New Roman" w:hAnsi="Times New Roman" w:cs="Times New Roman"/>
                <w:sz w:val="20"/>
                <w:szCs w:val="20"/>
              </w:rPr>
            </w:pPr>
            <w:r w:rsidRPr="0035187E">
              <w:rPr>
                <w:rFonts w:ascii="Times New Roman" w:eastAsia="Calibri" w:hAnsi="Times New Roman" w:cs="Times New Roman"/>
                <w:bCs/>
                <w:sz w:val="20"/>
                <w:szCs w:val="20"/>
              </w:rPr>
              <w:t>průběžné konzultace s výrobci a dodavateli jako významnou částí segmentu HORECA, aby se předešlo nechtěným negativním dopadům do obchodních modelů.</w:t>
            </w:r>
          </w:p>
        </w:tc>
        <w:tc>
          <w:tcPr>
            <w:tcW w:w="1453" w:type="pct"/>
            <w:tcBorders>
              <w:top w:val="single" w:sz="4" w:space="0" w:color="auto"/>
              <w:left w:val="single" w:sz="4" w:space="0" w:color="auto"/>
              <w:right w:val="single" w:sz="4" w:space="0" w:color="auto"/>
            </w:tcBorders>
            <w:shd w:val="clear" w:color="auto" w:fill="auto"/>
          </w:tcPr>
          <w:p w14:paraId="7F3FBE81" w14:textId="77777777"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t>Bere se na vědomí.</w:t>
            </w:r>
          </w:p>
          <w:p w14:paraId="09E4462C" w14:textId="77205103"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Lze souhlasit s uvedenými východisky.</w:t>
            </w:r>
          </w:p>
          <w:p w14:paraId="2DD0DDE5" w14:textId="77777777" w:rsidR="0091048A" w:rsidRPr="0035187E" w:rsidRDefault="0091048A" w:rsidP="0035187E">
            <w:pPr>
              <w:jc w:val="both"/>
              <w:rPr>
                <w:rFonts w:ascii="Times New Roman" w:hAnsi="Times New Roman" w:cs="Times New Roman"/>
                <w:sz w:val="20"/>
                <w:szCs w:val="20"/>
              </w:rPr>
            </w:pPr>
          </w:p>
          <w:p w14:paraId="09CB92AD" w14:textId="62E3B74F" w:rsidR="0091048A" w:rsidRPr="0035187E" w:rsidRDefault="0091048A" w:rsidP="0035187E">
            <w:pPr>
              <w:jc w:val="both"/>
              <w:rPr>
                <w:rFonts w:ascii="Times New Roman" w:hAnsi="Times New Roman" w:cs="Times New Roman"/>
                <w:sz w:val="20"/>
                <w:szCs w:val="20"/>
              </w:rPr>
            </w:pPr>
            <w:r w:rsidRPr="0035187E">
              <w:rPr>
                <w:rFonts w:ascii="Times New Roman" w:hAnsi="Times New Roman" w:cs="Times New Roman"/>
                <w:i/>
                <w:sz w:val="20"/>
                <w:szCs w:val="20"/>
              </w:rPr>
              <w:t>V rámci vypořádání připomínky byl potvrzen zájem na oboustranné spolupráci v této oblasti.</w:t>
            </w:r>
          </w:p>
        </w:tc>
      </w:tr>
      <w:tr w:rsidR="0035187E" w:rsidRPr="0035187E" w14:paraId="014646FE"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D4A71C9" w14:textId="296C450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40.</w:t>
            </w:r>
          </w:p>
        </w:tc>
        <w:tc>
          <w:tcPr>
            <w:tcW w:w="583" w:type="pct"/>
            <w:tcBorders>
              <w:top w:val="single" w:sz="4" w:space="0" w:color="auto"/>
              <w:left w:val="single" w:sz="4" w:space="0" w:color="auto"/>
              <w:right w:val="single" w:sz="4" w:space="0" w:color="auto"/>
            </w:tcBorders>
            <w:shd w:val="clear" w:color="auto" w:fill="auto"/>
          </w:tcPr>
          <w:p w14:paraId="4BFBEF4E" w14:textId="39A094C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1B186186" w14:textId="6B1E728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10.</w:t>
            </w:r>
          </w:p>
        </w:tc>
        <w:tc>
          <w:tcPr>
            <w:tcW w:w="169" w:type="pct"/>
            <w:tcBorders>
              <w:top w:val="single" w:sz="4" w:space="0" w:color="auto"/>
              <w:left w:val="single" w:sz="4" w:space="0" w:color="auto"/>
              <w:right w:val="single" w:sz="4" w:space="0" w:color="auto"/>
            </w:tcBorders>
            <w:shd w:val="clear" w:color="auto" w:fill="auto"/>
          </w:tcPr>
          <w:p w14:paraId="11621186" w14:textId="0A1D8B5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F4E32EF" w14:textId="77777777" w:rsidR="000B4BD4" w:rsidRPr="0035187E" w:rsidRDefault="000B4BD4" w:rsidP="0035187E">
            <w:pPr>
              <w:numPr>
                <w:ilvl w:val="0"/>
                <w:numId w:val="67"/>
              </w:numPr>
              <w:tabs>
                <w:tab w:val="left" w:pos="567"/>
              </w:tabs>
              <w:jc w:val="both"/>
              <w:rPr>
                <w:rFonts w:ascii="Times New Roman" w:eastAsia="Calibri" w:hAnsi="Times New Roman" w:cs="Times New Roman"/>
                <w:sz w:val="20"/>
                <w:szCs w:val="20"/>
              </w:rPr>
            </w:pPr>
            <w:r w:rsidRPr="0035187E">
              <w:rPr>
                <w:rFonts w:ascii="Times New Roman" w:eastAsia="Calibri" w:hAnsi="Times New Roman" w:cs="Times New Roman"/>
                <w:sz w:val="20"/>
                <w:szCs w:val="20"/>
              </w:rPr>
              <w:t>Dodavatelé i odběratelé pracují v těsném obchodním a logistickém propojení – jakákoli změna na straně koncových odběratelů se promítá např. do:</w:t>
            </w:r>
          </w:p>
          <w:p w14:paraId="7604F987" w14:textId="77777777" w:rsidR="000B4BD4" w:rsidRPr="0035187E" w:rsidRDefault="000B4BD4" w:rsidP="0035187E">
            <w:pPr>
              <w:numPr>
                <w:ilvl w:val="0"/>
                <w:numId w:val="69"/>
              </w:num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způsobu fakturace,</w:t>
            </w:r>
          </w:p>
          <w:p w14:paraId="37E59DAA" w14:textId="77777777" w:rsidR="000B4BD4" w:rsidRPr="0035187E" w:rsidRDefault="000B4BD4" w:rsidP="0035187E">
            <w:pPr>
              <w:numPr>
                <w:ilvl w:val="0"/>
                <w:numId w:val="69"/>
              </w:num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provozu výčepních zařízení,</w:t>
            </w:r>
          </w:p>
          <w:p w14:paraId="7EDE52B4" w14:textId="77777777" w:rsidR="000B4BD4" w:rsidRPr="0035187E" w:rsidRDefault="000B4BD4" w:rsidP="0035187E">
            <w:pPr>
              <w:numPr>
                <w:ilvl w:val="0"/>
                <w:numId w:val="69"/>
              </w:num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administrace vratných obalů,</w:t>
            </w:r>
          </w:p>
          <w:p w14:paraId="3217BC53" w14:textId="77777777" w:rsidR="000B4BD4" w:rsidRPr="0035187E" w:rsidRDefault="000B4BD4" w:rsidP="0035187E">
            <w:pPr>
              <w:numPr>
                <w:ilvl w:val="0"/>
                <w:numId w:val="69"/>
              </w:num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mobilních aplikací a technologií pro objednávky a inventury.</w:t>
            </w:r>
          </w:p>
          <w:p w14:paraId="7A46EBDC" w14:textId="1E6E2AB0" w:rsidR="000B4BD4" w:rsidRPr="0035187E" w:rsidRDefault="000B4BD4" w:rsidP="0035187E">
            <w:pPr>
              <w:tabs>
                <w:tab w:val="left" w:pos="567"/>
              </w:tabs>
              <w:jc w:val="both"/>
              <w:rPr>
                <w:rFonts w:ascii="Times New Roman" w:hAnsi="Times New Roman" w:cs="Times New Roman"/>
                <w:sz w:val="20"/>
                <w:szCs w:val="20"/>
              </w:rPr>
            </w:pPr>
            <w:r w:rsidRPr="0035187E">
              <w:rPr>
                <w:rFonts w:ascii="Times New Roman" w:eastAsia="Calibri" w:hAnsi="Times New Roman" w:cs="Times New Roman"/>
                <w:sz w:val="20"/>
                <w:szCs w:val="20"/>
              </w:rPr>
              <w:t>Z toho důvodu je nutné, aby nová EET 2.0 nevytvářela nepřímé povinnosti, které by znamenaly úpravy interních systémů výrobců a distributorů, jež původně nejsou cílovou skupinou zákona.</w:t>
            </w:r>
          </w:p>
        </w:tc>
        <w:tc>
          <w:tcPr>
            <w:tcW w:w="1453" w:type="pct"/>
            <w:tcBorders>
              <w:top w:val="single" w:sz="4" w:space="0" w:color="auto"/>
              <w:left w:val="single" w:sz="4" w:space="0" w:color="auto"/>
              <w:right w:val="single" w:sz="4" w:space="0" w:color="auto"/>
            </w:tcBorders>
            <w:shd w:val="clear" w:color="auto" w:fill="auto"/>
          </w:tcPr>
          <w:p w14:paraId="14E8A755" w14:textId="77777777"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t>Bere se na vědomí.</w:t>
            </w:r>
          </w:p>
          <w:p w14:paraId="0DD3613E" w14:textId="3C681476"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Lze souhlasit s uvedenými východisky.</w:t>
            </w:r>
          </w:p>
        </w:tc>
      </w:tr>
      <w:tr w:rsidR="0035187E" w:rsidRPr="0035187E" w14:paraId="2B2AD074"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01E2BFC" w14:textId="6078667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40.</w:t>
            </w:r>
          </w:p>
        </w:tc>
        <w:tc>
          <w:tcPr>
            <w:tcW w:w="583" w:type="pct"/>
            <w:tcBorders>
              <w:top w:val="single" w:sz="4" w:space="0" w:color="auto"/>
              <w:left w:val="single" w:sz="4" w:space="0" w:color="auto"/>
              <w:right w:val="single" w:sz="4" w:space="0" w:color="auto"/>
            </w:tcBorders>
            <w:shd w:val="clear" w:color="auto" w:fill="auto"/>
          </w:tcPr>
          <w:p w14:paraId="208A0E62" w14:textId="05FFCAB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6B568E8A" w14:textId="7DC5A04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11.</w:t>
            </w:r>
          </w:p>
        </w:tc>
        <w:tc>
          <w:tcPr>
            <w:tcW w:w="169" w:type="pct"/>
            <w:tcBorders>
              <w:top w:val="single" w:sz="4" w:space="0" w:color="auto"/>
              <w:left w:val="single" w:sz="4" w:space="0" w:color="auto"/>
              <w:right w:val="single" w:sz="4" w:space="0" w:color="auto"/>
            </w:tcBorders>
            <w:shd w:val="clear" w:color="auto" w:fill="auto"/>
          </w:tcPr>
          <w:p w14:paraId="72A73CC4" w14:textId="21A3C6B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4D31621" w14:textId="57DA07F6" w:rsidR="000B4BD4" w:rsidRPr="0035187E" w:rsidRDefault="000B4BD4" w:rsidP="0035187E">
            <w:pPr>
              <w:numPr>
                <w:ilvl w:val="0"/>
                <w:numId w:val="67"/>
              </w:numPr>
              <w:tabs>
                <w:tab w:val="left" w:pos="567"/>
              </w:tabs>
              <w:jc w:val="both"/>
              <w:rPr>
                <w:rFonts w:ascii="Times New Roman" w:hAnsi="Times New Roman" w:cs="Times New Roman"/>
                <w:sz w:val="20"/>
                <w:szCs w:val="20"/>
              </w:rPr>
            </w:pPr>
            <w:r w:rsidRPr="0035187E">
              <w:rPr>
                <w:rFonts w:ascii="Times New Roman" w:eastAsia="Calibri" w:hAnsi="Times New Roman" w:cs="Times New Roman"/>
                <w:sz w:val="20"/>
                <w:szCs w:val="20"/>
              </w:rPr>
              <w:t>Materiály Ministerstva financí uvádějí, že EET 2.0 požaduje pouze základní údaje (ID poplatníka, čas, částka…), což je pozitivní. V praxi však bývají doplňkové technické parametry rozšiřovány vyhláškou nebo technickými specifikacemi, což dramaticky zvyšuje náklady na implementaci. Je zásadní, aby datové požadavky byly omezeny na absolutní minimum. Z toho důvodu požadujeme zakotvit přímo v zákoně přísnou datovou minimalizaci, a zabránit tak možnosti dodatečného rozšiřování dat podzákonným (technickým) předpisem.</w:t>
            </w:r>
          </w:p>
        </w:tc>
        <w:tc>
          <w:tcPr>
            <w:tcW w:w="1453" w:type="pct"/>
            <w:tcBorders>
              <w:top w:val="single" w:sz="4" w:space="0" w:color="auto"/>
              <w:left w:val="single" w:sz="4" w:space="0" w:color="auto"/>
              <w:right w:val="single" w:sz="4" w:space="0" w:color="auto"/>
            </w:tcBorders>
            <w:shd w:val="clear" w:color="auto" w:fill="auto"/>
          </w:tcPr>
          <w:p w14:paraId="4B6672AA" w14:textId="77777777"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0104AB43" w14:textId="116F7AF2"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Změny formou podzákonného právního předpisu návrh zákona nepředpokládá a ztotožňuje se v tomto ohledu s postojem připomínkového místa. K vydání vyhlášky by bylo nutné výslovné zmocnění zákona. Pro nařízení vlády pak platí limity, které ve svém nálezu vytýčil Ústavní soud (viz </w:t>
            </w:r>
            <w:proofErr w:type="spellStart"/>
            <w:r w:rsidRPr="0035187E">
              <w:rPr>
                <w:rFonts w:ascii="Times New Roman" w:hAnsi="Times New Roman" w:cs="Times New Roman"/>
                <w:sz w:val="20"/>
                <w:szCs w:val="20"/>
              </w:rPr>
              <w:t>Pl</w:t>
            </w:r>
            <w:proofErr w:type="spellEnd"/>
            <w:r w:rsidRPr="0035187E">
              <w:rPr>
                <w:rFonts w:ascii="Times New Roman" w:hAnsi="Times New Roman" w:cs="Times New Roman"/>
                <w:sz w:val="20"/>
                <w:szCs w:val="20"/>
              </w:rPr>
              <w:t>. ÚS 26/16).</w:t>
            </w:r>
          </w:p>
        </w:tc>
      </w:tr>
      <w:tr w:rsidR="0035187E" w:rsidRPr="0035187E" w14:paraId="512C3E6E"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48BC4F1" w14:textId="411055A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40.</w:t>
            </w:r>
          </w:p>
        </w:tc>
        <w:tc>
          <w:tcPr>
            <w:tcW w:w="583" w:type="pct"/>
            <w:tcBorders>
              <w:top w:val="single" w:sz="4" w:space="0" w:color="auto"/>
              <w:left w:val="single" w:sz="4" w:space="0" w:color="auto"/>
              <w:right w:val="single" w:sz="4" w:space="0" w:color="auto"/>
            </w:tcBorders>
            <w:shd w:val="clear" w:color="auto" w:fill="auto"/>
          </w:tcPr>
          <w:p w14:paraId="210F0584" w14:textId="2AB3921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58535E5F" w14:textId="22FD13B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12.</w:t>
            </w:r>
          </w:p>
        </w:tc>
        <w:tc>
          <w:tcPr>
            <w:tcW w:w="169" w:type="pct"/>
            <w:tcBorders>
              <w:top w:val="single" w:sz="4" w:space="0" w:color="auto"/>
              <w:left w:val="single" w:sz="4" w:space="0" w:color="auto"/>
              <w:right w:val="single" w:sz="4" w:space="0" w:color="auto"/>
            </w:tcBorders>
            <w:shd w:val="clear" w:color="auto" w:fill="auto"/>
          </w:tcPr>
          <w:p w14:paraId="11585AAA" w14:textId="61EAE00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A5F0291" w14:textId="77777777" w:rsidR="000B4BD4" w:rsidRPr="0035187E" w:rsidRDefault="000B4BD4" w:rsidP="0035187E">
            <w:pPr>
              <w:numPr>
                <w:ilvl w:val="0"/>
                <w:numId w:val="67"/>
              </w:numPr>
              <w:tabs>
                <w:tab w:val="left" w:pos="567"/>
              </w:tabs>
              <w:jc w:val="both"/>
              <w:rPr>
                <w:rFonts w:ascii="Times New Roman" w:eastAsia="Calibri" w:hAnsi="Times New Roman" w:cs="Times New Roman"/>
                <w:sz w:val="20"/>
                <w:szCs w:val="20"/>
              </w:rPr>
            </w:pPr>
            <w:r w:rsidRPr="0035187E">
              <w:rPr>
                <w:rFonts w:ascii="Times New Roman" w:eastAsia="Calibri" w:hAnsi="Times New Roman" w:cs="Times New Roman"/>
                <w:sz w:val="20"/>
                <w:szCs w:val="20"/>
              </w:rPr>
              <w:t>Navrhujeme, aby byl vytvořen návrh zjednodušené evidence v případě výpadku infrastruktury. Velké sítě se potýkají například s:</w:t>
            </w:r>
          </w:p>
          <w:p w14:paraId="79F23CD4" w14:textId="77777777" w:rsidR="000B4BD4" w:rsidRPr="0035187E" w:rsidRDefault="000B4BD4" w:rsidP="0035187E">
            <w:pPr>
              <w:numPr>
                <w:ilvl w:val="0"/>
                <w:numId w:val="69"/>
              </w:num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lokálními výpadky internetu,</w:t>
            </w:r>
          </w:p>
          <w:p w14:paraId="5D148E25" w14:textId="77777777" w:rsidR="000B4BD4" w:rsidRPr="0035187E" w:rsidRDefault="000B4BD4" w:rsidP="0035187E">
            <w:pPr>
              <w:numPr>
                <w:ilvl w:val="0"/>
                <w:numId w:val="69"/>
              </w:num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výpadky WAN,</w:t>
            </w:r>
          </w:p>
          <w:p w14:paraId="789E0877" w14:textId="77777777" w:rsidR="000B4BD4" w:rsidRPr="0035187E" w:rsidRDefault="000B4BD4" w:rsidP="0035187E">
            <w:pPr>
              <w:numPr>
                <w:ilvl w:val="0"/>
                <w:numId w:val="69"/>
              </w:num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upgrady pokladního software.</w:t>
            </w:r>
          </w:p>
          <w:p w14:paraId="059AD605" w14:textId="758885E5" w:rsidR="000B4BD4" w:rsidRPr="0035187E" w:rsidRDefault="000B4BD4" w:rsidP="0035187E">
            <w:pPr>
              <w:tabs>
                <w:tab w:val="left" w:pos="567"/>
              </w:tabs>
              <w:jc w:val="both"/>
              <w:rPr>
                <w:rFonts w:ascii="Times New Roman" w:hAnsi="Times New Roman" w:cs="Times New Roman"/>
                <w:sz w:val="20"/>
                <w:szCs w:val="20"/>
              </w:rPr>
            </w:pPr>
            <w:r w:rsidRPr="0035187E">
              <w:rPr>
                <w:rFonts w:ascii="Times New Roman" w:eastAsia="Calibri" w:hAnsi="Times New Roman" w:cs="Times New Roman"/>
                <w:bCs/>
                <w:sz w:val="20"/>
                <w:szCs w:val="20"/>
              </w:rPr>
              <w:t xml:space="preserve">Požadujeme proto definovat rozšířený </w:t>
            </w:r>
            <w:proofErr w:type="spellStart"/>
            <w:r w:rsidRPr="0035187E">
              <w:rPr>
                <w:rFonts w:ascii="Times New Roman" w:eastAsia="Calibri" w:hAnsi="Times New Roman" w:cs="Times New Roman"/>
                <w:bCs/>
                <w:i/>
                <w:iCs/>
                <w:sz w:val="20"/>
                <w:szCs w:val="20"/>
              </w:rPr>
              <w:t>offline</w:t>
            </w:r>
            <w:proofErr w:type="spellEnd"/>
            <w:r w:rsidRPr="0035187E">
              <w:rPr>
                <w:rFonts w:ascii="Times New Roman" w:eastAsia="Calibri" w:hAnsi="Times New Roman" w:cs="Times New Roman"/>
                <w:bCs/>
                <w:sz w:val="20"/>
                <w:szCs w:val="20"/>
              </w:rPr>
              <w:t xml:space="preserve"> režim, podobně jako tomu bylo dříve. A dále požadujeme povolit hromadné zasílání transakcí po obnovení spojení.</w:t>
            </w:r>
          </w:p>
        </w:tc>
        <w:tc>
          <w:tcPr>
            <w:tcW w:w="1453" w:type="pct"/>
            <w:tcBorders>
              <w:top w:val="single" w:sz="4" w:space="0" w:color="auto"/>
              <w:left w:val="single" w:sz="4" w:space="0" w:color="auto"/>
              <w:right w:val="single" w:sz="4" w:space="0" w:color="auto"/>
            </w:tcBorders>
            <w:shd w:val="clear" w:color="auto" w:fill="auto"/>
          </w:tcPr>
          <w:p w14:paraId="15C12B81" w14:textId="33B6E4FA"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t>Nevyhověno.</w:t>
            </w:r>
          </w:p>
          <w:p w14:paraId="264D7D6F" w14:textId="4F9D8DAA" w:rsidR="00E05E7C"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Institut zjednodušené evidence se v systému EET 2.0 nepředpokládá. K problematice výpadků viz vypořádání konkrétních návrhů pro tuto oblast. Mimořádné události, které by znamenaly dlouhodobý výpadek objektivně znemožňující evidování tržeb, zpravidla naplní podmínky pro liberaci z případné sankce (její neuložení).</w:t>
            </w:r>
          </w:p>
          <w:p w14:paraId="688CABAB" w14:textId="77777777" w:rsidR="00970286" w:rsidRPr="0035187E" w:rsidRDefault="00970286" w:rsidP="0035187E">
            <w:pPr>
              <w:jc w:val="both"/>
              <w:rPr>
                <w:rFonts w:ascii="Times New Roman" w:hAnsi="Times New Roman" w:cs="Times New Roman"/>
                <w:sz w:val="20"/>
                <w:szCs w:val="20"/>
              </w:rPr>
            </w:pPr>
          </w:p>
          <w:p w14:paraId="1F129732" w14:textId="77777777" w:rsidR="002D67FF" w:rsidRPr="0035187E" w:rsidRDefault="002D67FF"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20114261" w14:textId="7C72E57A" w:rsidR="002D67FF" w:rsidRPr="0035187E" w:rsidRDefault="00E05E7C"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Hromadné zasílání transakcí je implicitně předpokládáno, ovšem vždy při zachování původní </w:t>
            </w:r>
            <w:proofErr w:type="spellStart"/>
            <w:r w:rsidRPr="0035187E">
              <w:rPr>
                <w:rFonts w:ascii="Times New Roman" w:hAnsi="Times New Roman" w:cs="Times New Roman"/>
                <w:sz w:val="20"/>
                <w:szCs w:val="20"/>
              </w:rPr>
              <w:t>granularity</w:t>
            </w:r>
            <w:proofErr w:type="spellEnd"/>
            <w:r w:rsidRPr="0035187E">
              <w:rPr>
                <w:rFonts w:ascii="Times New Roman" w:hAnsi="Times New Roman" w:cs="Times New Roman"/>
                <w:sz w:val="20"/>
                <w:szCs w:val="20"/>
              </w:rPr>
              <w:t xml:space="preserve"> údajů (je nutné zaslat datové zprávy jednotlivě, byť klidně v jeden okamžik po obnovení spojení, ale nikoliv jednou „souhrnnou“ zprávou).</w:t>
            </w:r>
          </w:p>
        </w:tc>
      </w:tr>
      <w:tr w:rsidR="0035187E" w:rsidRPr="0035187E" w14:paraId="74F24CFE"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6D47096" w14:textId="45F901D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40.</w:t>
            </w:r>
          </w:p>
        </w:tc>
        <w:tc>
          <w:tcPr>
            <w:tcW w:w="583" w:type="pct"/>
            <w:tcBorders>
              <w:top w:val="single" w:sz="4" w:space="0" w:color="auto"/>
              <w:left w:val="single" w:sz="4" w:space="0" w:color="auto"/>
              <w:right w:val="single" w:sz="4" w:space="0" w:color="auto"/>
            </w:tcBorders>
            <w:shd w:val="clear" w:color="auto" w:fill="auto"/>
          </w:tcPr>
          <w:p w14:paraId="4EF03243" w14:textId="7CC9058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6FC51345" w14:textId="1FB561C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13.</w:t>
            </w:r>
          </w:p>
        </w:tc>
        <w:tc>
          <w:tcPr>
            <w:tcW w:w="169" w:type="pct"/>
            <w:tcBorders>
              <w:top w:val="single" w:sz="4" w:space="0" w:color="auto"/>
              <w:left w:val="single" w:sz="4" w:space="0" w:color="auto"/>
              <w:right w:val="single" w:sz="4" w:space="0" w:color="auto"/>
            </w:tcBorders>
            <w:shd w:val="clear" w:color="auto" w:fill="auto"/>
          </w:tcPr>
          <w:p w14:paraId="76814396" w14:textId="0C75C3B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80AC5B4" w14:textId="63C4629A" w:rsidR="000B4BD4" w:rsidRPr="0035187E" w:rsidRDefault="000B4BD4" w:rsidP="0035187E">
            <w:pPr>
              <w:numPr>
                <w:ilvl w:val="0"/>
                <w:numId w:val="67"/>
              </w:numPr>
              <w:tabs>
                <w:tab w:val="left" w:pos="567"/>
              </w:tabs>
              <w:jc w:val="both"/>
              <w:rPr>
                <w:rFonts w:ascii="Times New Roman" w:hAnsi="Times New Roman" w:cs="Times New Roman"/>
                <w:sz w:val="20"/>
                <w:szCs w:val="20"/>
              </w:rPr>
            </w:pPr>
            <w:r w:rsidRPr="0035187E">
              <w:rPr>
                <w:rFonts w:ascii="Times New Roman" w:eastAsia="Calibri" w:hAnsi="Times New Roman" w:cs="Times New Roman"/>
                <w:sz w:val="20"/>
                <w:szCs w:val="20"/>
              </w:rPr>
              <w:t>Požadujeme obecné narovnání DPH na nealkoholické nápoje s DPH na potraviny ve výši snížené sazby DPH. Přesun zdanění nealkoholických nápojů do nejvyšší sazby 21 % v lednu 2024 byl naprosto nesystémový přístup, způsobující podnikatelům zbytečnou administrativní komplikaci. Z důvodu zjednodušení a větší srozumitelnosti daňových pravidel proto navrhujeme, aby se snížená sazba DPH aplikovala na nealkoholické nápoje nejen v gastro provozech, ale také v obchodech.</w:t>
            </w:r>
          </w:p>
        </w:tc>
        <w:tc>
          <w:tcPr>
            <w:tcW w:w="1453" w:type="pct"/>
            <w:tcBorders>
              <w:top w:val="single" w:sz="4" w:space="0" w:color="auto"/>
              <w:left w:val="single" w:sz="4" w:space="0" w:color="auto"/>
              <w:right w:val="single" w:sz="4" w:space="0" w:color="auto"/>
            </w:tcBorders>
            <w:shd w:val="clear" w:color="auto" w:fill="auto"/>
          </w:tcPr>
          <w:p w14:paraId="4AA243EB"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Nevyhověno.</w:t>
            </w:r>
          </w:p>
          <w:p w14:paraId="669A5978"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Podnět přesahuje rámec navrhované úpravy zákona o evidenci tržeb.</w:t>
            </w:r>
          </w:p>
          <w:p w14:paraId="304F801B" w14:textId="40CA22D3" w:rsidR="000B4BD4" w:rsidRPr="0035187E" w:rsidRDefault="000B4BD4" w:rsidP="0035187E">
            <w:pPr>
              <w:jc w:val="both"/>
              <w:rPr>
                <w:rFonts w:ascii="Times New Roman" w:hAnsi="Times New Roman" w:cs="Times New Roman"/>
                <w:b/>
                <w:bCs/>
                <w:sz w:val="20"/>
                <w:szCs w:val="20"/>
              </w:rPr>
            </w:pPr>
          </w:p>
        </w:tc>
      </w:tr>
      <w:tr w:rsidR="0035187E" w:rsidRPr="0035187E" w14:paraId="7971C53A"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E80AD87" w14:textId="46E6C7A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40.</w:t>
            </w:r>
          </w:p>
        </w:tc>
        <w:tc>
          <w:tcPr>
            <w:tcW w:w="583" w:type="pct"/>
            <w:tcBorders>
              <w:top w:val="single" w:sz="4" w:space="0" w:color="auto"/>
              <w:left w:val="single" w:sz="4" w:space="0" w:color="auto"/>
              <w:right w:val="single" w:sz="4" w:space="0" w:color="auto"/>
            </w:tcBorders>
            <w:shd w:val="clear" w:color="auto" w:fill="auto"/>
          </w:tcPr>
          <w:p w14:paraId="798DD441" w14:textId="1E85BB1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5114B501" w14:textId="3E2C38B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14.</w:t>
            </w:r>
          </w:p>
        </w:tc>
        <w:tc>
          <w:tcPr>
            <w:tcW w:w="169" w:type="pct"/>
            <w:tcBorders>
              <w:top w:val="single" w:sz="4" w:space="0" w:color="auto"/>
              <w:left w:val="single" w:sz="4" w:space="0" w:color="auto"/>
              <w:right w:val="single" w:sz="4" w:space="0" w:color="auto"/>
            </w:tcBorders>
            <w:shd w:val="clear" w:color="auto" w:fill="auto"/>
          </w:tcPr>
          <w:p w14:paraId="2270B6B7" w14:textId="418958D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91E4BAB" w14:textId="3175B6C3" w:rsidR="000B4BD4" w:rsidRPr="0035187E" w:rsidRDefault="000B4BD4" w:rsidP="0035187E">
            <w:pPr>
              <w:numPr>
                <w:ilvl w:val="0"/>
                <w:numId w:val="67"/>
              </w:numPr>
              <w:tabs>
                <w:tab w:val="left" w:pos="567"/>
              </w:tabs>
              <w:jc w:val="both"/>
              <w:rPr>
                <w:rFonts w:ascii="Times New Roman" w:hAnsi="Times New Roman" w:cs="Times New Roman"/>
                <w:sz w:val="20"/>
                <w:szCs w:val="20"/>
              </w:rPr>
            </w:pPr>
            <w:r w:rsidRPr="0035187E">
              <w:rPr>
                <w:rFonts w:ascii="Times New Roman" w:eastAsia="Calibri" w:hAnsi="Times New Roman" w:cs="Times New Roman"/>
                <w:sz w:val="20"/>
                <w:szCs w:val="20"/>
              </w:rPr>
              <w:t xml:space="preserve">V souvislosti se zaváděním EET 2.0 požadujeme provést pilotní testování propojení pokladních systému s Finanční správou, na kterém je Hospodářská komora ČR připravena spolupracovat a zapojit se do něj. Pilotní testování je stěžejní krok pro ověření správného nastavení funkcionalit u dodavatelů pokladních systémů. Co se týče harmonogramu zavádění systému a pilotního testování, požadujeme zveřejnění metodologie do července a realizaci pilotů v období září až říjen. Věříme, že sledování takového harmonogramu přispěje k bezproblémovému zavádění nového systému evidence tržeb. </w:t>
            </w:r>
            <w:r w:rsidRPr="0035187E">
              <w:rPr>
                <w:rFonts w:ascii="Times New Roman" w:eastAsia="Calibri" w:hAnsi="Times New Roman" w:cs="Times New Roman"/>
                <w:sz w:val="20"/>
                <w:szCs w:val="20"/>
                <w:lang w:val="x-none"/>
              </w:rPr>
              <w:t>V návaznosti na prohlášení, že data ze systému EET 2.0 budou sloužit pro analytiku Generálního finančního ředitelství při vyhledávání těch, kteří obcházejí daňové povinnosti, také žádáme, aby Generální finanční ředitelství s HK ČR vedlo diskusi o konkrétních způsobech práce se získanými daty.</w:t>
            </w:r>
          </w:p>
        </w:tc>
        <w:tc>
          <w:tcPr>
            <w:tcW w:w="1453" w:type="pct"/>
            <w:tcBorders>
              <w:top w:val="single" w:sz="4" w:space="0" w:color="auto"/>
              <w:left w:val="single" w:sz="4" w:space="0" w:color="auto"/>
              <w:right w:val="single" w:sz="4" w:space="0" w:color="auto"/>
            </w:tcBorders>
            <w:shd w:val="clear" w:color="auto" w:fill="auto"/>
          </w:tcPr>
          <w:p w14:paraId="509AB356" w14:textId="77777777"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t>Bere se na vědomí.</w:t>
            </w:r>
          </w:p>
          <w:p w14:paraId="7C94F144" w14:textId="1F660A22"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Daný požadavek směřuje mimo oblast, kterou má řešit návrh zákona. Lze proto odkázat na přímou komunikaci s Generálním finančním ředitelstvím.</w:t>
            </w:r>
            <w:r w:rsidR="00E05E7C" w:rsidRPr="0035187E">
              <w:rPr>
                <w:rFonts w:ascii="Times New Roman" w:hAnsi="Times New Roman" w:cs="Times New Roman"/>
                <w:sz w:val="20"/>
                <w:szCs w:val="20"/>
              </w:rPr>
              <w:t xml:space="preserve"> Se zveřejněním technické specifikace a harmonogramu testování a napojování se počítá nejpozději v červnu t.r.</w:t>
            </w:r>
          </w:p>
          <w:p w14:paraId="7A49BA02" w14:textId="278D3B79" w:rsidR="002B7B42" w:rsidRPr="0035187E" w:rsidRDefault="002B7B42" w:rsidP="0035187E">
            <w:pPr>
              <w:jc w:val="both"/>
              <w:rPr>
                <w:rFonts w:ascii="Times New Roman" w:hAnsi="Times New Roman" w:cs="Times New Roman"/>
                <w:sz w:val="20"/>
                <w:szCs w:val="20"/>
              </w:rPr>
            </w:pPr>
          </w:p>
        </w:tc>
      </w:tr>
      <w:tr w:rsidR="0035187E" w:rsidRPr="0035187E" w14:paraId="46111B9E"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CA82E7E" w14:textId="0B682DE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40.</w:t>
            </w:r>
          </w:p>
        </w:tc>
        <w:tc>
          <w:tcPr>
            <w:tcW w:w="583" w:type="pct"/>
            <w:tcBorders>
              <w:top w:val="single" w:sz="4" w:space="0" w:color="auto"/>
              <w:left w:val="single" w:sz="4" w:space="0" w:color="auto"/>
              <w:right w:val="single" w:sz="4" w:space="0" w:color="auto"/>
            </w:tcBorders>
            <w:shd w:val="clear" w:color="auto" w:fill="auto"/>
          </w:tcPr>
          <w:p w14:paraId="7B0C6B51" w14:textId="36B53BF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267DF093" w14:textId="40162BE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15.</w:t>
            </w:r>
          </w:p>
        </w:tc>
        <w:tc>
          <w:tcPr>
            <w:tcW w:w="169" w:type="pct"/>
            <w:tcBorders>
              <w:top w:val="single" w:sz="4" w:space="0" w:color="auto"/>
              <w:left w:val="single" w:sz="4" w:space="0" w:color="auto"/>
              <w:right w:val="single" w:sz="4" w:space="0" w:color="auto"/>
            </w:tcBorders>
            <w:shd w:val="clear" w:color="auto" w:fill="auto"/>
          </w:tcPr>
          <w:p w14:paraId="4882EB7A" w14:textId="2D9E831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64E5E6E" w14:textId="77777777" w:rsidR="000B4BD4" w:rsidRPr="0035187E" w:rsidRDefault="000B4BD4" w:rsidP="0035187E">
            <w:pPr>
              <w:numPr>
                <w:ilvl w:val="0"/>
                <w:numId w:val="68"/>
              </w:numPr>
              <w:tabs>
                <w:tab w:val="left" w:pos="567"/>
              </w:tabs>
              <w:ind w:left="0" w:firstLine="0"/>
              <w:jc w:val="both"/>
              <w:rPr>
                <w:rFonts w:ascii="Times New Roman" w:hAnsi="Times New Roman" w:cs="Times New Roman"/>
                <w:b/>
                <w:sz w:val="20"/>
                <w:szCs w:val="20"/>
              </w:rPr>
            </w:pPr>
            <w:r w:rsidRPr="0035187E">
              <w:rPr>
                <w:rFonts w:ascii="Times New Roman" w:hAnsi="Times New Roman" w:cs="Times New Roman"/>
                <w:b/>
                <w:sz w:val="20"/>
                <w:szCs w:val="20"/>
              </w:rPr>
              <w:t>Zásadní konkrétní připomínky k předloženému materiálu</w:t>
            </w:r>
          </w:p>
          <w:p w14:paraId="6789908E" w14:textId="77777777" w:rsidR="000B4BD4" w:rsidRPr="0035187E" w:rsidRDefault="000B4BD4" w:rsidP="0035187E">
            <w:pPr>
              <w:numPr>
                <w:ilvl w:val="0"/>
                <w:numId w:val="70"/>
              </w:numPr>
              <w:tabs>
                <w:tab w:val="left" w:pos="567"/>
              </w:tabs>
              <w:ind w:left="0" w:firstLine="0"/>
              <w:jc w:val="both"/>
              <w:rPr>
                <w:rFonts w:ascii="Times New Roman" w:eastAsia="Calibri" w:hAnsi="Times New Roman" w:cs="Times New Roman"/>
                <w:b/>
                <w:sz w:val="20"/>
                <w:szCs w:val="20"/>
              </w:rPr>
            </w:pPr>
            <w:r w:rsidRPr="0035187E">
              <w:rPr>
                <w:rFonts w:ascii="Times New Roman" w:eastAsia="Calibri" w:hAnsi="Times New Roman" w:cs="Times New Roman"/>
                <w:b/>
                <w:sz w:val="20"/>
                <w:szCs w:val="20"/>
              </w:rPr>
              <w:t>Připomínka § 5, § 6, § 7, § 17 odst. 2 a § 18 odst. 1</w:t>
            </w:r>
          </w:p>
          <w:p w14:paraId="237B7553" w14:textId="25E83841" w:rsidR="000B4BD4" w:rsidRPr="0035187E" w:rsidRDefault="000B4BD4" w:rsidP="0035187E">
            <w:p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 xml:space="preserve">V oblasti </w:t>
            </w:r>
            <w:proofErr w:type="spellStart"/>
            <w:r w:rsidRPr="0035187E">
              <w:rPr>
                <w:rFonts w:ascii="Times New Roman" w:eastAsia="Calibri" w:hAnsi="Times New Roman" w:cs="Times New Roman"/>
                <w:bCs/>
                <w:sz w:val="20"/>
                <w:szCs w:val="20"/>
              </w:rPr>
              <w:t>splitovaných</w:t>
            </w:r>
            <w:proofErr w:type="spellEnd"/>
            <w:r w:rsidRPr="0035187E">
              <w:rPr>
                <w:rFonts w:ascii="Times New Roman" w:eastAsia="Calibri" w:hAnsi="Times New Roman" w:cs="Times New Roman"/>
                <w:bCs/>
                <w:sz w:val="20"/>
                <w:szCs w:val="20"/>
              </w:rPr>
              <w:t>, složených a návazných plateb identifikujeme několik vzájemně souvisejících problémů, k jejichž řešení by mělo vést přijetí níže uvedeného souboru požadavků.</w:t>
            </w:r>
          </w:p>
          <w:p w14:paraId="5250AD8B" w14:textId="77777777" w:rsidR="000B4BD4" w:rsidRPr="0035187E" w:rsidRDefault="000B4BD4" w:rsidP="0035187E">
            <w:p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 xml:space="preserve">a) Požadujeme do textu ustanovení § 5 nebo § 7 doplnit pravidla pro </w:t>
            </w:r>
            <w:proofErr w:type="spellStart"/>
            <w:r w:rsidRPr="0035187E">
              <w:rPr>
                <w:rFonts w:ascii="Times New Roman" w:eastAsia="Calibri" w:hAnsi="Times New Roman" w:cs="Times New Roman"/>
                <w:bCs/>
                <w:sz w:val="20"/>
                <w:szCs w:val="20"/>
              </w:rPr>
              <w:t>splitované</w:t>
            </w:r>
            <w:proofErr w:type="spellEnd"/>
            <w:r w:rsidRPr="0035187E">
              <w:rPr>
                <w:rFonts w:ascii="Times New Roman" w:eastAsia="Calibri" w:hAnsi="Times New Roman" w:cs="Times New Roman"/>
                <w:bCs/>
                <w:sz w:val="20"/>
                <w:szCs w:val="20"/>
              </w:rPr>
              <w:t xml:space="preserve"> platby (jedna transakce, více platebních metod). Tedy explicitně stanovit, zda se jedná o jednu tržbu (s agregovanou částkou) nebo více tržeb. Pokud více, požadujeme do § 18 doplnit povinný/volitelný údaj „</w:t>
            </w:r>
            <w:r w:rsidRPr="0035187E">
              <w:rPr>
                <w:rFonts w:ascii="Times New Roman" w:eastAsia="Calibri" w:hAnsi="Times New Roman" w:cs="Times New Roman"/>
                <w:b/>
                <w:i/>
                <w:iCs/>
                <w:sz w:val="20"/>
                <w:szCs w:val="20"/>
              </w:rPr>
              <w:t>identifikace související obchodní transakce</w:t>
            </w:r>
            <w:r w:rsidRPr="0035187E">
              <w:rPr>
                <w:rFonts w:ascii="Times New Roman" w:eastAsia="Calibri" w:hAnsi="Times New Roman" w:cs="Times New Roman"/>
                <w:bCs/>
                <w:sz w:val="20"/>
                <w:szCs w:val="20"/>
              </w:rPr>
              <w:t>“, který umožní propojení dílčích plateb.</w:t>
            </w:r>
          </w:p>
          <w:p w14:paraId="7C1E96C4" w14:textId="77777777" w:rsidR="000B4BD4" w:rsidRPr="0035187E" w:rsidRDefault="000B4BD4" w:rsidP="0035187E">
            <w:p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lastRenderedPageBreak/>
              <w:t>b) Požadujeme do textu ustanovení § 18 doplnit identifikátor pro storno a návazné tržby. Tzn. údaj, který propojí storno s původní tržbou a doplatek se zálohou. Bez tohoto údaje jsou data na serveru Finanční správy ČR (dále „FS ČR“) neinterpretovatelná.</w:t>
            </w:r>
          </w:p>
          <w:p w14:paraId="3C8AE546" w14:textId="77777777" w:rsidR="000B4BD4" w:rsidRPr="0035187E" w:rsidRDefault="000B4BD4" w:rsidP="0035187E">
            <w:p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c) Požadujeme upřesnit vztah § 18 odst. 1 písm. f) a § 18 odst. 2 písm. a) a b). Je třeba definovat, zda „</w:t>
            </w:r>
            <w:r w:rsidRPr="0035187E">
              <w:rPr>
                <w:rFonts w:ascii="Times New Roman" w:eastAsia="Calibri" w:hAnsi="Times New Roman" w:cs="Times New Roman"/>
                <w:bCs/>
                <w:i/>
                <w:iCs/>
                <w:sz w:val="20"/>
                <w:szCs w:val="20"/>
              </w:rPr>
              <w:t>celková částka tržby</w:t>
            </w:r>
            <w:r w:rsidRPr="0035187E">
              <w:rPr>
                <w:rFonts w:ascii="Times New Roman" w:eastAsia="Calibri" w:hAnsi="Times New Roman" w:cs="Times New Roman"/>
                <w:bCs/>
                <w:sz w:val="20"/>
                <w:szCs w:val="20"/>
              </w:rPr>
              <w:t>“ zahrnuje nebo nezahrnuje čerpání/zúčtování voucherů, a jaký je celkový agregovaný efekt na reportovaný obrat.</w:t>
            </w:r>
          </w:p>
          <w:p w14:paraId="378A82E0" w14:textId="77777777" w:rsidR="000B4BD4" w:rsidRPr="0035187E" w:rsidRDefault="000B4BD4" w:rsidP="0035187E">
            <w:p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d) Požadujeme do návrhu zákona doplnit pravidla pro spropitné. Konkrétně stanovit, zda se spropitné eviduje jako součást tržby (celá platba), nebo zda se eviduje pouze část bez spropitného. Pokud se eviduje celá platba, doplnit do § 18 volitelný údaj „</w:t>
            </w:r>
            <w:r w:rsidRPr="0035187E">
              <w:rPr>
                <w:rFonts w:ascii="Times New Roman" w:eastAsia="Calibri" w:hAnsi="Times New Roman" w:cs="Times New Roman"/>
                <w:b/>
                <w:i/>
                <w:iCs/>
                <w:sz w:val="20"/>
                <w:szCs w:val="20"/>
              </w:rPr>
              <w:t>částka spropitného</w:t>
            </w:r>
            <w:r w:rsidRPr="0035187E">
              <w:rPr>
                <w:rFonts w:ascii="Times New Roman" w:eastAsia="Calibri" w:hAnsi="Times New Roman" w:cs="Times New Roman"/>
                <w:bCs/>
                <w:sz w:val="20"/>
                <w:szCs w:val="20"/>
              </w:rPr>
              <w:t>“.</w:t>
            </w:r>
          </w:p>
          <w:p w14:paraId="57CB9A0C" w14:textId="77777777" w:rsidR="000B4BD4" w:rsidRPr="0035187E" w:rsidRDefault="000B4BD4" w:rsidP="0035187E">
            <w:p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e) Požadujeme doplnění volitelného údaje „</w:t>
            </w:r>
            <w:r w:rsidRPr="0035187E">
              <w:rPr>
                <w:rFonts w:ascii="Times New Roman" w:eastAsia="Calibri" w:hAnsi="Times New Roman" w:cs="Times New Roman"/>
                <w:b/>
                <w:i/>
                <w:iCs/>
                <w:sz w:val="20"/>
                <w:szCs w:val="20"/>
              </w:rPr>
              <w:t>identifikace obchodní transakce</w:t>
            </w:r>
            <w:r w:rsidRPr="0035187E">
              <w:rPr>
                <w:rFonts w:ascii="Times New Roman" w:eastAsia="Calibri" w:hAnsi="Times New Roman" w:cs="Times New Roman"/>
                <w:bCs/>
                <w:sz w:val="20"/>
                <w:szCs w:val="20"/>
              </w:rPr>
              <w:t xml:space="preserve">“ do § 18 — interní číslo dokladu/účtenky </w:t>
            </w:r>
            <w:r w:rsidRPr="0035187E">
              <w:rPr>
                <w:rFonts w:ascii="Times New Roman" w:eastAsia="Calibri" w:hAnsi="Times New Roman" w:cs="Times New Roman"/>
                <w:bCs/>
                <w:i/>
                <w:iCs/>
                <w:sz w:val="20"/>
                <w:szCs w:val="20"/>
              </w:rPr>
              <w:t xml:space="preserve">Point </w:t>
            </w:r>
            <w:proofErr w:type="spellStart"/>
            <w:r w:rsidRPr="0035187E">
              <w:rPr>
                <w:rFonts w:ascii="Times New Roman" w:eastAsia="Calibri" w:hAnsi="Times New Roman" w:cs="Times New Roman"/>
                <w:bCs/>
                <w:i/>
                <w:iCs/>
                <w:sz w:val="20"/>
                <w:szCs w:val="20"/>
              </w:rPr>
              <w:t>of</w:t>
            </w:r>
            <w:proofErr w:type="spellEnd"/>
            <w:r w:rsidRPr="0035187E">
              <w:rPr>
                <w:rFonts w:ascii="Times New Roman" w:eastAsia="Calibri" w:hAnsi="Times New Roman" w:cs="Times New Roman"/>
                <w:bCs/>
                <w:sz w:val="20"/>
                <w:szCs w:val="20"/>
              </w:rPr>
              <w:t xml:space="preserve"> </w:t>
            </w:r>
            <w:proofErr w:type="spellStart"/>
            <w:r w:rsidRPr="0035187E">
              <w:rPr>
                <w:rFonts w:ascii="Times New Roman" w:eastAsia="Calibri" w:hAnsi="Times New Roman" w:cs="Times New Roman"/>
                <w:bCs/>
                <w:i/>
                <w:iCs/>
                <w:sz w:val="20"/>
                <w:szCs w:val="20"/>
              </w:rPr>
              <w:t>sale</w:t>
            </w:r>
            <w:proofErr w:type="spellEnd"/>
            <w:r w:rsidRPr="0035187E">
              <w:rPr>
                <w:rFonts w:ascii="Times New Roman" w:eastAsia="Calibri" w:hAnsi="Times New Roman" w:cs="Times New Roman"/>
                <w:bCs/>
                <w:sz w:val="20"/>
                <w:szCs w:val="20"/>
              </w:rPr>
              <w:t xml:space="preserve"> (POS) systému, které propojí všechny platby související s jedním prodejem. Toto by výrazně zvýšilo využitelnost dat pro FS ČR i pro poplatníka.</w:t>
            </w:r>
          </w:p>
          <w:p w14:paraId="26DE3B34" w14:textId="77777777" w:rsidR="000B4BD4" w:rsidRPr="0035187E" w:rsidRDefault="000B4BD4" w:rsidP="0035187E">
            <w:pPr>
              <w:jc w:val="both"/>
              <w:rPr>
                <w:rFonts w:ascii="Times New Roman" w:hAnsi="Times New Roman" w:cs="Times New Roman"/>
                <w:sz w:val="20"/>
                <w:szCs w:val="20"/>
                <w:u w:val="single"/>
              </w:rPr>
            </w:pPr>
          </w:p>
          <w:p w14:paraId="38E1B3EC" w14:textId="44A91D84"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w:t>
            </w:r>
          </w:p>
          <w:p w14:paraId="45C03E59" w14:textId="77777777" w:rsidR="000B4BD4" w:rsidRPr="0035187E" w:rsidRDefault="000B4BD4" w:rsidP="0035187E">
            <w:p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Zákon definuje evidovanou tržbu jako platbu (§ 5 odst. 1: „</w:t>
            </w:r>
            <w:r w:rsidRPr="0035187E">
              <w:rPr>
                <w:rFonts w:ascii="Times New Roman" w:eastAsia="Calibri" w:hAnsi="Times New Roman" w:cs="Times New Roman"/>
                <w:bCs/>
                <w:i/>
                <w:iCs/>
                <w:sz w:val="20"/>
                <w:szCs w:val="20"/>
              </w:rPr>
              <w:t>Evidovanou tržbou je platba, která splňuje formální náležitosti pro evidovanou tržbu a která zakládá rozhodný příjem</w:t>
            </w:r>
            <w:r w:rsidRPr="0035187E">
              <w:rPr>
                <w:rFonts w:ascii="Times New Roman" w:eastAsia="Calibri" w:hAnsi="Times New Roman" w:cs="Times New Roman"/>
                <w:bCs/>
                <w:sz w:val="20"/>
                <w:szCs w:val="20"/>
              </w:rPr>
              <w:t>.“). Předmětem evidence tedy není obchodní transakce (prodej zboží/služby), ale konkrétní platební operace. Tato koncepce je zásadní pro konstrukci POS systému, ale zákon z ní nečiní všechny potřebné důsledky.</w:t>
            </w:r>
          </w:p>
          <w:p w14:paraId="7B24BF75" w14:textId="77777777" w:rsidR="000B4BD4" w:rsidRPr="0035187E" w:rsidRDefault="000B4BD4" w:rsidP="0035187E">
            <w:pPr>
              <w:tabs>
                <w:tab w:val="left" w:pos="567"/>
              </w:tabs>
              <w:jc w:val="both"/>
              <w:rPr>
                <w:rFonts w:ascii="Times New Roman" w:eastAsia="Calibri" w:hAnsi="Times New Roman" w:cs="Times New Roman"/>
                <w:bCs/>
                <w:sz w:val="20"/>
                <w:szCs w:val="20"/>
                <w:u w:val="single"/>
              </w:rPr>
            </w:pPr>
            <w:proofErr w:type="spellStart"/>
            <w:r w:rsidRPr="0035187E">
              <w:rPr>
                <w:rFonts w:ascii="Times New Roman" w:eastAsia="Calibri" w:hAnsi="Times New Roman" w:cs="Times New Roman"/>
                <w:bCs/>
                <w:sz w:val="20"/>
                <w:szCs w:val="20"/>
                <w:u w:val="single"/>
              </w:rPr>
              <w:t>Splitované</w:t>
            </w:r>
            <w:proofErr w:type="spellEnd"/>
            <w:r w:rsidRPr="0035187E">
              <w:rPr>
                <w:rFonts w:ascii="Times New Roman" w:eastAsia="Calibri" w:hAnsi="Times New Roman" w:cs="Times New Roman"/>
                <w:bCs/>
                <w:sz w:val="20"/>
                <w:szCs w:val="20"/>
                <w:u w:val="single"/>
              </w:rPr>
              <w:t xml:space="preserve"> platby – jedna transakce více platebních metod</w:t>
            </w:r>
          </w:p>
          <w:p w14:paraId="4BD1F79F" w14:textId="77777777" w:rsidR="000B4BD4" w:rsidRPr="0035187E" w:rsidRDefault="000B4BD4" w:rsidP="0035187E">
            <w:p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V praxi zákazník běžně hradí jeden nákup kombinací platebních metod — např. část hotově, část kartou, část stravenkami. Zákon tento případ vůbec neřeší. V této souvislosti vzniká několik zákonem nezodpovězených otázek:</w:t>
            </w:r>
          </w:p>
          <w:p w14:paraId="51155C03"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Vzniká jedna evidovaná tržba na celkovou částku, nebo tolik evidovaných tržeb, kolik je dílčích plateb?</w:t>
            </w:r>
          </w:p>
          <w:p w14:paraId="3B77C358"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Pokud více evidovaných tržeb — jak se vzájemně identifikují/propojí? § 18 neobsahuje žádný údaj typu „identifikace související tržby“ nebo „číslo obchodní transakce“.</w:t>
            </w:r>
          </w:p>
          <w:p w14:paraId="7C8DE227"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Pokud jedna tržba — jakou „</w:t>
            </w:r>
            <w:r w:rsidRPr="0035187E">
              <w:rPr>
                <w:rFonts w:ascii="Times New Roman" w:eastAsia="Calibri" w:hAnsi="Times New Roman" w:cs="Times New Roman"/>
                <w:bCs/>
                <w:i/>
                <w:iCs/>
                <w:sz w:val="20"/>
                <w:szCs w:val="20"/>
              </w:rPr>
              <w:t>formu platby</w:t>
            </w:r>
            <w:r w:rsidRPr="0035187E">
              <w:rPr>
                <w:rFonts w:ascii="Times New Roman" w:eastAsia="Calibri" w:hAnsi="Times New Roman" w:cs="Times New Roman"/>
                <w:bCs/>
                <w:sz w:val="20"/>
                <w:szCs w:val="20"/>
              </w:rPr>
              <w:t>“ nese datová zpráva, když formy jsou různé (§ 6 odst. 1 písm. a) vs. b) vs. e)?</w:t>
            </w:r>
          </w:p>
          <w:p w14:paraId="6A29F48A"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Co když jedna dílčí platba je kontaktní (hotovost v provozovně) a druhá nikoliv (zákazník doplatí převodem z účtu z domova)? Eviduje se jen kontaktní část?</w:t>
            </w:r>
          </w:p>
          <w:p w14:paraId="6697546E"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Důvodová zpráva k § 7 dokonce výslovně uvádí, že záměrem je, aby poplatník „</w:t>
            </w:r>
            <w:r w:rsidRPr="0035187E">
              <w:rPr>
                <w:rFonts w:ascii="Times New Roman" w:eastAsia="Calibri" w:hAnsi="Times New Roman" w:cs="Times New Roman"/>
                <w:bCs/>
                <w:i/>
                <w:iCs/>
                <w:sz w:val="20"/>
                <w:szCs w:val="20"/>
              </w:rPr>
              <w:t>nemusel rozlišovat při kontaktu se zákazníkem nebo v provozovně, jaká forma platby byla využita</w:t>
            </w:r>
            <w:r w:rsidRPr="0035187E">
              <w:rPr>
                <w:rFonts w:ascii="Times New Roman" w:eastAsia="Calibri" w:hAnsi="Times New Roman" w:cs="Times New Roman"/>
                <w:bCs/>
                <w:sz w:val="20"/>
                <w:szCs w:val="20"/>
              </w:rPr>
              <w:t xml:space="preserve">“. To ale nedává odpověď na otázku, zda </w:t>
            </w:r>
            <w:proofErr w:type="spellStart"/>
            <w:r w:rsidRPr="0035187E">
              <w:rPr>
                <w:rFonts w:ascii="Times New Roman" w:eastAsia="Calibri" w:hAnsi="Times New Roman" w:cs="Times New Roman"/>
                <w:bCs/>
                <w:sz w:val="20"/>
                <w:szCs w:val="20"/>
              </w:rPr>
              <w:t>splitovaná</w:t>
            </w:r>
            <w:proofErr w:type="spellEnd"/>
            <w:r w:rsidRPr="0035187E">
              <w:rPr>
                <w:rFonts w:ascii="Times New Roman" w:eastAsia="Calibri" w:hAnsi="Times New Roman" w:cs="Times New Roman"/>
                <w:bCs/>
                <w:sz w:val="20"/>
                <w:szCs w:val="20"/>
              </w:rPr>
              <w:t xml:space="preserve"> platba generuje jednu nebo více datových zpráv.</w:t>
            </w:r>
          </w:p>
          <w:p w14:paraId="568EFB4B" w14:textId="77777777" w:rsidR="000B4BD4" w:rsidRPr="0035187E" w:rsidRDefault="000B4BD4" w:rsidP="0035187E">
            <w:pPr>
              <w:jc w:val="both"/>
              <w:rPr>
                <w:rFonts w:ascii="Times New Roman" w:eastAsia="Calibri" w:hAnsi="Times New Roman" w:cs="Times New Roman"/>
                <w:bCs/>
                <w:sz w:val="20"/>
                <w:szCs w:val="20"/>
                <w:u w:val="single"/>
              </w:rPr>
            </w:pPr>
            <w:r w:rsidRPr="0035187E">
              <w:rPr>
                <w:rFonts w:ascii="Times New Roman" w:eastAsia="Calibri" w:hAnsi="Times New Roman" w:cs="Times New Roman"/>
                <w:bCs/>
                <w:sz w:val="20"/>
                <w:szCs w:val="20"/>
                <w:u w:val="single"/>
              </w:rPr>
              <w:t>Vouchery, předplacené karty – dvojí evidence</w:t>
            </w:r>
          </w:p>
          <w:p w14:paraId="464B4556"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 5 odst. 2 stanoví, že evidovanou tržbou je i platba „</w:t>
            </w:r>
            <w:r w:rsidRPr="0035187E">
              <w:rPr>
                <w:rFonts w:ascii="Times New Roman" w:eastAsia="Calibri" w:hAnsi="Times New Roman" w:cs="Times New Roman"/>
                <w:bCs/>
                <w:i/>
                <w:iCs/>
                <w:sz w:val="20"/>
                <w:szCs w:val="20"/>
              </w:rPr>
              <w:t>určená k následnému čerpání nebo zúčtování</w:t>
            </w:r>
            <w:r w:rsidRPr="0035187E">
              <w:rPr>
                <w:rFonts w:ascii="Times New Roman" w:eastAsia="Calibri" w:hAnsi="Times New Roman" w:cs="Times New Roman"/>
                <w:bCs/>
                <w:sz w:val="20"/>
                <w:szCs w:val="20"/>
              </w:rPr>
              <w:t>“ (nabití) a platba „</w:t>
            </w:r>
            <w:r w:rsidRPr="0035187E">
              <w:rPr>
                <w:rFonts w:ascii="Times New Roman" w:eastAsia="Calibri" w:hAnsi="Times New Roman" w:cs="Times New Roman"/>
                <w:bCs/>
                <w:i/>
                <w:iCs/>
                <w:sz w:val="20"/>
                <w:szCs w:val="20"/>
              </w:rPr>
              <w:t>která je následným čerpáním nebo zúčtováním</w:t>
            </w:r>
            <w:r w:rsidRPr="0035187E">
              <w:rPr>
                <w:rFonts w:ascii="Times New Roman" w:eastAsia="Calibri" w:hAnsi="Times New Roman" w:cs="Times New Roman"/>
                <w:bCs/>
                <w:sz w:val="20"/>
                <w:szCs w:val="20"/>
              </w:rPr>
              <w:t>“ (čerpání). Důvodová zpráva potvrzuje, že záměrem je evidovat obě transakce. To přináší tyto problémy pro POS systém:</w:t>
            </w:r>
          </w:p>
          <w:p w14:paraId="50AFCCF5"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lastRenderedPageBreak/>
              <w:t>Při nabití dárkové karty za 1 000 Kč vznikne evidovaná tržba (1 000 Kč).</w:t>
            </w:r>
          </w:p>
          <w:p w14:paraId="0356AF3F"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Při nákupu za tuto kartu za 800 Kč vznikne další evidovaná tržba (800 Kč).</w:t>
            </w:r>
          </w:p>
          <w:p w14:paraId="2F8DA801"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Celkový „evidovaný obrat“ je tedy 1 800 Kč, ačkoliv reálný příjem je 1 000 Kč.</w:t>
            </w:r>
          </w:p>
          <w:p w14:paraId="6872F6F7"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Zákon neposkytuje žádný mechanismus, jak tyto dvě tržby propojit nebo jak zabránit zkreslení celkového obratu na straně FS ČR.</w:t>
            </w:r>
          </w:p>
          <w:p w14:paraId="1D79624F"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 18 odst. 2 písm. a) a b) sice obsahují volitelné položky pro částku čerpání/zúčtování, ale jejich vztah k § 18 odst. 1 písm. f) (celková částka tržby) není jasný — sčítají se? Jde o podmnožinu? Je celková částka netto po odečtení čerpání?</w:t>
            </w:r>
          </w:p>
          <w:p w14:paraId="54BD3ED9" w14:textId="77777777" w:rsidR="000B4BD4" w:rsidRPr="0035187E" w:rsidRDefault="000B4BD4" w:rsidP="0035187E">
            <w:pPr>
              <w:jc w:val="both"/>
              <w:rPr>
                <w:rFonts w:ascii="Times New Roman" w:eastAsia="Calibri" w:hAnsi="Times New Roman" w:cs="Times New Roman"/>
                <w:bCs/>
                <w:sz w:val="20"/>
                <w:szCs w:val="20"/>
                <w:u w:val="single"/>
              </w:rPr>
            </w:pPr>
            <w:r w:rsidRPr="0035187E">
              <w:rPr>
                <w:rFonts w:ascii="Times New Roman" w:eastAsia="Calibri" w:hAnsi="Times New Roman" w:cs="Times New Roman"/>
                <w:bCs/>
                <w:sz w:val="20"/>
                <w:szCs w:val="20"/>
                <w:u w:val="single"/>
              </w:rPr>
              <w:t>Zálohy a doplatky</w:t>
            </w:r>
          </w:p>
          <w:p w14:paraId="7B20F5FA"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Zákazník složí zálohu (kontaktní platba), služba je poskytnuta později, doplatek je uhrazen jiným způsobem. § 17 odst. 2 stanoví, že uskutečněním tržby je „</w:t>
            </w:r>
            <w:r w:rsidRPr="0035187E">
              <w:rPr>
                <w:rFonts w:ascii="Times New Roman" w:eastAsia="Calibri" w:hAnsi="Times New Roman" w:cs="Times New Roman"/>
                <w:bCs/>
                <w:i/>
                <w:iCs/>
                <w:sz w:val="20"/>
                <w:szCs w:val="20"/>
              </w:rPr>
              <w:t>přijetí evidované tržby</w:t>
            </w:r>
            <w:r w:rsidRPr="0035187E">
              <w:rPr>
                <w:rFonts w:ascii="Times New Roman" w:eastAsia="Calibri" w:hAnsi="Times New Roman" w:cs="Times New Roman"/>
                <w:bCs/>
                <w:sz w:val="20"/>
                <w:szCs w:val="20"/>
              </w:rPr>
              <w:t>“ nebo „</w:t>
            </w:r>
            <w:r w:rsidRPr="0035187E">
              <w:rPr>
                <w:rFonts w:ascii="Times New Roman" w:eastAsia="Calibri" w:hAnsi="Times New Roman" w:cs="Times New Roman"/>
                <w:bCs/>
                <w:i/>
                <w:iCs/>
                <w:sz w:val="20"/>
                <w:szCs w:val="20"/>
              </w:rPr>
              <w:t>vydání příkazu k jejímu provedení, pokud byl tento příkaz vydán dříve</w:t>
            </w:r>
            <w:r w:rsidRPr="0035187E">
              <w:rPr>
                <w:rFonts w:ascii="Times New Roman" w:eastAsia="Calibri" w:hAnsi="Times New Roman" w:cs="Times New Roman"/>
                <w:bCs/>
                <w:sz w:val="20"/>
                <w:szCs w:val="20"/>
              </w:rPr>
              <w:t>“. Vznikají tak následující nejasnosti:</w:t>
            </w:r>
          </w:p>
          <w:p w14:paraId="3A896E48"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Záloha je evidovaná tržba — ale v okamžiku přijetí zálohy ještě nemusí být znám konečný rozsah plnění.</w:t>
            </w:r>
          </w:p>
          <w:p w14:paraId="4558A0BD"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Doplatek je další evidovaná tržba — ale zákon neumožňuje propojit zálohu a doplatek do jednoho celku.</w:t>
            </w:r>
          </w:p>
          <w:p w14:paraId="741B51AB"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Při zrušení objednávky se vrací záloha — § 9 řeší storno jako „</w:t>
            </w:r>
            <w:r w:rsidRPr="0035187E">
              <w:rPr>
                <w:rFonts w:ascii="Times New Roman" w:eastAsia="Calibri" w:hAnsi="Times New Roman" w:cs="Times New Roman"/>
                <w:bCs/>
                <w:i/>
                <w:iCs/>
                <w:sz w:val="20"/>
                <w:szCs w:val="20"/>
              </w:rPr>
              <w:t>zápornou tržbu“</w:t>
            </w:r>
            <w:r w:rsidRPr="0035187E">
              <w:rPr>
                <w:rFonts w:ascii="Times New Roman" w:eastAsia="Calibri" w:hAnsi="Times New Roman" w:cs="Times New Roman"/>
                <w:bCs/>
                <w:sz w:val="20"/>
                <w:szCs w:val="20"/>
              </w:rPr>
              <w:t>, ale jak se identifikuje, ke které původní tržbě se storno vztahuje? § 18 neobsahuje údaj „</w:t>
            </w:r>
            <w:r w:rsidRPr="0035187E">
              <w:rPr>
                <w:rFonts w:ascii="Times New Roman" w:eastAsia="Calibri" w:hAnsi="Times New Roman" w:cs="Times New Roman"/>
                <w:bCs/>
                <w:i/>
                <w:iCs/>
                <w:sz w:val="20"/>
                <w:szCs w:val="20"/>
              </w:rPr>
              <w:t>identifikace stornované tržby</w:t>
            </w:r>
            <w:r w:rsidRPr="0035187E">
              <w:rPr>
                <w:rFonts w:ascii="Times New Roman" w:eastAsia="Calibri" w:hAnsi="Times New Roman" w:cs="Times New Roman"/>
                <w:bCs/>
                <w:sz w:val="20"/>
                <w:szCs w:val="20"/>
              </w:rPr>
              <w:t>“.</w:t>
            </w:r>
          </w:p>
          <w:p w14:paraId="5718F33F" w14:textId="77777777" w:rsidR="000B4BD4" w:rsidRPr="0035187E" w:rsidRDefault="000B4BD4" w:rsidP="0035187E">
            <w:pPr>
              <w:jc w:val="both"/>
              <w:rPr>
                <w:rFonts w:ascii="Times New Roman" w:eastAsia="Calibri" w:hAnsi="Times New Roman" w:cs="Times New Roman"/>
                <w:bCs/>
                <w:sz w:val="20"/>
                <w:szCs w:val="20"/>
                <w:u w:val="single"/>
              </w:rPr>
            </w:pPr>
            <w:r w:rsidRPr="0035187E">
              <w:rPr>
                <w:rFonts w:ascii="Times New Roman" w:eastAsia="Calibri" w:hAnsi="Times New Roman" w:cs="Times New Roman"/>
                <w:bCs/>
                <w:sz w:val="20"/>
                <w:szCs w:val="20"/>
                <w:u w:val="single"/>
              </w:rPr>
              <w:t>Spropitné</w:t>
            </w:r>
          </w:p>
          <w:p w14:paraId="7338A7E7"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Nový zákon zavádí osvobození spropitného v gastronomii od DPFO (změna zákona č. 586/1992 Sb.). Ale pokud zákazník zaplatí účet 500 Kč + tip 50 Kč jednou kartovou platbou, POS systém přijme platbu 550 Kč. Je evidovanou tržbou 550 Kč nebo 500 Kč? Spropitné je příjem zaměstnance, nikoli poplatníka (zaměstnavatele) — nesplňuje tedy materiální znak „</w:t>
            </w:r>
            <w:r w:rsidRPr="0035187E">
              <w:rPr>
                <w:rFonts w:ascii="Times New Roman" w:eastAsia="Calibri" w:hAnsi="Times New Roman" w:cs="Times New Roman"/>
                <w:bCs/>
                <w:i/>
                <w:iCs/>
                <w:sz w:val="20"/>
                <w:szCs w:val="20"/>
              </w:rPr>
              <w:t>rozhodného příjmu</w:t>
            </w:r>
            <w:r w:rsidRPr="0035187E">
              <w:rPr>
                <w:rFonts w:ascii="Times New Roman" w:eastAsia="Calibri" w:hAnsi="Times New Roman" w:cs="Times New Roman"/>
                <w:bCs/>
                <w:sz w:val="20"/>
                <w:szCs w:val="20"/>
              </w:rPr>
              <w:t>“ (§ 8). Ale fyzicky je součástí jedné platby.</w:t>
            </w:r>
          </w:p>
          <w:p w14:paraId="61908A60" w14:textId="20DEECC1" w:rsidR="000B4BD4" w:rsidRPr="0035187E" w:rsidRDefault="000B4BD4" w:rsidP="0035187E">
            <w:pPr>
              <w:jc w:val="both"/>
              <w:rPr>
                <w:rFonts w:ascii="Times New Roman" w:hAnsi="Times New Roman" w:cs="Times New Roman"/>
                <w:sz w:val="20"/>
                <w:szCs w:val="20"/>
              </w:rPr>
            </w:pPr>
            <w:r w:rsidRPr="0035187E">
              <w:rPr>
                <w:rFonts w:ascii="Times New Roman" w:eastAsia="Calibri" w:hAnsi="Times New Roman" w:cs="Times New Roman"/>
                <w:bCs/>
                <w:sz w:val="20"/>
                <w:szCs w:val="20"/>
              </w:rPr>
              <w:t xml:space="preserve">Zákon tuto situaci neřeší a POS systém </w:t>
            </w:r>
            <w:proofErr w:type="gramStart"/>
            <w:r w:rsidRPr="0035187E">
              <w:rPr>
                <w:rFonts w:ascii="Times New Roman" w:eastAsia="Calibri" w:hAnsi="Times New Roman" w:cs="Times New Roman"/>
                <w:bCs/>
                <w:sz w:val="20"/>
                <w:szCs w:val="20"/>
              </w:rPr>
              <w:t>nemá</w:t>
            </w:r>
            <w:proofErr w:type="gramEnd"/>
            <w:r w:rsidRPr="0035187E">
              <w:rPr>
                <w:rFonts w:ascii="Times New Roman" w:eastAsia="Calibri" w:hAnsi="Times New Roman" w:cs="Times New Roman"/>
                <w:bCs/>
                <w:sz w:val="20"/>
                <w:szCs w:val="20"/>
              </w:rPr>
              <w:t xml:space="preserve"> jak v datové zprávě odlišit část platby, která je tržbou poplatníka, od části, která je příjmem zaměstnance.</w:t>
            </w:r>
          </w:p>
        </w:tc>
        <w:tc>
          <w:tcPr>
            <w:tcW w:w="1453" w:type="pct"/>
            <w:tcBorders>
              <w:top w:val="single" w:sz="4" w:space="0" w:color="auto"/>
              <w:left w:val="single" w:sz="4" w:space="0" w:color="auto"/>
              <w:right w:val="single" w:sz="4" w:space="0" w:color="auto"/>
            </w:tcBorders>
            <w:shd w:val="clear" w:color="auto" w:fill="auto"/>
          </w:tcPr>
          <w:p w14:paraId="6D48B03F" w14:textId="63CA366B"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Nevyhověno / Vysvětleno.</w:t>
            </w:r>
          </w:p>
          <w:p w14:paraId="57D9E34B" w14:textId="7AA79FC6"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Z pohledu konstrukce návrhu zákona, která vychází z obdobného konceptu, jaký byl u zákona předcházejícího, je evidovanou tržbou vždy konkrétní platba uskutečněná v daném čase. Není rozhodující, zda tato platba se týká celé související obchodní transakce, nebo pouze její části. Stejně tak není rozhodující, zda zbývající či předchozí platba týkající se téže obchodní transakce byla evidována, nebo nikoliv (např. protože nebyla provedena kontaktní platbou).</w:t>
            </w:r>
          </w:p>
          <w:p w14:paraId="0BA97BA6" w14:textId="43541E37" w:rsidR="000B4BD4" w:rsidRPr="0035187E" w:rsidRDefault="000B4BD4" w:rsidP="0035187E">
            <w:pPr>
              <w:jc w:val="both"/>
              <w:rPr>
                <w:rFonts w:ascii="Times New Roman" w:hAnsi="Times New Roman" w:cs="Times New Roman"/>
                <w:sz w:val="20"/>
                <w:szCs w:val="20"/>
              </w:rPr>
            </w:pPr>
          </w:p>
          <w:p w14:paraId="0D1806F7" w14:textId="1D53F98D"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Pojmem „</w:t>
            </w:r>
            <w:r w:rsidRPr="0035187E">
              <w:rPr>
                <w:rFonts w:ascii="Times New Roman" w:hAnsi="Times New Roman" w:cs="Times New Roman"/>
                <w:i/>
                <w:sz w:val="20"/>
                <w:szCs w:val="20"/>
              </w:rPr>
              <w:t>celková částka tržby</w:t>
            </w:r>
            <w:r w:rsidRPr="0035187E">
              <w:rPr>
                <w:rFonts w:ascii="Times New Roman" w:hAnsi="Times New Roman" w:cs="Times New Roman"/>
                <w:sz w:val="20"/>
                <w:szCs w:val="20"/>
              </w:rPr>
              <w:t>“ je tak nutné v kontextu celého ustanovení rozumět výši platby, která je evidovanou tržbou (nikoli případných jednotlivých položek, které tvoří nákup). Nejde však o celkovou částku dané obchodní transakce, neboť ta se může rozpadat do více samostatných plateb, z nichž každá je (či není) evidovanou tržbou.</w:t>
            </w:r>
          </w:p>
          <w:p w14:paraId="70F5801A" w14:textId="77777777" w:rsidR="000B4BD4" w:rsidRPr="0035187E" w:rsidRDefault="000B4BD4" w:rsidP="0035187E">
            <w:pPr>
              <w:jc w:val="both"/>
              <w:rPr>
                <w:rFonts w:ascii="Times New Roman" w:hAnsi="Times New Roman" w:cs="Times New Roman"/>
                <w:sz w:val="20"/>
                <w:szCs w:val="20"/>
              </w:rPr>
            </w:pPr>
          </w:p>
          <w:p w14:paraId="5F9692EB" w14:textId="5DAAC7F2"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Požadavek na normativní zakotvení povinného údaje, který by u každé evidované tržby vyžadoval údaj o obchodní transakci, se kterou souvisí, by znamenal zvýšení složitosti úpravy jdoucí proti deklarovanému cíli. Na poplatníky by v některých situacích byly kladeny nežádoucí zvýšené nároky na správné vyhodnocení dané situace. </w:t>
            </w:r>
          </w:p>
          <w:p w14:paraId="66E31FD1" w14:textId="77777777" w:rsidR="000B4BD4" w:rsidRPr="0035187E" w:rsidRDefault="000B4BD4" w:rsidP="0035187E">
            <w:pPr>
              <w:jc w:val="both"/>
              <w:rPr>
                <w:rFonts w:ascii="Times New Roman" w:hAnsi="Times New Roman" w:cs="Times New Roman"/>
                <w:sz w:val="20"/>
                <w:szCs w:val="20"/>
              </w:rPr>
            </w:pPr>
          </w:p>
          <w:p w14:paraId="5496194B" w14:textId="76B20FB9"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V případě zmíněné </w:t>
            </w:r>
            <w:proofErr w:type="spellStart"/>
            <w:r w:rsidRPr="0035187E">
              <w:rPr>
                <w:rFonts w:ascii="Times New Roman" w:hAnsi="Times New Roman" w:cs="Times New Roman"/>
                <w:sz w:val="20"/>
                <w:szCs w:val="20"/>
              </w:rPr>
              <w:t>splitované</w:t>
            </w:r>
            <w:proofErr w:type="spellEnd"/>
            <w:r w:rsidRPr="0035187E">
              <w:rPr>
                <w:rFonts w:ascii="Times New Roman" w:hAnsi="Times New Roman" w:cs="Times New Roman"/>
                <w:sz w:val="20"/>
                <w:szCs w:val="20"/>
              </w:rPr>
              <w:t xml:space="preserve"> platby bude v praxi záviset, zda k platbě různými metodami dojde fakticky samostatnými kroky, kdy evidence každého z nich bude moci proběhnout samostatně, nebo spojitě, kdy evidována bude pouze jedna společná částka. Oba způsoby jsou z pohledu evidence tržeb legitimní.</w:t>
            </w:r>
          </w:p>
          <w:p w14:paraId="2812133C" w14:textId="77777777" w:rsidR="000B4BD4" w:rsidRPr="0035187E" w:rsidRDefault="000B4BD4" w:rsidP="0035187E">
            <w:pPr>
              <w:jc w:val="both"/>
              <w:rPr>
                <w:rFonts w:ascii="Times New Roman" w:hAnsi="Times New Roman" w:cs="Times New Roman"/>
                <w:sz w:val="20"/>
                <w:szCs w:val="20"/>
              </w:rPr>
            </w:pPr>
          </w:p>
          <w:p w14:paraId="76AD49ED" w14:textId="0E8900C3"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U spropitného bude záviset, zda je příjmem podnikatele (pak není důvod pro jeho oddělení od ostatních příjmů), anebo je příjmem jeho zaměstnanců (pak je žádoucí, aby si tento podnikatel vedl záznam o tom, jaký objem z obdržených tržeb připadá na spropitné</w:t>
            </w:r>
            <w:r w:rsidR="008331E8" w:rsidRPr="0035187E">
              <w:rPr>
                <w:rFonts w:ascii="Times New Roman" w:hAnsi="Times New Roman" w:cs="Times New Roman"/>
                <w:sz w:val="20"/>
                <w:szCs w:val="20"/>
              </w:rPr>
              <w:t>)</w:t>
            </w:r>
            <w:r w:rsidRPr="0035187E">
              <w:rPr>
                <w:rFonts w:ascii="Times New Roman" w:hAnsi="Times New Roman" w:cs="Times New Roman"/>
                <w:sz w:val="20"/>
                <w:szCs w:val="20"/>
              </w:rPr>
              <w:t>. Z pohledu splnění povinnosti evidovat tržbu není nutné, aby k tomuto oddělení docházelo již při zaevidování tržby.</w:t>
            </w:r>
          </w:p>
          <w:p w14:paraId="75F27F97" w14:textId="2898602E" w:rsidR="000B4BD4" w:rsidRPr="0035187E" w:rsidRDefault="000B4BD4" w:rsidP="0035187E">
            <w:pPr>
              <w:jc w:val="both"/>
              <w:rPr>
                <w:rFonts w:ascii="Times New Roman" w:hAnsi="Times New Roman" w:cs="Times New Roman"/>
                <w:sz w:val="20"/>
                <w:szCs w:val="20"/>
              </w:rPr>
            </w:pPr>
          </w:p>
          <w:p w14:paraId="78AE84FF" w14:textId="40858DBF"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Přístup k tzv. voucherům a předplaceným kartám zůstává principiálně shodný, jako tomu bylo u předchozího zákona. Ustanovení § 18 odst. 2 požaduje, aby byl dodán údaj o „</w:t>
            </w:r>
            <w:r w:rsidRPr="0035187E">
              <w:rPr>
                <w:rFonts w:ascii="Times New Roman" w:hAnsi="Times New Roman" w:cs="Times New Roman"/>
                <w:i/>
                <w:sz w:val="20"/>
                <w:szCs w:val="20"/>
              </w:rPr>
              <w:t>celkové částce plateb určených k následnému čerpání nebo zúčtování</w:t>
            </w:r>
            <w:r w:rsidRPr="0035187E">
              <w:rPr>
                <w:rFonts w:ascii="Times New Roman" w:hAnsi="Times New Roman" w:cs="Times New Roman"/>
                <w:sz w:val="20"/>
                <w:szCs w:val="20"/>
              </w:rPr>
              <w:t>“ a údaj o „</w:t>
            </w:r>
            <w:r w:rsidRPr="0035187E">
              <w:rPr>
                <w:rFonts w:ascii="Times New Roman" w:hAnsi="Times New Roman" w:cs="Times New Roman"/>
                <w:i/>
                <w:sz w:val="20"/>
                <w:szCs w:val="20"/>
              </w:rPr>
              <w:t>celkové částce plateb, které jsou následným čerpáním nebo zúčtováním platby</w:t>
            </w:r>
            <w:r w:rsidRPr="0035187E">
              <w:rPr>
                <w:rFonts w:ascii="Times New Roman" w:hAnsi="Times New Roman" w:cs="Times New Roman"/>
                <w:sz w:val="20"/>
                <w:szCs w:val="20"/>
              </w:rPr>
              <w:t xml:space="preserve">“. Díky tomu má správce daně informaci, které mu umožní tyto údaje </w:t>
            </w:r>
            <w:r w:rsidRPr="0035187E">
              <w:rPr>
                <w:rFonts w:ascii="Times New Roman" w:hAnsi="Times New Roman" w:cs="Times New Roman"/>
                <w:sz w:val="20"/>
                <w:szCs w:val="20"/>
              </w:rPr>
              <w:lastRenderedPageBreak/>
              <w:t>správně rozklíčovat</w:t>
            </w:r>
            <w:r w:rsidR="008331E8" w:rsidRPr="0035187E">
              <w:rPr>
                <w:rFonts w:ascii="Times New Roman" w:hAnsi="Times New Roman" w:cs="Times New Roman"/>
                <w:sz w:val="20"/>
                <w:szCs w:val="20"/>
              </w:rPr>
              <w:t xml:space="preserve"> a docílit mj. toho, aby nebyly započítávány dvakrát</w:t>
            </w:r>
            <w:r w:rsidRPr="0035187E">
              <w:rPr>
                <w:rFonts w:ascii="Times New Roman" w:hAnsi="Times New Roman" w:cs="Times New Roman"/>
                <w:sz w:val="20"/>
                <w:szCs w:val="20"/>
              </w:rPr>
              <w:t>.</w:t>
            </w:r>
          </w:p>
          <w:p w14:paraId="086E1ED4" w14:textId="18BF1B84" w:rsidR="008331E8" w:rsidRPr="0035187E" w:rsidRDefault="008331E8" w:rsidP="0035187E">
            <w:pPr>
              <w:jc w:val="both"/>
              <w:rPr>
                <w:rFonts w:ascii="Times New Roman" w:hAnsi="Times New Roman" w:cs="Times New Roman"/>
                <w:sz w:val="20"/>
                <w:szCs w:val="20"/>
              </w:rPr>
            </w:pPr>
          </w:p>
          <w:p w14:paraId="08359AF4" w14:textId="77777777" w:rsidR="008331E8" w:rsidRPr="0035187E" w:rsidRDefault="008331E8" w:rsidP="0035187E">
            <w:r w:rsidRPr="0035187E">
              <w:rPr>
                <w:rFonts w:ascii="Times New Roman" w:hAnsi="Times New Roman" w:cs="Times New Roman"/>
                <w:sz w:val="20"/>
                <w:szCs w:val="20"/>
              </w:rPr>
              <w:t>Současně platí, že podrobnosti k jednotlivým tématům budou metodicky upraveny a zveřejněny ze strany Generálního finančního ředitelství.</w:t>
            </w:r>
          </w:p>
          <w:p w14:paraId="011963AA" w14:textId="767B2509" w:rsidR="000B4BD4" w:rsidRPr="0035187E" w:rsidRDefault="000B4BD4" w:rsidP="0035187E">
            <w:pPr>
              <w:jc w:val="both"/>
              <w:rPr>
                <w:rFonts w:ascii="Times New Roman" w:hAnsi="Times New Roman" w:cs="Times New Roman"/>
                <w:b/>
                <w:sz w:val="20"/>
                <w:szCs w:val="20"/>
              </w:rPr>
            </w:pPr>
          </w:p>
        </w:tc>
      </w:tr>
      <w:tr w:rsidR="0035187E" w:rsidRPr="0035187E" w14:paraId="2A99F8DC"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95D5258" w14:textId="61C9B4F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40.</w:t>
            </w:r>
          </w:p>
        </w:tc>
        <w:tc>
          <w:tcPr>
            <w:tcW w:w="583" w:type="pct"/>
            <w:tcBorders>
              <w:top w:val="single" w:sz="4" w:space="0" w:color="auto"/>
              <w:left w:val="single" w:sz="4" w:space="0" w:color="auto"/>
              <w:right w:val="single" w:sz="4" w:space="0" w:color="auto"/>
            </w:tcBorders>
            <w:shd w:val="clear" w:color="auto" w:fill="auto"/>
          </w:tcPr>
          <w:p w14:paraId="2C2CC606" w14:textId="1231345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4CB595AB" w14:textId="7968BDB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16.</w:t>
            </w:r>
          </w:p>
        </w:tc>
        <w:tc>
          <w:tcPr>
            <w:tcW w:w="169" w:type="pct"/>
            <w:tcBorders>
              <w:top w:val="single" w:sz="4" w:space="0" w:color="auto"/>
              <w:left w:val="single" w:sz="4" w:space="0" w:color="auto"/>
              <w:right w:val="single" w:sz="4" w:space="0" w:color="auto"/>
            </w:tcBorders>
            <w:shd w:val="clear" w:color="auto" w:fill="auto"/>
          </w:tcPr>
          <w:p w14:paraId="6D3B9184" w14:textId="4243C4C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F078182" w14:textId="77777777" w:rsidR="000B4BD4" w:rsidRPr="0035187E" w:rsidRDefault="000B4BD4" w:rsidP="0035187E">
            <w:pPr>
              <w:numPr>
                <w:ilvl w:val="0"/>
                <w:numId w:val="70"/>
              </w:numPr>
              <w:tabs>
                <w:tab w:val="left" w:pos="567"/>
              </w:tabs>
              <w:ind w:left="0" w:firstLine="4"/>
              <w:jc w:val="both"/>
              <w:rPr>
                <w:rFonts w:ascii="Times New Roman" w:eastAsia="Calibri" w:hAnsi="Times New Roman" w:cs="Times New Roman"/>
                <w:b/>
                <w:sz w:val="20"/>
                <w:szCs w:val="20"/>
              </w:rPr>
            </w:pPr>
            <w:r w:rsidRPr="0035187E">
              <w:rPr>
                <w:rFonts w:ascii="Times New Roman" w:eastAsia="Calibri" w:hAnsi="Times New Roman" w:cs="Times New Roman"/>
                <w:b/>
                <w:sz w:val="20"/>
                <w:szCs w:val="20"/>
              </w:rPr>
              <w:t>Připomínka k § 6 a § 7</w:t>
            </w:r>
          </w:p>
          <w:p w14:paraId="3E004AA4" w14:textId="44E9F2DA" w:rsidR="000B4BD4" w:rsidRPr="0035187E" w:rsidRDefault="000B4BD4" w:rsidP="0035187E">
            <w:p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Znění zákona dle našeho názoru opomíjí některé specifické (ale časté) situace v oblasti definice kontaktních plateb, a není tak zřejmé, jak by v jejich případě mělo být postupováno. Vznikají tak systémové mezery. Požadujeme proto znění zákona upravit dle níže uvedeného odůvodnění, ve kterém jsou popsány modelové příklady situací a kvůli přehlednosti rovněž konkrétní požadavky na úpravy znění zákona, které by tyto situace měly řešit.</w:t>
            </w:r>
          </w:p>
          <w:p w14:paraId="799A7613" w14:textId="77777777" w:rsidR="000B4BD4" w:rsidRPr="0035187E" w:rsidRDefault="000B4BD4" w:rsidP="0035187E">
            <w:pPr>
              <w:jc w:val="both"/>
              <w:rPr>
                <w:rFonts w:ascii="Times New Roman" w:hAnsi="Times New Roman" w:cs="Times New Roman"/>
                <w:sz w:val="20"/>
                <w:szCs w:val="20"/>
                <w:u w:val="single"/>
              </w:rPr>
            </w:pPr>
          </w:p>
          <w:p w14:paraId="2C3C5D6E" w14:textId="1C6F6C4D"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w:t>
            </w:r>
          </w:p>
          <w:p w14:paraId="22D9155C"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Klíčová definice „</w:t>
            </w:r>
            <w:r w:rsidRPr="0035187E">
              <w:rPr>
                <w:rFonts w:ascii="Times New Roman" w:hAnsi="Times New Roman" w:cs="Times New Roman"/>
                <w:i/>
                <w:iCs/>
                <w:sz w:val="20"/>
                <w:szCs w:val="20"/>
              </w:rPr>
              <w:t>kontaktní platby</w:t>
            </w:r>
            <w:r w:rsidRPr="0035187E">
              <w:rPr>
                <w:rFonts w:ascii="Times New Roman" w:hAnsi="Times New Roman" w:cs="Times New Roman"/>
                <w:sz w:val="20"/>
                <w:szCs w:val="20"/>
              </w:rPr>
              <w:t>“ v § 7 je poměrně široká — zahrnuje platbu „</w:t>
            </w:r>
            <w:r w:rsidRPr="0035187E">
              <w:rPr>
                <w:rFonts w:ascii="Times New Roman" w:hAnsi="Times New Roman" w:cs="Times New Roman"/>
                <w:i/>
                <w:iCs/>
                <w:sz w:val="20"/>
                <w:szCs w:val="20"/>
              </w:rPr>
              <w:t>v rámci osobního kontaktu s poplatníkem</w:t>
            </w:r>
            <w:r w:rsidRPr="0035187E">
              <w:rPr>
                <w:rFonts w:ascii="Times New Roman" w:hAnsi="Times New Roman" w:cs="Times New Roman"/>
                <w:sz w:val="20"/>
                <w:szCs w:val="20"/>
              </w:rPr>
              <w:t>“ nebo platbu „</w:t>
            </w:r>
            <w:r w:rsidRPr="0035187E">
              <w:rPr>
                <w:rFonts w:ascii="Times New Roman" w:hAnsi="Times New Roman" w:cs="Times New Roman"/>
                <w:i/>
                <w:iCs/>
                <w:sz w:val="20"/>
                <w:szCs w:val="20"/>
              </w:rPr>
              <w:t>ke které dochází v provozovně poplatníka v souvislosti s objednáním nebo přijetím zboží nebo služeb</w:t>
            </w:r>
            <w:r w:rsidRPr="0035187E">
              <w:rPr>
                <w:rFonts w:ascii="Times New Roman" w:hAnsi="Times New Roman" w:cs="Times New Roman"/>
                <w:sz w:val="20"/>
                <w:szCs w:val="20"/>
              </w:rPr>
              <w:t>“. Navíc § 7 odst. 2 rozšiřuje definici na jakoukoli hotovostní platbu, i bez osobního kontaktu. Konkrétní nejasné případy:</w:t>
            </w:r>
          </w:p>
          <w:p w14:paraId="7D154070"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lastRenderedPageBreak/>
              <w:t>Objednávka přes mobil s vyzvednutím v provozovně (</w:t>
            </w:r>
            <w:proofErr w:type="spellStart"/>
            <w:r w:rsidRPr="0035187E">
              <w:rPr>
                <w:rFonts w:ascii="Times New Roman" w:eastAsia="Calibri" w:hAnsi="Times New Roman" w:cs="Times New Roman"/>
                <w:bCs/>
                <w:sz w:val="20"/>
                <w:szCs w:val="20"/>
              </w:rPr>
              <w:t>click</w:t>
            </w:r>
            <w:proofErr w:type="spellEnd"/>
            <w:r w:rsidRPr="0035187E">
              <w:rPr>
                <w:rFonts w:ascii="Times New Roman" w:eastAsia="Calibri" w:hAnsi="Times New Roman" w:cs="Times New Roman"/>
                <w:bCs/>
                <w:sz w:val="20"/>
                <w:szCs w:val="20"/>
              </w:rPr>
              <w:t xml:space="preserve"> &amp; </w:t>
            </w:r>
            <w:proofErr w:type="spellStart"/>
            <w:r w:rsidRPr="0035187E">
              <w:rPr>
                <w:rFonts w:ascii="Times New Roman" w:eastAsia="Calibri" w:hAnsi="Times New Roman" w:cs="Times New Roman"/>
                <w:bCs/>
                <w:sz w:val="20"/>
                <w:szCs w:val="20"/>
              </w:rPr>
              <w:t>collect</w:t>
            </w:r>
            <w:proofErr w:type="spellEnd"/>
            <w:r w:rsidRPr="0035187E">
              <w:rPr>
                <w:rFonts w:ascii="Times New Roman" w:eastAsia="Calibri" w:hAnsi="Times New Roman" w:cs="Times New Roman"/>
                <w:bCs/>
                <w:sz w:val="20"/>
                <w:szCs w:val="20"/>
              </w:rPr>
              <w:t>): platba kartou online, zboží vyzvednuto v provozovně — je to kontaktní platba?</w:t>
            </w:r>
          </w:p>
          <w:p w14:paraId="3355F69C"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QR platba zákazníka, který naskenuje kód na stole v restauraci: zákazník platí bezhotovostně v provozovně, ale bez přímé interakce s poplatníkem.</w:t>
            </w:r>
          </w:p>
          <w:p w14:paraId="03E28422"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Platba přes terminál při donášce: kurýr (často třetí strana) přijímá platbu mimo provozovnu.</w:t>
            </w:r>
          </w:p>
          <w:p w14:paraId="23F3CE71"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Marketplace model (</w:t>
            </w:r>
            <w:proofErr w:type="spellStart"/>
            <w:r w:rsidRPr="0035187E">
              <w:rPr>
                <w:rFonts w:ascii="Times New Roman" w:eastAsia="Calibri" w:hAnsi="Times New Roman" w:cs="Times New Roman"/>
                <w:bCs/>
                <w:sz w:val="20"/>
                <w:szCs w:val="20"/>
              </w:rPr>
              <w:t>Bolt</w:t>
            </w:r>
            <w:proofErr w:type="spellEnd"/>
            <w:r w:rsidRPr="0035187E">
              <w:rPr>
                <w:rFonts w:ascii="Times New Roman" w:eastAsia="Calibri" w:hAnsi="Times New Roman" w:cs="Times New Roman"/>
                <w:bCs/>
                <w:sz w:val="20"/>
                <w:szCs w:val="20"/>
              </w:rPr>
              <w:t xml:space="preserve"> Food, </w:t>
            </w:r>
            <w:proofErr w:type="spellStart"/>
            <w:r w:rsidRPr="0035187E">
              <w:rPr>
                <w:rFonts w:ascii="Times New Roman" w:eastAsia="Calibri" w:hAnsi="Times New Roman" w:cs="Times New Roman"/>
                <w:bCs/>
                <w:sz w:val="20"/>
                <w:szCs w:val="20"/>
              </w:rPr>
              <w:t>Wolt</w:t>
            </w:r>
            <w:proofErr w:type="spellEnd"/>
            <w:r w:rsidRPr="0035187E">
              <w:rPr>
                <w:rFonts w:ascii="Times New Roman" w:eastAsia="Calibri" w:hAnsi="Times New Roman" w:cs="Times New Roman"/>
                <w:bCs/>
                <w:sz w:val="20"/>
                <w:szCs w:val="20"/>
              </w:rPr>
              <w:t>): objednávka přes platformu, platba platformě, vyúčtování restauraci — kdo eviduje?</w:t>
            </w:r>
          </w:p>
          <w:p w14:paraId="5B438078"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Záloha na akci/catering: složena bezhotovostně předem, plnění později v provozovně.</w:t>
            </w:r>
          </w:p>
          <w:p w14:paraId="47A45702"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Podnikatel obdrží dodávku zboží či služby a následně provede v provozovně bezhotovostní úhradu faktury. Jde o platbu, ke které dochází v provozovně poplatníka v souvislosti s objednáním nebo přijetím zboží nebo služby?</w:t>
            </w:r>
          </w:p>
          <w:p w14:paraId="06AAB249"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Poplatník vystaví svému klientovi fakturu za své služby a následně tuto fakturu provedením bankovního příkazu z účtu klienta (k čemuž je zmocněn) uhradí, přičemž zadání úhrady provede ze své provozovny.</w:t>
            </w:r>
          </w:p>
          <w:p w14:paraId="5D8643BB"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Je třeba postavit najisto, zda se provozovnou rozumí nejen stavba, ale i pozemek související se stavbou – např. pokud bude tržba hrazena QR kódem z předzahrádky restauračního zařízení nebo venkovního stánku s několika místy k sezení, bude se jednat o evidovanou tržbu?</w:t>
            </w:r>
          </w:p>
          <w:p w14:paraId="02E13308"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Mnohé z uvedených kolizních situací jsou problémem i pro dodavatele pokladních systémů:</w:t>
            </w:r>
          </w:p>
          <w:p w14:paraId="146F6212"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i/>
                <w:iCs/>
                <w:sz w:val="20"/>
                <w:szCs w:val="20"/>
              </w:rPr>
              <w:t xml:space="preserve">Point </w:t>
            </w:r>
            <w:proofErr w:type="spellStart"/>
            <w:r w:rsidRPr="0035187E">
              <w:rPr>
                <w:rFonts w:ascii="Times New Roman" w:eastAsia="Calibri" w:hAnsi="Times New Roman" w:cs="Times New Roman"/>
                <w:bCs/>
                <w:i/>
                <w:iCs/>
                <w:sz w:val="20"/>
                <w:szCs w:val="20"/>
              </w:rPr>
              <w:t>of</w:t>
            </w:r>
            <w:proofErr w:type="spellEnd"/>
            <w:r w:rsidRPr="0035187E">
              <w:rPr>
                <w:rFonts w:ascii="Times New Roman" w:eastAsia="Calibri" w:hAnsi="Times New Roman" w:cs="Times New Roman"/>
                <w:bCs/>
                <w:i/>
                <w:iCs/>
                <w:sz w:val="20"/>
                <w:szCs w:val="20"/>
              </w:rPr>
              <w:t xml:space="preserve"> </w:t>
            </w:r>
            <w:proofErr w:type="spellStart"/>
            <w:r w:rsidRPr="0035187E">
              <w:rPr>
                <w:rFonts w:ascii="Times New Roman" w:eastAsia="Calibri" w:hAnsi="Times New Roman" w:cs="Times New Roman"/>
                <w:bCs/>
                <w:i/>
                <w:iCs/>
                <w:sz w:val="20"/>
                <w:szCs w:val="20"/>
              </w:rPr>
              <w:t>sale</w:t>
            </w:r>
            <w:proofErr w:type="spellEnd"/>
            <w:r w:rsidRPr="0035187E">
              <w:rPr>
                <w:rFonts w:ascii="Times New Roman" w:eastAsia="Calibri" w:hAnsi="Times New Roman" w:cs="Times New Roman"/>
                <w:bCs/>
                <w:sz w:val="20"/>
                <w:szCs w:val="20"/>
              </w:rPr>
              <w:t xml:space="preserve"> (POS) systém musí jednoznačně rozlišit, které tržby evidovat a které ne.</w:t>
            </w:r>
          </w:p>
          <w:p w14:paraId="10120DCF"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Hraniční případy nelze řešit „softwarově“ — je třeba zajistit právní jistotu.</w:t>
            </w:r>
          </w:p>
          <w:p w14:paraId="1FA86A56"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Zrušení závazného posouzení (§ 13 odst. 3 důvodové zprávy) znamená, že poplatník se nemůže předem ujistit.</w:t>
            </w:r>
          </w:p>
          <w:p w14:paraId="55343229" w14:textId="77777777" w:rsidR="000B4BD4" w:rsidRPr="0035187E" w:rsidRDefault="000B4BD4" w:rsidP="0035187E">
            <w:pPr>
              <w:jc w:val="both"/>
              <w:rPr>
                <w:rFonts w:ascii="Times New Roman" w:eastAsia="Calibri" w:hAnsi="Times New Roman" w:cs="Times New Roman"/>
                <w:bCs/>
                <w:sz w:val="20"/>
                <w:szCs w:val="20"/>
                <w:u w:val="single"/>
              </w:rPr>
            </w:pPr>
          </w:p>
          <w:p w14:paraId="1B041832" w14:textId="35B0A845" w:rsidR="000B4BD4" w:rsidRPr="0035187E" w:rsidRDefault="000B4BD4" w:rsidP="0035187E">
            <w:pPr>
              <w:jc w:val="both"/>
              <w:rPr>
                <w:rFonts w:ascii="Times New Roman" w:eastAsia="Calibri" w:hAnsi="Times New Roman" w:cs="Times New Roman"/>
                <w:bCs/>
                <w:sz w:val="20"/>
                <w:szCs w:val="20"/>
                <w:u w:val="single"/>
              </w:rPr>
            </w:pPr>
            <w:r w:rsidRPr="0035187E">
              <w:rPr>
                <w:rFonts w:ascii="Times New Roman" w:eastAsia="Calibri" w:hAnsi="Times New Roman" w:cs="Times New Roman"/>
                <w:bCs/>
                <w:sz w:val="20"/>
                <w:szCs w:val="20"/>
                <w:u w:val="single"/>
              </w:rPr>
              <w:t>Modelový příklad č. 1: Online záloha za rezervaci v restauraci</w:t>
            </w:r>
          </w:p>
          <w:p w14:paraId="0720FD6D"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Zákazník si přes internet rezervuje stůl v restauraci a zaplatí online (bezhotovostním převodem) zálohu 500 Kč. V restauraci pak konzumuje za 1 000 Kč. Záloha 500 Kč se započte a zákazník na místě doplatí kartou zbývajících 500 Kč. Celkový reálný příjem restaurace je 1 000 Kč.</w:t>
            </w:r>
          </w:p>
          <w:p w14:paraId="17A6E81C"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Právní analýza podle § 5 až 7:</w:t>
            </w:r>
          </w:p>
          <w:p w14:paraId="792345C5"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noProof/>
                <w:sz w:val="20"/>
                <w:szCs w:val="20"/>
              </w:rPr>
              <w:lastRenderedPageBreak/>
              <w:drawing>
                <wp:inline distT="0" distB="0" distL="0" distR="0" wp14:anchorId="24993A26" wp14:editId="27F412CC">
                  <wp:extent cx="4480170" cy="2538483"/>
                  <wp:effectExtent l="0" t="0" r="0" b="0"/>
                  <wp:docPr id="773107788" name="Obrázek 1" descr="Obsah obrázku text, snímek obrazovky, číslo, Písm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107788" name="Obrázek 1" descr="Obsah obrázku text, snímek obrazovky, číslo, Písmo&#10;&#10;Popis byl vytvořen automaticky"/>
                          <pic:cNvPicPr/>
                        </pic:nvPicPr>
                        <pic:blipFill>
                          <a:blip r:embed="rId11"/>
                          <a:stretch>
                            <a:fillRect/>
                          </a:stretch>
                        </pic:blipFill>
                        <pic:spPr>
                          <a:xfrm>
                            <a:off x="0" y="0"/>
                            <a:ext cx="4483571" cy="2540410"/>
                          </a:xfrm>
                          <a:prstGeom prst="rect">
                            <a:avLst/>
                          </a:prstGeom>
                        </pic:spPr>
                      </pic:pic>
                    </a:graphicData>
                  </a:graphic>
                </wp:inline>
              </w:drawing>
            </w:r>
          </w:p>
          <w:p w14:paraId="5938A155"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Výsledek:</w:t>
            </w:r>
          </w:p>
          <w:p w14:paraId="6C922300"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noProof/>
                <w:sz w:val="20"/>
                <w:szCs w:val="20"/>
              </w:rPr>
              <w:drawing>
                <wp:inline distT="0" distB="0" distL="0" distR="0" wp14:anchorId="4F0729C4" wp14:editId="325DF157">
                  <wp:extent cx="4479925" cy="1360696"/>
                  <wp:effectExtent l="0" t="0" r="0" b="0"/>
                  <wp:docPr id="1798086701" name="Obrázek 1" descr="Obsah obrázku text, řada/pruh, Písmo, čísl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8086701" name="Obrázek 1" descr="Obsah obrázku text, řada/pruh, Písmo, číslo&#10;&#10;Popis byl vytvořen automaticky"/>
                          <pic:cNvPicPr/>
                        </pic:nvPicPr>
                        <pic:blipFill>
                          <a:blip r:embed="rId12"/>
                          <a:stretch>
                            <a:fillRect/>
                          </a:stretch>
                        </pic:blipFill>
                        <pic:spPr>
                          <a:xfrm>
                            <a:off x="0" y="0"/>
                            <a:ext cx="4493607" cy="1364852"/>
                          </a:xfrm>
                          <a:prstGeom prst="rect">
                            <a:avLst/>
                          </a:prstGeom>
                        </pic:spPr>
                      </pic:pic>
                    </a:graphicData>
                  </a:graphic>
                </wp:inline>
              </w:drawing>
            </w:r>
          </w:p>
          <w:p w14:paraId="3D55B122"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Proč je to systémový problém – nikoliv okrajový případ:</w:t>
            </w:r>
          </w:p>
          <w:p w14:paraId="1B794231"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Zákonný stimul k obcházení. Stačí, aby jakýkoli podnikatel zavedl model „online záloha + doplatek na místě“ a legálně sníží evidovaný obrat. Čím vyšší záloha, tím méně dat vidí FS ČR. Nejde o obcházení zákona — jde o přímý důsledek definice kontaktní platby. Tento model přitom odpovídá běžné praxi v gastronomii (rezervační poplatky), ubytování (zálohy na pobyt), službách (zálohy na akce/catering) i řemeslech (zálohy na zakázku).</w:t>
            </w:r>
          </w:p>
          <w:p w14:paraId="15ED074D"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Nekonzistence podle způsobu zaplacení zálohy. Kdyby zákazník tutéž zálohu 500 Kč zaplatil hotově (např. na recepci), šlo by o kontaktní platbu (§ 7 odst. 2 — hotovost je kontaktní vždy), a její započtení by spadlo pod § 6 odst. 2. V takovém případě by bylo evidováno celých 1 000 Kč. Identický obchodní případ → rozdílný evidovaný obrat → porušení principu neutrality, který zákon deklaruje v důvodové zprávě.</w:t>
            </w:r>
          </w:p>
          <w:p w14:paraId="413DE2F9"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 xml:space="preserve">POS systém se </w:t>
            </w:r>
            <w:proofErr w:type="gramStart"/>
            <w:r w:rsidRPr="0035187E">
              <w:rPr>
                <w:rFonts w:ascii="Times New Roman" w:eastAsia="Calibri" w:hAnsi="Times New Roman" w:cs="Times New Roman"/>
                <w:bCs/>
                <w:sz w:val="20"/>
                <w:szCs w:val="20"/>
              </w:rPr>
              <w:t>nemá</w:t>
            </w:r>
            <w:proofErr w:type="gramEnd"/>
            <w:r w:rsidRPr="0035187E">
              <w:rPr>
                <w:rFonts w:ascii="Times New Roman" w:eastAsia="Calibri" w:hAnsi="Times New Roman" w:cs="Times New Roman"/>
                <w:bCs/>
                <w:sz w:val="20"/>
                <w:szCs w:val="20"/>
              </w:rPr>
              <w:t xml:space="preserve"> jak rozhodnout. Pokladní systém při příchodu zákazníka vidí transakci za 1 000 Kč a informaci o záloze 500 Kč. Aby správně určil, kolik evidovat, musí vědět, jakým způsobem byla záloha zaplacena (online bezhotovostně vs. hotově vs. </w:t>
            </w:r>
            <w:r w:rsidRPr="0035187E">
              <w:rPr>
                <w:rFonts w:ascii="Times New Roman" w:eastAsia="Calibri" w:hAnsi="Times New Roman" w:cs="Times New Roman"/>
                <w:bCs/>
                <w:sz w:val="20"/>
                <w:szCs w:val="20"/>
              </w:rPr>
              <w:lastRenderedPageBreak/>
              <w:t>kartou na místě). Zákon tuto povinnost na POS systém nikde neukládá a datová zpráva (§ 18) pro tuto informaci nemá položku.</w:t>
            </w:r>
          </w:p>
          <w:p w14:paraId="7E3947AA"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Rozpor s účelem zákona. § 1 odst. 2 deklaruje „</w:t>
            </w:r>
            <w:r w:rsidRPr="0035187E">
              <w:rPr>
                <w:rFonts w:ascii="Times New Roman" w:eastAsia="Calibri" w:hAnsi="Times New Roman" w:cs="Times New Roman"/>
                <w:bCs/>
                <w:i/>
                <w:iCs/>
                <w:sz w:val="20"/>
                <w:szCs w:val="20"/>
              </w:rPr>
              <w:t>jednotné a automatizované zjišťování informací o evidovaných tržbách</w:t>
            </w:r>
            <w:r w:rsidRPr="0035187E">
              <w:rPr>
                <w:rFonts w:ascii="Times New Roman" w:eastAsia="Calibri" w:hAnsi="Times New Roman" w:cs="Times New Roman"/>
                <w:bCs/>
                <w:sz w:val="20"/>
                <w:szCs w:val="20"/>
              </w:rPr>
              <w:t>“. Online zálohy v gastronomii, ubytování a službách jsou rostoucí trend — systém, který je systematicky nevidí, nesplňuje svůj vlastní účel.</w:t>
            </w:r>
          </w:p>
          <w:p w14:paraId="767F4375" w14:textId="77777777" w:rsidR="000B4BD4" w:rsidRPr="0035187E" w:rsidRDefault="000B4BD4" w:rsidP="0035187E">
            <w:pPr>
              <w:jc w:val="both"/>
              <w:rPr>
                <w:rFonts w:ascii="Times New Roman" w:eastAsia="Calibri" w:hAnsi="Times New Roman" w:cs="Times New Roman"/>
                <w:b/>
                <w:sz w:val="20"/>
                <w:szCs w:val="20"/>
              </w:rPr>
            </w:pPr>
          </w:p>
          <w:p w14:paraId="0B4BE5B4"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V návaznosti na výše uvedené proto požadujeme provést v návrhu zákona následující úpravy.</w:t>
            </w:r>
          </w:p>
          <w:p w14:paraId="79B7EA27"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a) Požadujeme do textu ustanovení § 7 doplnit demonstrativní výčet situací, které se za kontaktní platbu považují a nepovažují.</w:t>
            </w:r>
          </w:p>
          <w:p w14:paraId="1F9ECA1D"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 xml:space="preserve">b) Požadujeme výslovně řešit situaci </w:t>
            </w:r>
            <w:proofErr w:type="spellStart"/>
            <w:r w:rsidRPr="0035187E">
              <w:rPr>
                <w:rFonts w:ascii="Times New Roman" w:eastAsia="Calibri" w:hAnsi="Times New Roman" w:cs="Times New Roman"/>
                <w:bCs/>
                <w:sz w:val="20"/>
                <w:szCs w:val="20"/>
              </w:rPr>
              <w:t>marketplace</w:t>
            </w:r>
            <w:proofErr w:type="spellEnd"/>
            <w:r w:rsidRPr="0035187E">
              <w:rPr>
                <w:rFonts w:ascii="Times New Roman" w:eastAsia="Calibri" w:hAnsi="Times New Roman" w:cs="Times New Roman"/>
                <w:bCs/>
                <w:sz w:val="20"/>
                <w:szCs w:val="20"/>
              </w:rPr>
              <w:t>/</w:t>
            </w:r>
            <w:proofErr w:type="spellStart"/>
            <w:r w:rsidRPr="0035187E">
              <w:rPr>
                <w:rFonts w:ascii="Times New Roman" w:eastAsia="Calibri" w:hAnsi="Times New Roman" w:cs="Times New Roman"/>
                <w:bCs/>
                <w:sz w:val="20"/>
                <w:szCs w:val="20"/>
              </w:rPr>
              <w:t>platformových</w:t>
            </w:r>
            <w:proofErr w:type="spellEnd"/>
            <w:r w:rsidRPr="0035187E">
              <w:rPr>
                <w:rFonts w:ascii="Times New Roman" w:eastAsia="Calibri" w:hAnsi="Times New Roman" w:cs="Times New Roman"/>
                <w:bCs/>
                <w:sz w:val="20"/>
                <w:szCs w:val="20"/>
              </w:rPr>
              <w:t xml:space="preserve"> služeb – kdo eviduje (platforma vs. dodavatel). Alternativně požadujeme obnovit institut závazného posouzení pro hraniční případy.</w:t>
            </w:r>
          </w:p>
          <w:p w14:paraId="29BC7C66"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c) Požadujeme rozšířit § 6 odst. 2 tak, aby se započtení zálohy/kauce považovalo za evidovanou tržbu vždy, když k samotnému čerpání (přijetí zboží/služby) dochází v provozovně nebo při osobním kontaktu — bez ohledu na to, jakým způsobem byla záloha původně složena. Jako možnou konkrétní formulaci k doplnění navrhujeme:</w:t>
            </w:r>
          </w:p>
          <w:p w14:paraId="3EFD21EE" w14:textId="77777777" w:rsidR="000B4BD4" w:rsidRPr="0035187E" w:rsidRDefault="000B4BD4" w:rsidP="0035187E">
            <w:pPr>
              <w:jc w:val="both"/>
              <w:rPr>
                <w:rFonts w:ascii="Times New Roman" w:eastAsia="Calibri" w:hAnsi="Times New Roman" w:cs="Times New Roman"/>
                <w:bCs/>
                <w:i/>
                <w:iCs/>
                <w:sz w:val="20"/>
                <w:szCs w:val="20"/>
              </w:rPr>
            </w:pPr>
            <w:r w:rsidRPr="0035187E">
              <w:rPr>
                <w:rFonts w:ascii="Times New Roman" w:eastAsia="Calibri" w:hAnsi="Times New Roman" w:cs="Times New Roman"/>
                <w:bCs/>
                <w:i/>
                <w:iCs/>
                <w:sz w:val="20"/>
                <w:szCs w:val="20"/>
              </w:rPr>
              <w:t>„Formální náležitosti pro evidovanou tržbu splňuje také platba poplatníkovi, která je uskutečněna započtením kauce nebo obdobné jistoty</w:t>
            </w:r>
            <w:r w:rsidRPr="0035187E">
              <w:rPr>
                <w:rFonts w:ascii="Times New Roman" w:eastAsia="Calibri" w:hAnsi="Times New Roman" w:cs="Times New Roman"/>
                <w:b/>
                <w:i/>
                <w:iCs/>
                <w:sz w:val="20"/>
                <w:szCs w:val="20"/>
              </w:rPr>
              <w:t>,</w:t>
            </w:r>
            <w:r w:rsidRPr="0035187E">
              <w:rPr>
                <w:rFonts w:ascii="Times New Roman" w:eastAsia="Calibri" w:hAnsi="Times New Roman" w:cs="Times New Roman"/>
                <w:bCs/>
                <w:i/>
                <w:iCs/>
                <w:sz w:val="20"/>
                <w:szCs w:val="20"/>
              </w:rPr>
              <w:t xml:space="preserve"> </w:t>
            </w:r>
            <w:r w:rsidRPr="0035187E">
              <w:rPr>
                <w:rFonts w:ascii="Times New Roman" w:eastAsia="Calibri" w:hAnsi="Times New Roman" w:cs="Times New Roman"/>
                <w:bCs/>
                <w:i/>
                <w:iCs/>
                <w:strike/>
                <w:sz w:val="20"/>
                <w:szCs w:val="20"/>
              </w:rPr>
              <w:t xml:space="preserve">složené kontaktní </w:t>
            </w:r>
            <w:proofErr w:type="gramStart"/>
            <w:r w:rsidRPr="0035187E">
              <w:rPr>
                <w:rFonts w:ascii="Times New Roman" w:eastAsia="Calibri" w:hAnsi="Times New Roman" w:cs="Times New Roman"/>
                <w:bCs/>
                <w:i/>
                <w:iCs/>
                <w:strike/>
                <w:sz w:val="20"/>
                <w:szCs w:val="20"/>
              </w:rPr>
              <w:t>platbou</w:t>
            </w:r>
            <w:proofErr w:type="gramEnd"/>
            <w:r w:rsidRPr="0035187E">
              <w:rPr>
                <w:rFonts w:ascii="Times New Roman" w:eastAsia="Calibri" w:hAnsi="Times New Roman" w:cs="Times New Roman"/>
                <w:bCs/>
                <w:i/>
                <w:iCs/>
                <w:sz w:val="20"/>
                <w:szCs w:val="20"/>
              </w:rPr>
              <w:t xml:space="preserve"> </w:t>
            </w:r>
            <w:r w:rsidRPr="0035187E">
              <w:rPr>
                <w:rFonts w:ascii="Times New Roman" w:eastAsia="Calibri" w:hAnsi="Times New Roman" w:cs="Times New Roman"/>
                <w:b/>
                <w:i/>
                <w:iCs/>
                <w:sz w:val="20"/>
                <w:szCs w:val="20"/>
              </w:rPr>
              <w:t>pokud k čerpání plnění, s nímž kauce nebo jistota souvisí, dochází v rámci osobního kontaktu s poplatníkem nebo v jeho provozovně</w:t>
            </w:r>
            <w:r w:rsidRPr="0035187E">
              <w:rPr>
                <w:rFonts w:ascii="Times New Roman" w:eastAsia="Calibri" w:hAnsi="Times New Roman" w:cs="Times New Roman"/>
                <w:bCs/>
                <w:i/>
                <w:iCs/>
                <w:sz w:val="20"/>
                <w:szCs w:val="20"/>
              </w:rPr>
              <w:t>.“.</w:t>
            </w:r>
          </w:p>
          <w:p w14:paraId="100B8F3D"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Alternativně požadujeme doplnit do textu ustanovení § 5 nový odstavec v následujícím znění, díky kterému by záloha „zdědila“ charakter evidované tržby od doplatku:</w:t>
            </w:r>
          </w:p>
          <w:p w14:paraId="2682E097" w14:textId="77777777" w:rsidR="000B4BD4" w:rsidRPr="0035187E" w:rsidRDefault="000B4BD4" w:rsidP="0035187E">
            <w:pPr>
              <w:jc w:val="both"/>
              <w:rPr>
                <w:rFonts w:ascii="Times New Roman" w:eastAsia="Calibri" w:hAnsi="Times New Roman" w:cs="Times New Roman"/>
                <w:bCs/>
                <w:i/>
                <w:iCs/>
                <w:sz w:val="20"/>
                <w:szCs w:val="20"/>
              </w:rPr>
            </w:pPr>
            <w:r w:rsidRPr="0035187E">
              <w:rPr>
                <w:rFonts w:ascii="Times New Roman" w:eastAsia="Calibri" w:hAnsi="Times New Roman" w:cs="Times New Roman"/>
                <w:bCs/>
                <w:i/>
                <w:iCs/>
                <w:sz w:val="20"/>
                <w:szCs w:val="20"/>
              </w:rPr>
              <w:t>„</w:t>
            </w:r>
            <w:r w:rsidRPr="0035187E">
              <w:rPr>
                <w:rFonts w:ascii="Times New Roman" w:eastAsia="Calibri" w:hAnsi="Times New Roman" w:cs="Times New Roman"/>
                <w:b/>
                <w:i/>
                <w:iCs/>
                <w:sz w:val="20"/>
                <w:szCs w:val="20"/>
              </w:rPr>
              <w:t>Evidovanou tržbou je rovněž platba, která nesplňuje formální náležitosti pro evidovanou tržbu, je-li přijata jako záloha, kauce nebo obdobná jistota v souvislosti s plněním, při jehož poskytnutí dochází k přijetí jiné evidované tržby od téhož příjemce plnění</w:t>
            </w:r>
            <w:r w:rsidRPr="0035187E">
              <w:rPr>
                <w:rFonts w:ascii="Times New Roman" w:eastAsia="Calibri" w:hAnsi="Times New Roman" w:cs="Times New Roman"/>
                <w:bCs/>
                <w:i/>
                <w:iCs/>
                <w:sz w:val="20"/>
                <w:szCs w:val="20"/>
              </w:rPr>
              <w:t>.“.</w:t>
            </w:r>
          </w:p>
          <w:p w14:paraId="022F48E0" w14:textId="77777777" w:rsidR="000B4BD4" w:rsidRPr="0035187E" w:rsidRDefault="000B4BD4" w:rsidP="0035187E">
            <w:pPr>
              <w:jc w:val="both"/>
              <w:rPr>
                <w:rFonts w:ascii="Times New Roman" w:eastAsia="Calibri" w:hAnsi="Times New Roman" w:cs="Times New Roman"/>
                <w:bCs/>
                <w:sz w:val="20"/>
                <w:szCs w:val="20"/>
              </w:rPr>
            </w:pPr>
          </w:p>
          <w:p w14:paraId="05EEDB00" w14:textId="4E753998" w:rsidR="000B4BD4" w:rsidRPr="0035187E" w:rsidRDefault="000B4BD4" w:rsidP="0035187E">
            <w:pPr>
              <w:jc w:val="both"/>
              <w:rPr>
                <w:rFonts w:ascii="Times New Roman" w:eastAsia="Calibri" w:hAnsi="Times New Roman" w:cs="Times New Roman"/>
                <w:b/>
                <w:sz w:val="20"/>
                <w:szCs w:val="20"/>
              </w:rPr>
            </w:pPr>
            <w:r w:rsidRPr="0035187E">
              <w:rPr>
                <w:rFonts w:ascii="Times New Roman" w:eastAsia="Calibri" w:hAnsi="Times New Roman" w:cs="Times New Roman"/>
                <w:bCs/>
                <w:sz w:val="20"/>
                <w:szCs w:val="20"/>
              </w:rPr>
              <w:t xml:space="preserve">Další problémy spatřujeme v situacích, které ilustruje </w:t>
            </w:r>
            <w:r w:rsidRPr="0035187E">
              <w:rPr>
                <w:rFonts w:ascii="Times New Roman" w:eastAsia="Calibri" w:hAnsi="Times New Roman" w:cs="Times New Roman"/>
                <w:bCs/>
                <w:sz w:val="20"/>
                <w:szCs w:val="20"/>
                <w:u w:val="single"/>
              </w:rPr>
              <w:t>modelový příklad č. 2 Rozvozové služby a platformy — výjimka ze zprostředkování (§ 7 odst., věta 2.)</w:t>
            </w:r>
          </w:p>
          <w:p w14:paraId="37542FD2"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 7 odst. 2 věta první stanoví, že hotovostní a „hmotná“ platba je kontaktní vždy — i bez osobního kontaktu, i mimo provozovnu. Věta 2. však obsahuje výjimku: „</w:t>
            </w:r>
            <w:r w:rsidRPr="0035187E">
              <w:rPr>
                <w:rFonts w:ascii="Times New Roman" w:eastAsia="Calibri" w:hAnsi="Times New Roman" w:cs="Times New Roman"/>
                <w:bCs/>
                <w:i/>
                <w:iCs/>
                <w:sz w:val="20"/>
                <w:szCs w:val="20"/>
              </w:rPr>
              <w:t>To neplatí, je-li tato platba zprostředkována jinou osobou, která nejedná v přímém ani nepřímém zastoupení poplatníka, provedením převodu peněžních prostředků na platební účet tohoto poplatníka</w:t>
            </w:r>
            <w:r w:rsidRPr="0035187E">
              <w:rPr>
                <w:rFonts w:ascii="Times New Roman" w:eastAsia="Calibri" w:hAnsi="Times New Roman" w:cs="Times New Roman"/>
                <w:bCs/>
                <w:sz w:val="20"/>
                <w:szCs w:val="20"/>
              </w:rPr>
              <w:t>.“.</w:t>
            </w:r>
          </w:p>
          <w:p w14:paraId="33BB5432"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Důvodová zpráva k § 7 vysvětluje logiku: hotovost je těžko dohledatelná (nezanechává elektronickou stopu). Ale pokud mezi zákazníkem a poplatníkem stojí prostředník, který hotovost „přemění“ na bezhotovostní převod na účet poplatníka, elektronická stopa vznikne — a tím odpadá důvod pro evidenci. Důvodová zpráva uvádí jako typický příklad platbu na dobírku.</w:t>
            </w:r>
          </w:p>
          <w:p w14:paraId="3499D1E4"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Příklad: Restaurace provozuje stravovací služby. Identické jídlo (steak za 500 Kč) může být uhrazeno několika způsoby:</w:t>
            </w:r>
          </w:p>
          <w:p w14:paraId="0C15D57F"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noProof/>
                <w:sz w:val="20"/>
                <w:szCs w:val="20"/>
              </w:rPr>
              <w:lastRenderedPageBreak/>
              <w:drawing>
                <wp:inline distT="0" distB="0" distL="0" distR="0" wp14:anchorId="2B8B747D" wp14:editId="339DF4E7">
                  <wp:extent cx="4491528" cy="1132764"/>
                  <wp:effectExtent l="0" t="0" r="4445" b="0"/>
                  <wp:docPr id="1317780535" name="Obrázek 1" descr="Obsah obrázku text, řada/pruh, Písmo, Vykreslený graf&#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780535" name="Obrázek 1" descr="Obsah obrázku text, řada/pruh, Písmo, Vykreslený graf&#10;&#10;Popis byl vytvořen automaticky"/>
                          <pic:cNvPicPr/>
                        </pic:nvPicPr>
                        <pic:blipFill>
                          <a:blip r:embed="rId13"/>
                          <a:stretch>
                            <a:fillRect/>
                          </a:stretch>
                        </pic:blipFill>
                        <pic:spPr>
                          <a:xfrm>
                            <a:off x="0" y="0"/>
                            <a:ext cx="4530937" cy="1142703"/>
                          </a:xfrm>
                          <a:prstGeom prst="rect">
                            <a:avLst/>
                          </a:prstGeom>
                        </pic:spPr>
                      </pic:pic>
                    </a:graphicData>
                  </a:graphic>
                </wp:inline>
              </w:drawing>
            </w:r>
          </w:p>
          <w:p w14:paraId="3CAC2F6C"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noProof/>
                <w:sz w:val="20"/>
                <w:szCs w:val="20"/>
              </w:rPr>
              <w:drawing>
                <wp:inline distT="0" distB="0" distL="0" distR="0" wp14:anchorId="5323A836" wp14:editId="1E4A41D4">
                  <wp:extent cx="4447964" cy="2961564"/>
                  <wp:effectExtent l="0" t="0" r="0" b="0"/>
                  <wp:docPr id="282140361" name="Obrázek 1" descr="Obsah obrázku text, snímek obrazovky, číslo, Písm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140361" name="Obrázek 1" descr="Obsah obrázku text, snímek obrazovky, číslo, Písmo&#10;&#10;Popis byl vytvořen automaticky"/>
                          <pic:cNvPicPr/>
                        </pic:nvPicPr>
                        <pic:blipFill>
                          <a:blip r:embed="rId14"/>
                          <a:stretch>
                            <a:fillRect/>
                          </a:stretch>
                        </pic:blipFill>
                        <pic:spPr>
                          <a:xfrm>
                            <a:off x="0" y="0"/>
                            <a:ext cx="4452667" cy="2964696"/>
                          </a:xfrm>
                          <a:prstGeom prst="rect">
                            <a:avLst/>
                          </a:prstGeom>
                        </pic:spPr>
                      </pic:pic>
                    </a:graphicData>
                  </a:graphic>
                </wp:inline>
              </w:drawing>
            </w:r>
          </w:p>
          <w:p w14:paraId="34A4043F"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Výsledek: Identická konzumace, identický příjem restaurace (500 Kč), ale zaevidováno je 500 Kč ve scénářích A–C a 0 Kč ve scénářích D–F.</w:t>
            </w:r>
          </w:p>
          <w:p w14:paraId="1343BFB4"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Proč je to systémový problém:</w:t>
            </w:r>
          </w:p>
          <w:p w14:paraId="291E1590"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 xml:space="preserve">Stimul k </w:t>
            </w:r>
            <w:proofErr w:type="spellStart"/>
            <w:r w:rsidRPr="0035187E">
              <w:rPr>
                <w:rFonts w:ascii="Times New Roman" w:eastAsia="Calibri" w:hAnsi="Times New Roman" w:cs="Times New Roman"/>
                <w:bCs/>
                <w:sz w:val="20"/>
                <w:szCs w:val="20"/>
              </w:rPr>
              <w:t>platformizaci</w:t>
            </w:r>
            <w:proofErr w:type="spellEnd"/>
            <w:r w:rsidRPr="0035187E">
              <w:rPr>
                <w:rFonts w:ascii="Times New Roman" w:eastAsia="Calibri" w:hAnsi="Times New Roman" w:cs="Times New Roman"/>
                <w:bCs/>
                <w:sz w:val="20"/>
                <w:szCs w:val="20"/>
              </w:rPr>
              <w:t xml:space="preserve">. Čím více tržeb restaurace (nebo jakýkoli podnikatel) „přesměruje“ přes platformu, tím méně eviduje. Podíl </w:t>
            </w:r>
            <w:proofErr w:type="spellStart"/>
            <w:r w:rsidRPr="0035187E">
              <w:rPr>
                <w:rFonts w:ascii="Times New Roman" w:eastAsia="Calibri" w:hAnsi="Times New Roman" w:cs="Times New Roman"/>
                <w:bCs/>
                <w:sz w:val="20"/>
                <w:szCs w:val="20"/>
              </w:rPr>
              <w:t>delivery</w:t>
            </w:r>
            <w:proofErr w:type="spellEnd"/>
            <w:r w:rsidRPr="0035187E">
              <w:rPr>
                <w:rFonts w:ascii="Times New Roman" w:eastAsia="Calibri" w:hAnsi="Times New Roman" w:cs="Times New Roman"/>
                <w:bCs/>
                <w:sz w:val="20"/>
                <w:szCs w:val="20"/>
              </w:rPr>
              <w:t xml:space="preserve"> platforem na tržbách gastronomie roste (</w:t>
            </w:r>
            <w:proofErr w:type="spellStart"/>
            <w:r w:rsidRPr="0035187E">
              <w:rPr>
                <w:rFonts w:ascii="Times New Roman" w:eastAsia="Calibri" w:hAnsi="Times New Roman" w:cs="Times New Roman"/>
                <w:bCs/>
                <w:sz w:val="20"/>
                <w:szCs w:val="20"/>
              </w:rPr>
              <w:t>Wolt</w:t>
            </w:r>
            <w:proofErr w:type="spellEnd"/>
            <w:r w:rsidRPr="0035187E">
              <w:rPr>
                <w:rFonts w:ascii="Times New Roman" w:eastAsia="Calibri" w:hAnsi="Times New Roman" w:cs="Times New Roman"/>
                <w:bCs/>
                <w:sz w:val="20"/>
                <w:szCs w:val="20"/>
              </w:rPr>
              <w:t xml:space="preserve">, </w:t>
            </w:r>
            <w:proofErr w:type="spellStart"/>
            <w:r w:rsidRPr="0035187E">
              <w:rPr>
                <w:rFonts w:ascii="Times New Roman" w:eastAsia="Calibri" w:hAnsi="Times New Roman" w:cs="Times New Roman"/>
                <w:bCs/>
                <w:sz w:val="20"/>
                <w:szCs w:val="20"/>
              </w:rPr>
              <w:t>Bolt</w:t>
            </w:r>
            <w:proofErr w:type="spellEnd"/>
            <w:r w:rsidRPr="0035187E">
              <w:rPr>
                <w:rFonts w:ascii="Times New Roman" w:eastAsia="Calibri" w:hAnsi="Times New Roman" w:cs="Times New Roman"/>
                <w:bCs/>
                <w:sz w:val="20"/>
                <w:szCs w:val="20"/>
              </w:rPr>
              <w:t xml:space="preserve"> Food, Dáme Jídlo) — zákon vytváří slepé místo, které se bude s časem zvětšovat. Přitom gastronomie je deklarovaným primárním cílem evidence tržeb.</w:t>
            </w:r>
          </w:p>
          <w:p w14:paraId="022DFF7F"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 xml:space="preserve">Nepřímé zastoupení vs. zprostředkování — šedá zóna. Zákon rozlišuje komisionáře (§ 10 — tržbu eviduje komisionář, tedy platforma) a prostého zprostředkovatele inkasa (§ 7 odst. 2 — neeviduje se). Ale platformy jako </w:t>
            </w:r>
            <w:proofErr w:type="spellStart"/>
            <w:r w:rsidRPr="0035187E">
              <w:rPr>
                <w:rFonts w:ascii="Times New Roman" w:eastAsia="Calibri" w:hAnsi="Times New Roman" w:cs="Times New Roman"/>
                <w:bCs/>
                <w:sz w:val="20"/>
                <w:szCs w:val="20"/>
              </w:rPr>
              <w:t>Wolt</w:t>
            </w:r>
            <w:proofErr w:type="spellEnd"/>
            <w:r w:rsidRPr="0035187E">
              <w:rPr>
                <w:rFonts w:ascii="Times New Roman" w:eastAsia="Calibri" w:hAnsi="Times New Roman" w:cs="Times New Roman"/>
                <w:bCs/>
                <w:sz w:val="20"/>
                <w:szCs w:val="20"/>
              </w:rPr>
              <w:t xml:space="preserve"> operují v hybridním modelu: přijímají objednávku, inkasují platbu, strhávají provizi a zbytek posílají restauraci. To je něco mezi komisí a zprostředkováním — a zákon toto výslovně neřeší. Důvodová zpráva k § 10 pouze uvádí: „</w:t>
            </w:r>
            <w:r w:rsidRPr="0035187E">
              <w:rPr>
                <w:rFonts w:ascii="Times New Roman" w:eastAsia="Calibri" w:hAnsi="Times New Roman" w:cs="Times New Roman"/>
                <w:bCs/>
                <w:i/>
                <w:iCs/>
                <w:sz w:val="20"/>
                <w:szCs w:val="20"/>
              </w:rPr>
              <w:t>Od nepřímého zastoupení je třeba odlišit situaci, kdy někdo v rámci doručení zboží zprostředkovává též inkaso platby za toto zboží</w:t>
            </w:r>
            <w:r w:rsidRPr="0035187E">
              <w:rPr>
                <w:rFonts w:ascii="Times New Roman" w:eastAsia="Calibri" w:hAnsi="Times New Roman" w:cs="Times New Roman"/>
                <w:bCs/>
                <w:sz w:val="20"/>
                <w:szCs w:val="20"/>
              </w:rPr>
              <w:t xml:space="preserve">.“. </w:t>
            </w:r>
            <w:r w:rsidRPr="0035187E">
              <w:rPr>
                <w:rFonts w:ascii="Times New Roman" w:eastAsia="Calibri" w:hAnsi="Times New Roman" w:cs="Times New Roman"/>
                <w:bCs/>
                <w:sz w:val="20"/>
                <w:szCs w:val="20"/>
              </w:rPr>
              <w:lastRenderedPageBreak/>
              <w:t>Platformy ale nedělají jen „inkaso při doručení“ — aktivně zprostředkovávají celou obchodní transakci.</w:t>
            </w:r>
          </w:p>
          <w:p w14:paraId="39AF57DF"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 xml:space="preserve">Nekonzistence s vlastním rozvozem. Pokud restaurace zaměstná vlastního kurýra (scénář C), tržba se eviduje. Pokud tutéž rozvozovou službu outsourcuje na </w:t>
            </w:r>
            <w:proofErr w:type="spellStart"/>
            <w:r w:rsidRPr="0035187E">
              <w:rPr>
                <w:rFonts w:ascii="Times New Roman" w:eastAsia="Calibri" w:hAnsi="Times New Roman" w:cs="Times New Roman"/>
                <w:bCs/>
                <w:sz w:val="20"/>
                <w:szCs w:val="20"/>
              </w:rPr>
              <w:t>Wolt</w:t>
            </w:r>
            <w:proofErr w:type="spellEnd"/>
            <w:r w:rsidRPr="0035187E">
              <w:rPr>
                <w:rFonts w:ascii="Times New Roman" w:eastAsia="Calibri" w:hAnsi="Times New Roman" w:cs="Times New Roman"/>
                <w:bCs/>
                <w:sz w:val="20"/>
                <w:szCs w:val="20"/>
              </w:rPr>
              <w:t xml:space="preserve"> (scénář D/E), neeviduje se. Zákon tak vytváří nerovné podmínky mezi vlastním rozvozem a </w:t>
            </w:r>
            <w:proofErr w:type="spellStart"/>
            <w:r w:rsidRPr="0035187E">
              <w:rPr>
                <w:rFonts w:ascii="Times New Roman" w:eastAsia="Calibri" w:hAnsi="Times New Roman" w:cs="Times New Roman"/>
                <w:bCs/>
                <w:sz w:val="20"/>
                <w:szCs w:val="20"/>
              </w:rPr>
              <w:t>platformovým</w:t>
            </w:r>
            <w:proofErr w:type="spellEnd"/>
            <w:r w:rsidRPr="0035187E">
              <w:rPr>
                <w:rFonts w:ascii="Times New Roman" w:eastAsia="Calibri" w:hAnsi="Times New Roman" w:cs="Times New Roman"/>
                <w:bCs/>
                <w:sz w:val="20"/>
                <w:szCs w:val="20"/>
              </w:rPr>
              <w:t xml:space="preserve"> rozvozem — v přímém rozporu s deklarovaným principem neutrality.</w:t>
            </w:r>
          </w:p>
          <w:p w14:paraId="16CACA5A"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Dopad na POS systém. Dodavatel POS systému musí v pokladním systému umět rozlišit, zda objednávka přišla z vlastního prodejního kanálu (→ evidovat) nebo z platformy (→ neevidovat?). Ale i to je nejisté — protože zařazení konkrétní platformy pod § 10 (nepřímé zastoupení) vs. § 7 odst. 2 (zprostředkování) závisí na smluvním modelu, který se může lišit platforma od platformy i restaurace od restaurace.</w:t>
            </w:r>
          </w:p>
          <w:p w14:paraId="7CC19BFC"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Rozpor s účelem zákona. § 1 odst. 2 deklaruje „</w:t>
            </w:r>
            <w:r w:rsidRPr="0035187E">
              <w:rPr>
                <w:rFonts w:ascii="Times New Roman" w:eastAsia="Calibri" w:hAnsi="Times New Roman" w:cs="Times New Roman"/>
                <w:bCs/>
                <w:i/>
                <w:iCs/>
                <w:sz w:val="20"/>
                <w:szCs w:val="20"/>
              </w:rPr>
              <w:t>jednotné a automatizované zjišťování informací o evidovaných tržbách s cílem posílení rovného a poctivého podnikatelského prostředí</w:t>
            </w:r>
            <w:r w:rsidRPr="0035187E">
              <w:rPr>
                <w:rFonts w:ascii="Times New Roman" w:eastAsia="Calibri" w:hAnsi="Times New Roman" w:cs="Times New Roman"/>
                <w:bCs/>
                <w:sz w:val="20"/>
                <w:szCs w:val="20"/>
              </w:rPr>
              <w:t xml:space="preserve">“. Systematické vyloučení rostoucího segmentu </w:t>
            </w:r>
            <w:proofErr w:type="spellStart"/>
            <w:r w:rsidRPr="0035187E">
              <w:rPr>
                <w:rFonts w:ascii="Times New Roman" w:eastAsia="Calibri" w:hAnsi="Times New Roman" w:cs="Times New Roman"/>
                <w:bCs/>
                <w:sz w:val="20"/>
                <w:szCs w:val="20"/>
              </w:rPr>
              <w:t>platformových</w:t>
            </w:r>
            <w:proofErr w:type="spellEnd"/>
            <w:r w:rsidRPr="0035187E">
              <w:rPr>
                <w:rFonts w:ascii="Times New Roman" w:eastAsia="Calibri" w:hAnsi="Times New Roman" w:cs="Times New Roman"/>
                <w:bCs/>
                <w:sz w:val="20"/>
                <w:szCs w:val="20"/>
              </w:rPr>
              <w:t xml:space="preserve"> tržeb tento účel přímo podkopává.</w:t>
            </w:r>
          </w:p>
          <w:p w14:paraId="2A8A02B7"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V návaznosti na výše uvedené proto požadujeme provést v návrhu zákona následující úpravy.</w:t>
            </w:r>
          </w:p>
          <w:p w14:paraId="0B96FD2D"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 xml:space="preserve">Požadujeme do návrhu zákona doplnit výslovnou úpravu </w:t>
            </w:r>
            <w:proofErr w:type="spellStart"/>
            <w:r w:rsidRPr="0035187E">
              <w:rPr>
                <w:rFonts w:ascii="Times New Roman" w:eastAsia="Calibri" w:hAnsi="Times New Roman" w:cs="Times New Roman"/>
                <w:bCs/>
                <w:sz w:val="20"/>
                <w:szCs w:val="20"/>
              </w:rPr>
              <w:t>platformových</w:t>
            </w:r>
            <w:proofErr w:type="spellEnd"/>
            <w:r w:rsidRPr="0035187E">
              <w:rPr>
                <w:rFonts w:ascii="Times New Roman" w:eastAsia="Calibri" w:hAnsi="Times New Roman" w:cs="Times New Roman"/>
                <w:bCs/>
                <w:sz w:val="20"/>
                <w:szCs w:val="20"/>
              </w:rPr>
              <w:t xml:space="preserve"> služeb. Definovat, kdy platforma jedná jako komisionář (§ 10 — eviduje platforma) a kdy jako prostý zprostředkovatel. Navrhujeme kritérium: pokud platforma aktivně zprostředkovává obchodní transakci (přijímá objednávku, stanoví/zobrazuje cenu, inkasuje platbu a strhává provizi), jedná se o nepřímé zastoupení ve smyslu § 10 a platforma eviduje tržbu.</w:t>
            </w:r>
          </w:p>
          <w:p w14:paraId="3A7B60E5"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Alternativně požadujeme rozšířit § 7 odst. 1 písm. b). Za kontaktní platbu považovat i platbu, ke které dochází v souvislosti s objednáním zboží nebo služeb, které jsou zákazníkovi dodány z provozovny poplatníka, a to bez ohledu na to, kdo platbu inkasuje. Jako konkrétní formulaci nového písm. c) k doplnění do § 7 odst. 1 navrhujeme následující znění:</w:t>
            </w:r>
          </w:p>
          <w:p w14:paraId="2A40F7DA"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w:t>
            </w:r>
            <w:r w:rsidRPr="0035187E">
              <w:rPr>
                <w:rFonts w:ascii="Times New Roman" w:eastAsia="Calibri" w:hAnsi="Times New Roman" w:cs="Times New Roman"/>
                <w:b/>
                <w:i/>
                <w:iCs/>
                <w:sz w:val="20"/>
                <w:szCs w:val="20"/>
              </w:rPr>
              <w:t>c) ke které dochází v souvislosti s dodáním zboží nebo poskytnutím služby, které jsou realizovány z provozovny poplatníka</w:t>
            </w:r>
            <w:r w:rsidRPr="0035187E">
              <w:rPr>
                <w:rFonts w:ascii="Times New Roman" w:eastAsia="Calibri" w:hAnsi="Times New Roman" w:cs="Times New Roman"/>
                <w:bCs/>
                <w:sz w:val="20"/>
                <w:szCs w:val="20"/>
              </w:rPr>
              <w:t>“.</w:t>
            </w:r>
          </w:p>
          <w:p w14:paraId="214A7156" w14:textId="7832FD1F" w:rsidR="000B4BD4" w:rsidRPr="0035187E" w:rsidRDefault="000B4BD4" w:rsidP="0035187E">
            <w:pPr>
              <w:jc w:val="both"/>
              <w:rPr>
                <w:rFonts w:ascii="Times New Roman" w:hAnsi="Times New Roman" w:cs="Times New Roman"/>
                <w:sz w:val="20"/>
                <w:szCs w:val="20"/>
              </w:rPr>
            </w:pPr>
            <w:r w:rsidRPr="0035187E">
              <w:rPr>
                <w:rFonts w:ascii="Times New Roman" w:eastAsia="Calibri" w:hAnsi="Times New Roman" w:cs="Times New Roman"/>
                <w:bCs/>
                <w:sz w:val="20"/>
                <w:szCs w:val="20"/>
              </w:rPr>
              <w:t>Pokud nebude akceptováno doplnění návrhu zákona, minimálně požadujeme v důvodové zprávě vyjasnit právní kvalifikaci hlavních typů platforem (</w:t>
            </w:r>
            <w:proofErr w:type="spellStart"/>
            <w:r w:rsidRPr="0035187E">
              <w:rPr>
                <w:rFonts w:ascii="Times New Roman" w:eastAsia="Calibri" w:hAnsi="Times New Roman" w:cs="Times New Roman"/>
                <w:bCs/>
                <w:sz w:val="20"/>
                <w:szCs w:val="20"/>
              </w:rPr>
              <w:t>marketplace</w:t>
            </w:r>
            <w:proofErr w:type="spellEnd"/>
            <w:r w:rsidRPr="0035187E">
              <w:rPr>
                <w:rFonts w:ascii="Times New Roman" w:eastAsia="Calibri" w:hAnsi="Times New Roman" w:cs="Times New Roman"/>
                <w:bCs/>
                <w:sz w:val="20"/>
                <w:szCs w:val="20"/>
              </w:rPr>
              <w:t xml:space="preserve"> model, komisionářský model, agenturní model) ve vztahu k § 7 a § 10.</w:t>
            </w:r>
          </w:p>
        </w:tc>
        <w:tc>
          <w:tcPr>
            <w:tcW w:w="1453" w:type="pct"/>
            <w:tcBorders>
              <w:top w:val="single" w:sz="4" w:space="0" w:color="auto"/>
              <w:left w:val="single" w:sz="4" w:space="0" w:color="auto"/>
              <w:right w:val="single" w:sz="4" w:space="0" w:color="auto"/>
            </w:tcBorders>
            <w:shd w:val="clear" w:color="auto" w:fill="auto"/>
          </w:tcPr>
          <w:p w14:paraId="4B4D9363" w14:textId="5D9B95FE"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Vysvětleno.</w:t>
            </w:r>
          </w:p>
          <w:p w14:paraId="3B4A8F03" w14:textId="1676F42E"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Obecně platí, že pro určení toho, zda se jedná o kontaktní platbu, jsou klíčové okolnosti provázející uskutečnění platby (osobní kontakt / provozovna poplatníka – prodávajícího, nikoliv nakupujícího), nikoliv okolnosti provázející objednání či převzetí zboží nebo služeb.</w:t>
            </w:r>
          </w:p>
          <w:p w14:paraId="5BD6B745" w14:textId="77777777" w:rsidR="000B4BD4" w:rsidRPr="0035187E" w:rsidRDefault="000B4BD4" w:rsidP="0035187E">
            <w:pPr>
              <w:jc w:val="both"/>
              <w:rPr>
                <w:rFonts w:ascii="Times New Roman" w:hAnsi="Times New Roman" w:cs="Times New Roman"/>
                <w:sz w:val="20"/>
                <w:szCs w:val="20"/>
              </w:rPr>
            </w:pPr>
          </w:p>
          <w:p w14:paraId="6DB3EC23" w14:textId="0A21A25F"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t>Vyhověno částečně.</w:t>
            </w:r>
          </w:p>
          <w:p w14:paraId="2E5EB7E0" w14:textId="50E04DA6"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Návrh zákona byl v § 7 odst. 2 upraven tak, aby výjimka týkající se zprostředkování platby byla vztažena pouze na realizaci formou poštovní služby. Jakékoli jiné zprostředkování převzetí platby (lhostejno zda v rámci přímého či nepřímého </w:t>
            </w:r>
            <w:r w:rsidRPr="0035187E">
              <w:rPr>
                <w:rFonts w:ascii="Times New Roman" w:hAnsi="Times New Roman" w:cs="Times New Roman"/>
                <w:sz w:val="20"/>
                <w:szCs w:val="20"/>
              </w:rPr>
              <w:lastRenderedPageBreak/>
              <w:t>zastoupení, anebo prostřednictvím jiného právního vztahu). Díky tomu nedojde k vytvoření nežádoucího stimulu k obcházení povinnosti evidovat tržby, které zevrubně popisuje připomínkové místo.</w:t>
            </w:r>
          </w:p>
          <w:p w14:paraId="480FAD60" w14:textId="769CFB5C" w:rsidR="00DB169D" w:rsidRPr="0035187E" w:rsidRDefault="00DB169D" w:rsidP="0035187E">
            <w:pPr>
              <w:jc w:val="both"/>
              <w:rPr>
                <w:rFonts w:ascii="Times New Roman" w:hAnsi="Times New Roman" w:cs="Times New Roman"/>
                <w:sz w:val="20"/>
                <w:szCs w:val="20"/>
              </w:rPr>
            </w:pPr>
          </w:p>
          <w:p w14:paraId="41AB3419" w14:textId="77777777" w:rsidR="00DB169D" w:rsidRPr="0035187E" w:rsidRDefault="00DB169D" w:rsidP="0035187E">
            <w:r w:rsidRPr="0035187E">
              <w:rPr>
                <w:rFonts w:ascii="Times New Roman" w:hAnsi="Times New Roman" w:cs="Times New Roman"/>
                <w:sz w:val="20"/>
                <w:szCs w:val="20"/>
              </w:rPr>
              <w:t>Současně platí, že podrobnosti k jednotlivým tématům budou metodicky upraveny a zveřejněny ze strany Generálního finančního ředitelství.</w:t>
            </w:r>
          </w:p>
          <w:p w14:paraId="7F63F7A6" w14:textId="77777777" w:rsidR="00DB169D" w:rsidRPr="0035187E" w:rsidRDefault="00DB169D" w:rsidP="0035187E">
            <w:pPr>
              <w:jc w:val="both"/>
              <w:rPr>
                <w:rFonts w:ascii="Times New Roman" w:hAnsi="Times New Roman" w:cs="Times New Roman"/>
                <w:sz w:val="20"/>
                <w:szCs w:val="20"/>
              </w:rPr>
            </w:pPr>
          </w:p>
          <w:p w14:paraId="3FEAB7CD" w14:textId="0F8D05E8" w:rsidR="002B7B42" w:rsidRPr="0035187E" w:rsidRDefault="002B7B42" w:rsidP="0035187E">
            <w:pPr>
              <w:jc w:val="both"/>
              <w:rPr>
                <w:rFonts w:ascii="Times New Roman" w:hAnsi="Times New Roman" w:cs="Times New Roman"/>
                <w:sz w:val="20"/>
                <w:szCs w:val="20"/>
              </w:rPr>
            </w:pPr>
          </w:p>
        </w:tc>
      </w:tr>
      <w:tr w:rsidR="0035187E" w:rsidRPr="0035187E" w14:paraId="4EF78CF6"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FECCB0A" w14:textId="04B1ACB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40.</w:t>
            </w:r>
          </w:p>
        </w:tc>
        <w:tc>
          <w:tcPr>
            <w:tcW w:w="583" w:type="pct"/>
            <w:tcBorders>
              <w:top w:val="single" w:sz="4" w:space="0" w:color="auto"/>
              <w:left w:val="single" w:sz="4" w:space="0" w:color="auto"/>
              <w:right w:val="single" w:sz="4" w:space="0" w:color="auto"/>
            </w:tcBorders>
            <w:shd w:val="clear" w:color="auto" w:fill="auto"/>
          </w:tcPr>
          <w:p w14:paraId="6A362488" w14:textId="2F3B004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3A2476CF" w14:textId="365F95C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17.</w:t>
            </w:r>
          </w:p>
        </w:tc>
        <w:tc>
          <w:tcPr>
            <w:tcW w:w="169" w:type="pct"/>
            <w:tcBorders>
              <w:top w:val="single" w:sz="4" w:space="0" w:color="auto"/>
              <w:left w:val="single" w:sz="4" w:space="0" w:color="auto"/>
              <w:right w:val="single" w:sz="4" w:space="0" w:color="auto"/>
            </w:tcBorders>
            <w:shd w:val="clear" w:color="auto" w:fill="auto"/>
          </w:tcPr>
          <w:p w14:paraId="23EEB147" w14:textId="0C00C7B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4B36ECE" w14:textId="77777777" w:rsidR="000B4BD4" w:rsidRPr="0035187E" w:rsidRDefault="000B4BD4" w:rsidP="0035187E">
            <w:pPr>
              <w:numPr>
                <w:ilvl w:val="0"/>
                <w:numId w:val="70"/>
              </w:numPr>
              <w:tabs>
                <w:tab w:val="left" w:pos="567"/>
              </w:tabs>
              <w:ind w:left="0" w:firstLine="0"/>
              <w:jc w:val="both"/>
              <w:rPr>
                <w:rFonts w:ascii="Times New Roman" w:eastAsia="Calibri" w:hAnsi="Times New Roman" w:cs="Times New Roman"/>
                <w:b/>
                <w:sz w:val="20"/>
                <w:szCs w:val="20"/>
              </w:rPr>
            </w:pPr>
            <w:r w:rsidRPr="0035187E">
              <w:rPr>
                <w:rFonts w:ascii="Times New Roman" w:eastAsia="Calibri" w:hAnsi="Times New Roman" w:cs="Times New Roman"/>
                <w:b/>
                <w:sz w:val="20"/>
                <w:szCs w:val="20"/>
              </w:rPr>
              <w:t xml:space="preserve">Připomínka k </w:t>
            </w:r>
            <w:bookmarkStart w:id="4" w:name="_Hlk224562972"/>
            <w:r w:rsidRPr="0035187E">
              <w:rPr>
                <w:rFonts w:ascii="Times New Roman" w:eastAsia="Calibri" w:hAnsi="Times New Roman" w:cs="Times New Roman"/>
                <w:b/>
                <w:sz w:val="20"/>
                <w:szCs w:val="20"/>
              </w:rPr>
              <w:t>§</w:t>
            </w:r>
            <w:bookmarkEnd w:id="4"/>
            <w:r w:rsidRPr="0035187E">
              <w:rPr>
                <w:rFonts w:ascii="Times New Roman" w:eastAsia="Calibri" w:hAnsi="Times New Roman" w:cs="Times New Roman"/>
                <w:b/>
                <w:sz w:val="20"/>
                <w:szCs w:val="20"/>
              </w:rPr>
              <w:t xml:space="preserve"> 11</w:t>
            </w:r>
          </w:p>
          <w:p w14:paraId="72AE8F21" w14:textId="77762010" w:rsidR="000B4BD4" w:rsidRPr="0035187E" w:rsidRDefault="000B4BD4" w:rsidP="0035187E">
            <w:pPr>
              <w:tabs>
                <w:tab w:val="left" w:pos="567"/>
              </w:tabs>
              <w:jc w:val="both"/>
              <w:rPr>
                <w:rFonts w:ascii="Times New Roman" w:eastAsia="Calibri" w:hAnsi="Times New Roman" w:cs="Times New Roman"/>
                <w:bCs/>
                <w:sz w:val="20"/>
                <w:szCs w:val="20"/>
              </w:rPr>
            </w:pPr>
            <w:bookmarkStart w:id="5" w:name="_Hlk224559992"/>
            <w:r w:rsidRPr="0035187E">
              <w:rPr>
                <w:rFonts w:ascii="Times New Roman" w:eastAsia="Calibri" w:hAnsi="Times New Roman" w:cs="Times New Roman"/>
                <w:bCs/>
                <w:sz w:val="20"/>
                <w:szCs w:val="20"/>
              </w:rPr>
              <w:t>Požadujeme do ustanovení § 11 vložit nový odstavec 5 v následujícím znění:</w:t>
            </w:r>
          </w:p>
          <w:p w14:paraId="2DB5CAF8" w14:textId="77777777" w:rsidR="000B4BD4" w:rsidRPr="0035187E" w:rsidRDefault="000B4BD4" w:rsidP="0035187E">
            <w:pPr>
              <w:jc w:val="both"/>
              <w:rPr>
                <w:rFonts w:ascii="Times New Roman" w:eastAsia="Calibri" w:hAnsi="Times New Roman" w:cs="Times New Roman"/>
                <w:b/>
                <w:i/>
                <w:iCs/>
                <w:sz w:val="20"/>
                <w:szCs w:val="20"/>
              </w:rPr>
            </w:pPr>
            <w:r w:rsidRPr="0035187E">
              <w:rPr>
                <w:rFonts w:ascii="Times New Roman" w:eastAsia="Calibri" w:hAnsi="Times New Roman" w:cs="Times New Roman"/>
                <w:bCs/>
                <w:i/>
                <w:iCs/>
                <w:sz w:val="20"/>
                <w:szCs w:val="20"/>
              </w:rPr>
              <w:t>„</w:t>
            </w:r>
            <w:r w:rsidRPr="0035187E">
              <w:rPr>
                <w:rFonts w:ascii="Times New Roman" w:eastAsia="Calibri" w:hAnsi="Times New Roman" w:cs="Times New Roman"/>
                <w:b/>
                <w:i/>
                <w:iCs/>
                <w:sz w:val="20"/>
                <w:szCs w:val="20"/>
              </w:rPr>
              <w:t>Provozovatel uzavřeného platebního systému nebo platební platformy využívané k úhradě zboží a služeb může být pověřen evidováním tržeb všech prodejců využívajících tento systém v rámci jedné akce nebo provozovny. Možnost pověření vzniká uzavřením smlouvy o poskytnutí platebních služeb, která obsahuje výslovný souhlas prodejce s evidováním tržeb prostřednictvím platformy.</w:t>
            </w:r>
            <w:r w:rsidRPr="0035187E">
              <w:rPr>
                <w:rFonts w:ascii="Times New Roman" w:eastAsia="Calibri" w:hAnsi="Times New Roman" w:cs="Times New Roman"/>
                <w:bCs/>
                <w:i/>
                <w:iCs/>
                <w:sz w:val="20"/>
                <w:szCs w:val="20"/>
              </w:rPr>
              <w:t>“.</w:t>
            </w:r>
          </w:p>
          <w:p w14:paraId="072EF25A" w14:textId="77777777" w:rsidR="000B4BD4" w:rsidRPr="0035187E" w:rsidRDefault="000B4BD4" w:rsidP="0035187E">
            <w:pPr>
              <w:jc w:val="both"/>
              <w:rPr>
                <w:rFonts w:ascii="Times New Roman" w:hAnsi="Times New Roman" w:cs="Times New Roman"/>
                <w:sz w:val="20"/>
                <w:szCs w:val="20"/>
                <w:u w:val="single"/>
              </w:rPr>
            </w:pPr>
          </w:p>
          <w:p w14:paraId="323847D0" w14:textId="18E0E7F2"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w:t>
            </w:r>
          </w:p>
          <w:bookmarkEnd w:id="5"/>
          <w:p w14:paraId="3427C77C" w14:textId="77777777" w:rsidR="000B4BD4" w:rsidRPr="0035187E" w:rsidRDefault="000B4BD4" w:rsidP="0035187E">
            <w:p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 xml:space="preserve">Stávající znění § 11 je obecné a nezohledňuje specifika centralizovaných platebních systémů. Zejména: </w:t>
            </w:r>
          </w:p>
          <w:p w14:paraId="751CC07A"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lastRenderedPageBreak/>
              <w:t xml:space="preserve">Forma pověření není specifikována – není zřejmé, zda smlouva o poskytnutí platebních služeb automaticky zakládá pověření k evidenci. </w:t>
            </w:r>
          </w:p>
          <w:p w14:paraId="6B10FFC1"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 xml:space="preserve">Odpovědnostní vztahy (§ 11 odst. 4: společná odpovědnost pověřujícího i pověřeného) nezohledňují situace, kdy platforma nemá kontrolu nad úplností hlášených tržeb ze strany prodejce. </w:t>
            </w:r>
          </w:p>
          <w:p w14:paraId="06307DA3"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Praktická implementace pro desítky prodejců v rámci jedné akce vyžaduje standardizovaný postup.</w:t>
            </w:r>
          </w:p>
          <w:p w14:paraId="0D5086B2"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Akceptace připomínky tak povede k:</w:t>
            </w:r>
          </w:p>
          <w:p w14:paraId="654C2225"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Snazšímu nastavení pro prodejce: Jednotliví stánkaři na festivalech nemusí řešit technickou stránku evidence – vše za ně centrálně zajistí platforma. To dramaticky snižuje administrativní zátěž a riziko chyb.</w:t>
            </w:r>
          </w:p>
          <w:p w14:paraId="34C6CA39"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Vyšší efektivitě: Jedna platforma odesílá XML datové zprávy za všechny prodejce, místo aby každý z více než stovky stánkařů řešil vlastní evidenci.</w:t>
            </w:r>
          </w:p>
          <w:p w14:paraId="4948ABF2"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Vyšší transparentnosti: Bezhotovostní systémy zaznamenávají 100 % transakcí digitálně. Centrální evidence poskytuje správci daně kompletní a konzistentní datovou sadu.</w:t>
            </w:r>
          </w:p>
          <w:p w14:paraId="1713AE9D" w14:textId="2EBBF0AB" w:rsidR="000B4BD4" w:rsidRPr="0035187E" w:rsidRDefault="000B4BD4" w:rsidP="0035187E">
            <w:pPr>
              <w:numPr>
                <w:ilvl w:val="0"/>
                <w:numId w:val="69"/>
              </w:numPr>
              <w:jc w:val="both"/>
              <w:rPr>
                <w:rFonts w:ascii="Times New Roman" w:hAnsi="Times New Roman" w:cs="Times New Roman"/>
                <w:sz w:val="20"/>
                <w:szCs w:val="20"/>
              </w:rPr>
            </w:pPr>
            <w:r w:rsidRPr="0035187E">
              <w:rPr>
                <w:rFonts w:ascii="Times New Roman" w:eastAsia="Calibri" w:hAnsi="Times New Roman" w:cs="Times New Roman"/>
                <w:bCs/>
                <w:sz w:val="20"/>
                <w:szCs w:val="20"/>
              </w:rPr>
              <w:t xml:space="preserve">Zajištění souladu s § 5 odst. 2: Zákon již počítá s dvojfázovou evidencí uzavřených platebních systémů (nabití/čerpání). Explicitní úprava pověření je logickým doplněním. </w:t>
            </w:r>
          </w:p>
        </w:tc>
        <w:tc>
          <w:tcPr>
            <w:tcW w:w="1453" w:type="pct"/>
            <w:tcBorders>
              <w:top w:val="single" w:sz="4" w:space="0" w:color="auto"/>
              <w:left w:val="single" w:sz="4" w:space="0" w:color="auto"/>
              <w:right w:val="single" w:sz="4" w:space="0" w:color="auto"/>
            </w:tcBorders>
            <w:shd w:val="clear" w:color="auto" w:fill="auto"/>
          </w:tcPr>
          <w:p w14:paraId="65225180" w14:textId="49BD685D"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Vysvětleno.</w:t>
            </w:r>
          </w:p>
          <w:p w14:paraId="7E47E72C" w14:textId="755BD74F"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Využití institutu pověření k evidování tržeb podle § 11 umožňuje, aby si podnikatelé smluvně zajistili, že za ně evidenci tržeb povede jiná osoba (zástupce). Ten se v daném rozsahu stává poplatníkem evidujícím tržby (lhostejno, zda tuto službu zajišťuje za více podnikatelů). V tomto ohledu byla doplněna důvodová zpráva.</w:t>
            </w:r>
          </w:p>
          <w:p w14:paraId="57D32A7B" w14:textId="0CBA1BD2"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K navrženému odstavci 5 je nutné uvést, že úkolem zákona o evidenci tržeb není a nemá být normování pravidel, která regulují smluvní vztah jednotlivých </w:t>
            </w:r>
            <w:r w:rsidRPr="0035187E">
              <w:rPr>
                <w:rFonts w:ascii="Times New Roman" w:hAnsi="Times New Roman" w:cs="Times New Roman"/>
                <w:sz w:val="20"/>
                <w:szCs w:val="20"/>
              </w:rPr>
              <w:lastRenderedPageBreak/>
              <w:t>podnikatelů navzájem. Jde totiž o soukromoprávní oblast a je na jednotlivých participantech, jak si konkrétní smlouvu, její účinnost i rozsah nastaví. Stejně tak je věcí jednotlivých aktérů dané akce, zda daný smluvní vztah uzavřou s jedním nebo s více zástupci, popřípadě si evidenční povinnost budou plnit sami. Není žádoucí normovat monopolizaci metodou „všichni, nebo nic“.</w:t>
            </w:r>
          </w:p>
          <w:p w14:paraId="691E6AE4" w14:textId="78EA83E7" w:rsidR="000B4BD4" w:rsidRPr="0035187E" w:rsidRDefault="000B4BD4" w:rsidP="0035187E">
            <w:pPr>
              <w:jc w:val="both"/>
              <w:rPr>
                <w:rFonts w:ascii="Times New Roman" w:hAnsi="Times New Roman" w:cs="Times New Roman"/>
                <w:sz w:val="20"/>
                <w:szCs w:val="20"/>
              </w:rPr>
            </w:pPr>
          </w:p>
        </w:tc>
      </w:tr>
      <w:tr w:rsidR="0035187E" w:rsidRPr="0035187E" w14:paraId="1071BC0D"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9E794EF" w14:textId="0585A46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40.</w:t>
            </w:r>
          </w:p>
        </w:tc>
        <w:tc>
          <w:tcPr>
            <w:tcW w:w="583" w:type="pct"/>
            <w:tcBorders>
              <w:top w:val="single" w:sz="4" w:space="0" w:color="auto"/>
              <w:left w:val="single" w:sz="4" w:space="0" w:color="auto"/>
              <w:right w:val="single" w:sz="4" w:space="0" w:color="auto"/>
            </w:tcBorders>
            <w:shd w:val="clear" w:color="auto" w:fill="auto"/>
          </w:tcPr>
          <w:p w14:paraId="144946F4" w14:textId="7301587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5A33C5F9" w14:textId="326DB9D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18.</w:t>
            </w:r>
          </w:p>
        </w:tc>
        <w:tc>
          <w:tcPr>
            <w:tcW w:w="169" w:type="pct"/>
            <w:tcBorders>
              <w:top w:val="single" w:sz="4" w:space="0" w:color="auto"/>
              <w:left w:val="single" w:sz="4" w:space="0" w:color="auto"/>
              <w:right w:val="single" w:sz="4" w:space="0" w:color="auto"/>
            </w:tcBorders>
            <w:shd w:val="clear" w:color="auto" w:fill="auto"/>
          </w:tcPr>
          <w:p w14:paraId="0F3EB84D" w14:textId="367E370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D1CBF03" w14:textId="77777777" w:rsidR="000B4BD4" w:rsidRPr="0035187E" w:rsidRDefault="000B4BD4" w:rsidP="0035187E">
            <w:pPr>
              <w:numPr>
                <w:ilvl w:val="0"/>
                <w:numId w:val="70"/>
              </w:numPr>
              <w:tabs>
                <w:tab w:val="left" w:pos="567"/>
              </w:tabs>
              <w:ind w:left="0" w:firstLine="0"/>
              <w:jc w:val="both"/>
              <w:rPr>
                <w:rFonts w:ascii="Times New Roman" w:eastAsia="Calibri" w:hAnsi="Times New Roman" w:cs="Times New Roman"/>
                <w:b/>
                <w:sz w:val="20"/>
                <w:szCs w:val="20"/>
              </w:rPr>
            </w:pPr>
            <w:r w:rsidRPr="0035187E">
              <w:rPr>
                <w:rFonts w:ascii="Times New Roman" w:eastAsia="Calibri" w:hAnsi="Times New Roman" w:cs="Times New Roman"/>
                <w:b/>
                <w:sz w:val="20"/>
                <w:szCs w:val="20"/>
              </w:rPr>
              <w:t>Připomínka k § 12 odst. 2</w:t>
            </w:r>
          </w:p>
          <w:p w14:paraId="22D88FF0" w14:textId="77AE985F" w:rsidR="000B4BD4" w:rsidRPr="0035187E" w:rsidRDefault="000B4BD4" w:rsidP="0035187E">
            <w:p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Požadujeme do textu ustanovení § 12 odst. 2 doplnit nové písmeno i) v následujícím znění:</w:t>
            </w:r>
          </w:p>
          <w:p w14:paraId="6916A65A" w14:textId="77777777" w:rsidR="000B4BD4" w:rsidRPr="0035187E" w:rsidRDefault="000B4BD4" w:rsidP="0035187E">
            <w:pPr>
              <w:jc w:val="both"/>
              <w:rPr>
                <w:rFonts w:ascii="Times New Roman" w:eastAsia="Calibri" w:hAnsi="Times New Roman" w:cs="Times New Roman"/>
                <w:b/>
                <w:i/>
                <w:iCs/>
                <w:sz w:val="20"/>
                <w:szCs w:val="20"/>
              </w:rPr>
            </w:pPr>
            <w:r w:rsidRPr="0035187E">
              <w:rPr>
                <w:rFonts w:ascii="Times New Roman" w:eastAsia="Calibri" w:hAnsi="Times New Roman" w:cs="Times New Roman"/>
                <w:bCs/>
                <w:i/>
                <w:iCs/>
                <w:sz w:val="20"/>
                <w:szCs w:val="20"/>
              </w:rPr>
              <w:t>„</w:t>
            </w:r>
            <w:r w:rsidRPr="0035187E">
              <w:rPr>
                <w:rFonts w:ascii="Times New Roman" w:eastAsia="Calibri" w:hAnsi="Times New Roman" w:cs="Times New Roman"/>
                <w:b/>
                <w:bCs/>
                <w:i/>
                <w:iCs/>
                <w:sz w:val="20"/>
                <w:szCs w:val="20"/>
              </w:rPr>
              <w:t>i) nebankovního poskytovatele spotřebitelského úvěru</w:t>
            </w:r>
            <w:r w:rsidRPr="0035187E">
              <w:rPr>
                <w:rFonts w:ascii="Times New Roman" w:eastAsia="Calibri" w:hAnsi="Times New Roman" w:cs="Times New Roman"/>
                <w:b/>
                <w:i/>
                <w:iCs/>
                <w:sz w:val="20"/>
                <w:szCs w:val="20"/>
              </w:rPr>
              <w:t>.</w:t>
            </w:r>
            <w:r w:rsidRPr="0035187E">
              <w:rPr>
                <w:rFonts w:ascii="Times New Roman" w:eastAsia="Calibri" w:hAnsi="Times New Roman" w:cs="Times New Roman"/>
                <w:bCs/>
                <w:i/>
                <w:iCs/>
                <w:sz w:val="20"/>
                <w:szCs w:val="20"/>
              </w:rPr>
              <w:t>“.</w:t>
            </w:r>
          </w:p>
          <w:p w14:paraId="3449698A" w14:textId="77777777" w:rsidR="000B4BD4" w:rsidRPr="0035187E" w:rsidRDefault="000B4BD4" w:rsidP="0035187E">
            <w:pPr>
              <w:jc w:val="both"/>
              <w:rPr>
                <w:rFonts w:ascii="Times New Roman" w:hAnsi="Times New Roman" w:cs="Times New Roman"/>
                <w:sz w:val="20"/>
                <w:szCs w:val="20"/>
                <w:u w:val="single"/>
              </w:rPr>
            </w:pPr>
          </w:p>
          <w:p w14:paraId="24F8C56E" w14:textId="460E791F"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w:t>
            </w:r>
          </w:p>
          <w:p w14:paraId="76BAD4AA"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 xml:space="preserve">Navrhujeme doplnit nebankovní poskytovatele spotřebitelského úvěru do seznamu poplatníků z oblasti finančního trhu, kteří jsou vyňati z povinnosti evidovat tržby. Máme za to, že nezahrnutí nebankovních poskytovatelů v navrhovaném seznamu představuje ze strany předkladatele opomenutí. </w:t>
            </w:r>
          </w:p>
          <w:p w14:paraId="787D7770"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 xml:space="preserve">Stejně jako v případě ostatních poplatníků v této kategorii je již v současnosti transparentní kontrola nebankovních poskytovatelů pro účely správy daně zajištěna řadou dalších právních mechanismů. Zejména je třeba upozornit, že nebankovní poskytovatelé spotřebitelských úvěrů stejně jako banky, pojišťovny a další vyňaté finanční instituce shodně podléhají přísnému dohledu ze strany České národní banky (ČNB), pokud jde o povinnosti dle zákona o spotřebitelském úvěru, nebo Finančního analytického úřadu (FAU), pokud jde o povinnosti dle zákona o některých opatřeních proti legalizaci výnosů z trestné činnosti a financování terorismu (AML). Z dohledových povinností tak vyplývá pravidelné a detailní poskytování finančních výkazů a AML ukazatelů poskytovatele ČNB. Z pravidel AML zároveň vyplývá adresnost každé finanční operace spotřebitele, která je spojena s konkrétním rodným číslem, číslem smlouvy a historií spotřebitele. Riziko zatajení tržeb nebankovními poskytovateli spotřebních úvěrů proto není žádné. </w:t>
            </w:r>
          </w:p>
          <w:p w14:paraId="005C034B"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U subjektů finančního trhu předkladatel argumentuje, že evidování jejich tržeb by bylo „</w:t>
            </w:r>
            <w:r w:rsidRPr="0035187E">
              <w:rPr>
                <w:rFonts w:ascii="Times New Roman" w:eastAsia="Calibri" w:hAnsi="Times New Roman" w:cs="Times New Roman"/>
                <w:bCs/>
                <w:i/>
                <w:iCs/>
                <w:sz w:val="20"/>
                <w:szCs w:val="20"/>
              </w:rPr>
              <w:t>nehospodárné</w:t>
            </w:r>
            <w:r w:rsidRPr="0035187E">
              <w:rPr>
                <w:rFonts w:ascii="Times New Roman" w:eastAsia="Calibri" w:hAnsi="Times New Roman" w:cs="Times New Roman"/>
                <w:bCs/>
                <w:sz w:val="20"/>
                <w:szCs w:val="20"/>
              </w:rPr>
              <w:t>“, neboť jejich hotovostní tržby jsou „</w:t>
            </w:r>
            <w:r w:rsidRPr="0035187E">
              <w:rPr>
                <w:rFonts w:ascii="Times New Roman" w:eastAsia="Calibri" w:hAnsi="Times New Roman" w:cs="Times New Roman"/>
                <w:bCs/>
                <w:i/>
                <w:iCs/>
                <w:sz w:val="20"/>
                <w:szCs w:val="20"/>
              </w:rPr>
              <w:t>mizivé v poměru k nákladům</w:t>
            </w:r>
            <w:r w:rsidRPr="0035187E">
              <w:rPr>
                <w:rFonts w:ascii="Times New Roman" w:eastAsia="Calibri" w:hAnsi="Times New Roman" w:cs="Times New Roman"/>
                <w:bCs/>
                <w:sz w:val="20"/>
                <w:szCs w:val="20"/>
              </w:rPr>
              <w:t xml:space="preserve">“, které </w:t>
            </w:r>
            <w:r w:rsidRPr="0035187E">
              <w:rPr>
                <w:rFonts w:ascii="Times New Roman" w:eastAsia="Calibri" w:hAnsi="Times New Roman" w:cs="Times New Roman"/>
                <w:bCs/>
                <w:sz w:val="20"/>
                <w:szCs w:val="20"/>
              </w:rPr>
              <w:lastRenderedPageBreak/>
              <w:t xml:space="preserve">by musely na evidenci vynaložit. Tato premisa přitom plně dopadá i na nebankovní poskytovatele úvěrů, kde drtivá většina transakcí (poskytnutí i splácení úvěru) probíhá v současnosti bezhotovostně, přičemž tento trend dlouhodobě posiluje. Nelze proto očekávat, že by případné zavedení evidence tržeb i pro nebankovní poskytovatele mělo významný fiskální přínos. </w:t>
            </w:r>
          </w:p>
          <w:p w14:paraId="64F7149C"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Mimo to je vhodné také připomenout, že finanční služby jako celek, tedy včetně poskytování spotřebitelských úvěrů, jsou v současnosti vyňaty z daně z přidané hodnoty. Riziko nezákonné optimalizace tržeb ze strany subjektů v tomto segmentu je tedy z povahy věci oproti jiným významně nižší. Zároveň ani není známo, že by poskytovatelé finančních služeb využívali optimalizace tržeb, pokud jde o jiné daně.</w:t>
            </w:r>
          </w:p>
          <w:p w14:paraId="75DE7FA2"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 xml:space="preserve">Předkladatel deklaruje mimo jiné cíl </w:t>
            </w:r>
            <w:r w:rsidRPr="0035187E">
              <w:rPr>
                <w:rFonts w:ascii="Times New Roman" w:eastAsia="Calibri" w:hAnsi="Times New Roman" w:cs="Times New Roman"/>
                <w:bCs/>
                <w:i/>
                <w:iCs/>
                <w:sz w:val="20"/>
                <w:szCs w:val="20"/>
              </w:rPr>
              <w:t>„eliminovat nadbytečnou finanční a administrativní zátěž na straně dotčených subjektů</w:t>
            </w:r>
            <w:r w:rsidRPr="0035187E">
              <w:rPr>
                <w:rFonts w:ascii="Times New Roman" w:eastAsia="Calibri" w:hAnsi="Times New Roman" w:cs="Times New Roman"/>
                <w:bCs/>
                <w:sz w:val="20"/>
                <w:szCs w:val="20"/>
              </w:rPr>
              <w:t>“. Uvalení povinnosti na sektor, který je již nyní digitálně i procesně monitorován ČNB, by bylo v přímém rozporu s tímto prohlášením.</w:t>
            </w:r>
          </w:p>
          <w:p w14:paraId="73D365B5"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I když někteří nebankovní poskytovatelé mají provozovny, charakter jejich služby (finanční produkt) nevykazuje osobní prvek, který představuje významné riziko zatajení tržby, v takové míře, jako je tomu u jiných podnikatelských segmentů (např. maloobchod, gastronomie), na které návrh zákona primárně cílí.</w:t>
            </w:r>
          </w:p>
          <w:p w14:paraId="74312974" w14:textId="4228DE3C" w:rsidR="000B4BD4" w:rsidRPr="0035187E" w:rsidRDefault="000B4BD4" w:rsidP="0035187E">
            <w:pPr>
              <w:jc w:val="both"/>
              <w:rPr>
                <w:rFonts w:ascii="Times New Roman" w:hAnsi="Times New Roman" w:cs="Times New Roman"/>
                <w:sz w:val="20"/>
                <w:szCs w:val="20"/>
              </w:rPr>
            </w:pPr>
            <w:r w:rsidRPr="0035187E">
              <w:rPr>
                <w:rFonts w:ascii="Times New Roman" w:eastAsia="Calibri" w:hAnsi="Times New Roman" w:cs="Times New Roman"/>
                <w:bCs/>
                <w:sz w:val="20"/>
                <w:szCs w:val="20"/>
              </w:rPr>
              <w:t>Nezahrnutí nebankovních poskytovatelů při současném vynětí bank a dalších finančních institucí by konečně bylo v rozporu s principem rovného zacházení, když se z povahy věci jedná o subjekty se srovnatelným způsobem i stupněm regulace.</w:t>
            </w:r>
          </w:p>
        </w:tc>
        <w:tc>
          <w:tcPr>
            <w:tcW w:w="1453" w:type="pct"/>
            <w:tcBorders>
              <w:top w:val="single" w:sz="4" w:space="0" w:color="auto"/>
              <w:left w:val="single" w:sz="4" w:space="0" w:color="auto"/>
              <w:right w:val="single" w:sz="4" w:space="0" w:color="auto"/>
            </w:tcBorders>
            <w:shd w:val="clear" w:color="auto" w:fill="auto"/>
          </w:tcPr>
          <w:p w14:paraId="57DB6818" w14:textId="77777777"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Vyhověno.</w:t>
            </w:r>
          </w:p>
          <w:p w14:paraId="1D102BEC" w14:textId="4AA1ACD2"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tc>
      </w:tr>
      <w:tr w:rsidR="0035187E" w:rsidRPr="0035187E" w14:paraId="63F1DD0E"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64804DA" w14:textId="15AAAA0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40.</w:t>
            </w:r>
          </w:p>
        </w:tc>
        <w:tc>
          <w:tcPr>
            <w:tcW w:w="583" w:type="pct"/>
            <w:tcBorders>
              <w:top w:val="single" w:sz="4" w:space="0" w:color="auto"/>
              <w:left w:val="single" w:sz="4" w:space="0" w:color="auto"/>
              <w:right w:val="single" w:sz="4" w:space="0" w:color="auto"/>
            </w:tcBorders>
            <w:shd w:val="clear" w:color="auto" w:fill="auto"/>
          </w:tcPr>
          <w:p w14:paraId="43EF1FFF" w14:textId="4F4A041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47AB5CC4" w14:textId="66BFBE7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19.</w:t>
            </w:r>
          </w:p>
        </w:tc>
        <w:tc>
          <w:tcPr>
            <w:tcW w:w="169" w:type="pct"/>
            <w:tcBorders>
              <w:top w:val="single" w:sz="4" w:space="0" w:color="auto"/>
              <w:left w:val="single" w:sz="4" w:space="0" w:color="auto"/>
              <w:right w:val="single" w:sz="4" w:space="0" w:color="auto"/>
            </w:tcBorders>
            <w:shd w:val="clear" w:color="auto" w:fill="auto"/>
          </w:tcPr>
          <w:p w14:paraId="1412B0F5" w14:textId="64FB922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4C48F22" w14:textId="77777777" w:rsidR="000B4BD4" w:rsidRPr="0035187E" w:rsidRDefault="000B4BD4" w:rsidP="0035187E">
            <w:pPr>
              <w:numPr>
                <w:ilvl w:val="0"/>
                <w:numId w:val="70"/>
              </w:numPr>
              <w:tabs>
                <w:tab w:val="left" w:pos="567"/>
              </w:tabs>
              <w:ind w:left="0" w:firstLine="0"/>
              <w:jc w:val="both"/>
              <w:rPr>
                <w:rFonts w:ascii="Times New Roman" w:eastAsia="Calibri" w:hAnsi="Times New Roman" w:cs="Times New Roman"/>
                <w:b/>
                <w:sz w:val="20"/>
                <w:szCs w:val="20"/>
              </w:rPr>
            </w:pPr>
            <w:r w:rsidRPr="0035187E">
              <w:rPr>
                <w:rFonts w:ascii="Times New Roman" w:eastAsia="Calibri" w:hAnsi="Times New Roman" w:cs="Times New Roman"/>
                <w:b/>
                <w:sz w:val="20"/>
                <w:szCs w:val="20"/>
              </w:rPr>
              <w:t>Připomínka k § 13 odst. 1 písm. a)</w:t>
            </w:r>
          </w:p>
          <w:p w14:paraId="53B3BE87" w14:textId="6584F74F" w:rsidR="000B4BD4" w:rsidRPr="0035187E" w:rsidRDefault="000B4BD4" w:rsidP="0035187E">
            <w:p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Požadujeme doplnit, resp. upřesnit formulaci pojem „drobná vedlejší podnikatelská činnost“ ve smyslu níže uvedeného odůvodnění.</w:t>
            </w:r>
          </w:p>
          <w:p w14:paraId="38713445" w14:textId="77777777" w:rsidR="000B4BD4" w:rsidRPr="0035187E" w:rsidRDefault="000B4BD4" w:rsidP="0035187E">
            <w:pPr>
              <w:jc w:val="both"/>
              <w:rPr>
                <w:rFonts w:ascii="Times New Roman" w:hAnsi="Times New Roman" w:cs="Times New Roman"/>
                <w:sz w:val="20"/>
                <w:szCs w:val="20"/>
                <w:u w:val="single"/>
              </w:rPr>
            </w:pPr>
          </w:p>
          <w:p w14:paraId="31A11D35" w14:textId="490DFB5E"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w:t>
            </w:r>
          </w:p>
          <w:p w14:paraId="2C1B741B" w14:textId="748EDBF4" w:rsidR="000B4BD4" w:rsidRPr="0035187E" w:rsidRDefault="000B4BD4" w:rsidP="0035187E">
            <w:pPr>
              <w:tabs>
                <w:tab w:val="left" w:pos="567"/>
              </w:tabs>
              <w:jc w:val="both"/>
              <w:rPr>
                <w:rFonts w:ascii="Times New Roman" w:hAnsi="Times New Roman" w:cs="Times New Roman"/>
                <w:sz w:val="20"/>
                <w:szCs w:val="20"/>
              </w:rPr>
            </w:pPr>
            <w:r w:rsidRPr="0035187E">
              <w:rPr>
                <w:rFonts w:ascii="Times New Roman" w:eastAsia="Calibri" w:hAnsi="Times New Roman" w:cs="Times New Roman"/>
                <w:bCs/>
                <w:sz w:val="20"/>
                <w:szCs w:val="20"/>
              </w:rPr>
              <w:t>Zákon zavádí neurčitý pojem „drobná vedlejší podnikatelská činnost“ aniž je jasné, co tento pojem označuje (viz důvodová zpráva k § 13 odst. 1 písm. a): „</w:t>
            </w:r>
            <w:r w:rsidRPr="0035187E">
              <w:rPr>
                <w:rFonts w:ascii="Times New Roman" w:eastAsia="Calibri" w:hAnsi="Times New Roman" w:cs="Times New Roman"/>
                <w:bCs/>
                <w:i/>
                <w:iCs/>
                <w:sz w:val="20"/>
                <w:szCs w:val="20"/>
              </w:rPr>
              <w:t>Konkrétní hranici limitující příjem z drobné vedlejší činnosti nastaví aplikační metodická praxe, která zohlední aktuální situaci</w:t>
            </w:r>
            <w:r w:rsidRPr="0035187E">
              <w:rPr>
                <w:rFonts w:ascii="Times New Roman" w:eastAsia="Calibri" w:hAnsi="Times New Roman" w:cs="Times New Roman"/>
                <w:bCs/>
                <w:sz w:val="20"/>
                <w:szCs w:val="20"/>
              </w:rPr>
              <w:t xml:space="preserve">.“) Zákon tak staví poplatníka do situace, kdy do určité hranice příjmů nemá povinnost evidence, tuto hranici však zákon neurčuje, poplatník ji nezná a bude </w:t>
            </w:r>
            <w:r w:rsidRPr="0035187E">
              <w:rPr>
                <w:rFonts w:ascii="Times New Roman" w:eastAsia="Calibri" w:hAnsi="Times New Roman" w:cs="Times New Roman"/>
                <w:bCs/>
                <w:i/>
                <w:iCs/>
                <w:sz w:val="20"/>
                <w:szCs w:val="20"/>
              </w:rPr>
              <w:t>ex post</w:t>
            </w:r>
            <w:r w:rsidRPr="0035187E">
              <w:rPr>
                <w:rFonts w:ascii="Times New Roman" w:eastAsia="Calibri" w:hAnsi="Times New Roman" w:cs="Times New Roman"/>
                <w:bCs/>
                <w:sz w:val="20"/>
                <w:szCs w:val="20"/>
              </w:rPr>
              <w:t xml:space="preserve"> určena, a to s tím, že následně může být poplatník zpětně sankcionován za nezahájení evidence při překročení této hranice. Navíc existuje riziko neproporcionálního zvýhodnění „veřejně prospěšných poplatníků“ oproti běžným malým a středním podnikatelům nabízejícím na trhu stejné služby nebo zboží ve stejném objemu.</w:t>
            </w:r>
          </w:p>
        </w:tc>
        <w:tc>
          <w:tcPr>
            <w:tcW w:w="1453" w:type="pct"/>
            <w:tcBorders>
              <w:top w:val="single" w:sz="4" w:space="0" w:color="auto"/>
              <w:left w:val="single" w:sz="4" w:space="0" w:color="auto"/>
              <w:right w:val="single" w:sz="4" w:space="0" w:color="auto"/>
            </w:tcBorders>
            <w:shd w:val="clear" w:color="auto" w:fill="auto"/>
          </w:tcPr>
          <w:p w14:paraId="5AD391C2" w14:textId="47F5B719" w:rsidR="000B4BD4" w:rsidRPr="0035187E" w:rsidRDefault="000B4BD4" w:rsidP="0035187E">
            <w:pPr>
              <w:jc w:val="both"/>
              <w:rPr>
                <w:rFonts w:ascii="Times New Roman" w:hAnsi="Times New Roman" w:cs="Times New Roman"/>
                <w:b/>
                <w:iCs/>
                <w:sz w:val="20"/>
                <w:szCs w:val="20"/>
              </w:rPr>
            </w:pPr>
            <w:r w:rsidRPr="0035187E">
              <w:rPr>
                <w:rFonts w:ascii="Times New Roman" w:hAnsi="Times New Roman" w:cs="Times New Roman"/>
                <w:b/>
                <w:iCs/>
                <w:sz w:val="20"/>
                <w:szCs w:val="20"/>
              </w:rPr>
              <w:t>Vysvětleno.</w:t>
            </w:r>
          </w:p>
          <w:p w14:paraId="12D9B705" w14:textId="77777777" w:rsidR="000B4BD4" w:rsidRPr="0035187E" w:rsidRDefault="000B4BD4"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Navržená výjimka byla převzata z předchozího zákona, takže obavy z nejasnosti ohledně výkladu daného pojmu nejsou zcela na místě. Záměrem navrhovatele je normu tak, jako tomu bylo u předchozí právní úpravy, ponechat nastavenou jako materiální kritérium, jehož konkrétní hranice bude přizpůsobována aktuální „ceně peněz“. Současně platí, že konkrétní limit (který by neměl být z povahy věci nižší, než tomu bylo v rámci metodické informace k původnímu zákonu) zveřejněný správcem daně vytváří tzv. správní praxi, které se v souladu s judikaturou může jednotlivec dovolávat.</w:t>
            </w:r>
          </w:p>
          <w:p w14:paraId="34420621" w14:textId="6A7B3249" w:rsidR="002B7B42" w:rsidRPr="0035187E" w:rsidRDefault="002B7B42" w:rsidP="0035187E">
            <w:pPr>
              <w:jc w:val="both"/>
              <w:rPr>
                <w:rFonts w:ascii="Times New Roman" w:hAnsi="Times New Roman" w:cs="Times New Roman"/>
                <w:sz w:val="20"/>
                <w:szCs w:val="20"/>
              </w:rPr>
            </w:pPr>
          </w:p>
        </w:tc>
      </w:tr>
      <w:tr w:rsidR="0035187E" w:rsidRPr="0035187E" w14:paraId="7F5EB552"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0BA3D59" w14:textId="658BEAF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40.</w:t>
            </w:r>
          </w:p>
        </w:tc>
        <w:tc>
          <w:tcPr>
            <w:tcW w:w="583" w:type="pct"/>
            <w:tcBorders>
              <w:top w:val="single" w:sz="4" w:space="0" w:color="auto"/>
              <w:left w:val="single" w:sz="4" w:space="0" w:color="auto"/>
              <w:right w:val="single" w:sz="4" w:space="0" w:color="auto"/>
            </w:tcBorders>
            <w:shd w:val="clear" w:color="auto" w:fill="auto"/>
          </w:tcPr>
          <w:p w14:paraId="13D06251" w14:textId="43C265F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3C586EE1" w14:textId="470F5B5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20.</w:t>
            </w:r>
          </w:p>
        </w:tc>
        <w:tc>
          <w:tcPr>
            <w:tcW w:w="169" w:type="pct"/>
            <w:tcBorders>
              <w:top w:val="single" w:sz="4" w:space="0" w:color="auto"/>
              <w:left w:val="single" w:sz="4" w:space="0" w:color="auto"/>
              <w:right w:val="single" w:sz="4" w:space="0" w:color="auto"/>
            </w:tcBorders>
            <w:shd w:val="clear" w:color="auto" w:fill="auto"/>
          </w:tcPr>
          <w:p w14:paraId="27A28315" w14:textId="332F024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BE1165D" w14:textId="77777777" w:rsidR="000B4BD4" w:rsidRPr="0035187E" w:rsidRDefault="000B4BD4" w:rsidP="0035187E">
            <w:pPr>
              <w:numPr>
                <w:ilvl w:val="0"/>
                <w:numId w:val="70"/>
              </w:numPr>
              <w:tabs>
                <w:tab w:val="left" w:pos="567"/>
              </w:tabs>
              <w:ind w:left="0" w:firstLine="4"/>
              <w:jc w:val="both"/>
              <w:rPr>
                <w:rFonts w:ascii="Times New Roman" w:eastAsia="Calibri" w:hAnsi="Times New Roman" w:cs="Times New Roman"/>
                <w:b/>
                <w:sz w:val="20"/>
                <w:szCs w:val="20"/>
              </w:rPr>
            </w:pPr>
            <w:r w:rsidRPr="0035187E">
              <w:rPr>
                <w:rFonts w:ascii="Times New Roman" w:eastAsia="Calibri" w:hAnsi="Times New Roman" w:cs="Times New Roman"/>
                <w:b/>
                <w:sz w:val="20"/>
                <w:szCs w:val="20"/>
              </w:rPr>
              <w:t>Připomínka k § 13 odst. 1 písm. d)</w:t>
            </w:r>
          </w:p>
          <w:p w14:paraId="552391F9" w14:textId="1DB07117" w:rsidR="000B4BD4" w:rsidRPr="0035187E" w:rsidRDefault="000B4BD4" w:rsidP="0035187E">
            <w:p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Požadujeme doplnit a upřesnit formulaci vynětí z evidence tržeb pro tržby z jízdného na lanových drahách. Konkrétně požadujeme text ustanovení § 13 odst. 1 písm. d) upravit následovně:</w:t>
            </w:r>
          </w:p>
          <w:p w14:paraId="50A3F365" w14:textId="77777777" w:rsidR="000B4BD4" w:rsidRPr="0035187E" w:rsidRDefault="000B4BD4" w:rsidP="0035187E">
            <w:pPr>
              <w:jc w:val="both"/>
              <w:rPr>
                <w:rFonts w:ascii="Times New Roman" w:eastAsia="Calibri" w:hAnsi="Times New Roman" w:cs="Times New Roman"/>
                <w:b/>
                <w:i/>
                <w:iCs/>
                <w:sz w:val="20"/>
                <w:szCs w:val="20"/>
              </w:rPr>
            </w:pPr>
            <w:r w:rsidRPr="0035187E">
              <w:rPr>
                <w:rFonts w:ascii="Times New Roman" w:eastAsia="Calibri" w:hAnsi="Times New Roman" w:cs="Times New Roman"/>
                <w:bCs/>
                <w:i/>
                <w:iCs/>
                <w:sz w:val="20"/>
                <w:szCs w:val="20"/>
              </w:rPr>
              <w:t>„d)</w:t>
            </w:r>
            <w:r w:rsidRPr="0035187E">
              <w:rPr>
                <w:rFonts w:ascii="Times New Roman" w:eastAsia="Calibri" w:hAnsi="Times New Roman" w:cs="Times New Roman"/>
                <w:i/>
                <w:iCs/>
                <w:sz w:val="20"/>
                <w:szCs w:val="20"/>
              </w:rPr>
              <w:t xml:space="preserve"> z jízdného nebo související platby hrazených v dopravních prostředcích při pravidelné hromadné přepravě osob, </w:t>
            </w:r>
            <w:r w:rsidRPr="0035187E">
              <w:rPr>
                <w:rFonts w:ascii="Times New Roman" w:eastAsia="Calibri" w:hAnsi="Times New Roman" w:cs="Times New Roman"/>
                <w:b/>
                <w:bCs/>
                <w:i/>
                <w:iCs/>
                <w:sz w:val="20"/>
                <w:szCs w:val="20"/>
              </w:rPr>
              <w:t>s výjimkou osobní dopravy lanovými a visutými dráhami</w:t>
            </w:r>
            <w:r w:rsidRPr="0035187E">
              <w:rPr>
                <w:rFonts w:ascii="Times New Roman" w:eastAsia="Calibri" w:hAnsi="Times New Roman" w:cs="Times New Roman"/>
                <w:i/>
                <w:iCs/>
                <w:sz w:val="20"/>
                <w:szCs w:val="20"/>
              </w:rPr>
              <w:t>,“.</w:t>
            </w:r>
          </w:p>
          <w:p w14:paraId="28A6E7E8" w14:textId="77777777" w:rsidR="000B4BD4" w:rsidRPr="0035187E" w:rsidRDefault="000B4BD4" w:rsidP="0035187E">
            <w:pPr>
              <w:jc w:val="both"/>
              <w:rPr>
                <w:rFonts w:ascii="Times New Roman" w:hAnsi="Times New Roman" w:cs="Times New Roman"/>
                <w:sz w:val="20"/>
                <w:szCs w:val="20"/>
                <w:u w:val="single"/>
              </w:rPr>
            </w:pPr>
          </w:p>
          <w:p w14:paraId="3CBD3FC9" w14:textId="3B1B7D69"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w:t>
            </w:r>
          </w:p>
          <w:p w14:paraId="4344D08B"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lastRenderedPageBreak/>
              <w:t>Návrh zákona o evidenci tržeb v § 13 odst. 1 písm. d) vyjímá z povinnosti evidence tržeb tržby „</w:t>
            </w:r>
            <w:r w:rsidRPr="0035187E">
              <w:rPr>
                <w:rFonts w:ascii="Times New Roman" w:eastAsia="Calibri" w:hAnsi="Times New Roman" w:cs="Times New Roman"/>
                <w:bCs/>
                <w:i/>
                <w:iCs/>
                <w:sz w:val="20"/>
                <w:szCs w:val="20"/>
              </w:rPr>
              <w:t>z jízdného nebo související platby hrazených v dopravních prostředcích při pravidelné hromadné přepravě osob</w:t>
            </w:r>
            <w:r w:rsidRPr="0035187E">
              <w:rPr>
                <w:rFonts w:ascii="Times New Roman" w:eastAsia="Calibri" w:hAnsi="Times New Roman" w:cs="Times New Roman"/>
                <w:bCs/>
                <w:sz w:val="20"/>
                <w:szCs w:val="20"/>
              </w:rPr>
              <w:t xml:space="preserve">“. </w:t>
            </w:r>
          </w:p>
          <w:p w14:paraId="42014C1F"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Vzhledem k tomu, že se provoz lanových drah na území ČR řídí zákonem č. 266/1994 Sb., o dráhách a dalšími souvisejícími předpisy – mimo jiné i vyhláškou Ministerstva dopravy ČR č. 175/2000 Sb., o přepravním řádu pro veřejnou drážní a silniční osobní dopravu, lze dovodit, že tržby z jízdného placeného za přepravu na lanových drahách by podle návrhu zákona neměly být předmětem evidence tržeb.</w:t>
            </w:r>
          </w:p>
          <w:p w14:paraId="46D2231E"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V kontextu výše uvedeného je ale nutno vnímat, že většina provozovatelů lanových drah nabízí v rámci jízdného v daném lyžařském regionu současně i přepravu osob na lyžařských vlecích, které však do působnosti Zákona o dráhách a výše uvedené vyhlášky o přepravním řádu nespadají. Z uvedeného vyplývá, že tržby z jízdného za přepravu na lanových drahách a prostřednictvím lyžařských vleků by z pohledu zákona o evidenci tržeb měly mít odlišný režim. Tržby za jízdné na lanových drahách a lyžařských vlecích přitom v praxi nelze smysluplně a mnohdy ani technicky oddělit, protože jsou nabízeny v rámci jednoho tarifu (např. 1denní skipas pro celý region s přepravou na lanovkách i lyžařských vlecích). Na trhu sice existují provozovatelé, kteří provozují pouze jeden druh dopravního zařízení – lanové dráhy, anebo lyžařské vleky, kde by podle aktuálního návrhu zákona mohl existovat odlišný režim ve vztahu k povinnosti evidenci tržeb z jízdného, nicméně v drtivé většině případů provozovatelé provozující lanové dráhy nabízejí v rámci jízdného v daném lyžařském regionu současně i přepravu osob na lyžařských vlecích. Proto je pro tyto „kombinované“ tržby z jízdného pro oba uvedené druhy přepravy nutno nastavit v zákoně o evidenci tržeb jeden společný režim. Celkové tržby v tomto odvětví se přitom pohybují okolo 3 mld. Kč ročně.</w:t>
            </w:r>
          </w:p>
          <w:p w14:paraId="208B9233" w14:textId="6140326A" w:rsidR="000B4BD4" w:rsidRPr="0035187E" w:rsidRDefault="000B4BD4" w:rsidP="0035187E">
            <w:pPr>
              <w:jc w:val="both"/>
              <w:rPr>
                <w:rFonts w:ascii="Times New Roman" w:hAnsi="Times New Roman" w:cs="Times New Roman"/>
                <w:sz w:val="20"/>
                <w:szCs w:val="20"/>
              </w:rPr>
            </w:pPr>
            <w:r w:rsidRPr="0035187E">
              <w:rPr>
                <w:rFonts w:ascii="Times New Roman" w:eastAsia="Calibri" w:hAnsi="Times New Roman" w:cs="Times New Roman"/>
                <w:bCs/>
                <w:sz w:val="20"/>
                <w:szCs w:val="20"/>
              </w:rPr>
              <w:t>Rozumíme legislativnímu záměru vyloučit z evidence tržeb jízdné placené v dopravních prostředcích při pravidelné hromadné přepravě osob, kde by bylo velmi obtížné dodržet standardy zaváděné v rámci zákona o evidenci tržeb. Jsme ale toho názoru, že prodej jízdného pro dopravu na lanových drahách je realizován v podmínkách, které výjimku z evidence tržeb nevyžadují. Výše navrhovaná úprava znění § 13 zákona by zároveň řešila i problém s výše popsaným odlišným režimem evidence tržeb z jízdného u lyžařských vleků. Současně pomůže v principu zajistit prostředí s rovnějšími podmínkami pro podnikání.</w:t>
            </w:r>
          </w:p>
        </w:tc>
        <w:tc>
          <w:tcPr>
            <w:tcW w:w="1453" w:type="pct"/>
            <w:tcBorders>
              <w:top w:val="single" w:sz="4" w:space="0" w:color="auto"/>
              <w:left w:val="single" w:sz="4" w:space="0" w:color="auto"/>
              <w:right w:val="single" w:sz="4" w:space="0" w:color="auto"/>
            </w:tcBorders>
            <w:shd w:val="clear" w:color="auto" w:fill="auto"/>
          </w:tcPr>
          <w:p w14:paraId="408E5CB5" w14:textId="77777777"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Vysvětleno.</w:t>
            </w:r>
          </w:p>
          <w:p w14:paraId="30875C9A"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Výjimka z evidence tržeb je vztažena toliko na platby hrazené v dopravních prostředcích. Je-li dopravním prostředkem lanová či visutá dráha, muselo by k úhradě docházet přímo v kabince lanovky, což v případě skiareálů nenastává. K platbě dochází zpravidla předem v kiosku či online platbou a k čerpání služby dochází v rámci vstupního turniketu. Výjimka ve prospěch lanové dráhy tak má smysl pro </w:t>
            </w:r>
            <w:r w:rsidRPr="0035187E">
              <w:rPr>
                <w:rFonts w:ascii="Times New Roman" w:hAnsi="Times New Roman" w:cs="Times New Roman"/>
                <w:sz w:val="20"/>
                <w:szCs w:val="20"/>
              </w:rPr>
              <w:lastRenderedPageBreak/>
              <w:t>lanové dráhy, které jsou součástí městské hromadné dopravy apod.</w:t>
            </w:r>
          </w:p>
          <w:p w14:paraId="257472A4" w14:textId="2F3C8A32" w:rsidR="000B4BD4" w:rsidRPr="0035187E" w:rsidRDefault="000B4BD4" w:rsidP="0035187E">
            <w:pPr>
              <w:jc w:val="both"/>
              <w:rPr>
                <w:rFonts w:ascii="Times New Roman" w:hAnsi="Times New Roman" w:cs="Times New Roman"/>
                <w:sz w:val="20"/>
                <w:szCs w:val="20"/>
              </w:rPr>
            </w:pPr>
          </w:p>
        </w:tc>
      </w:tr>
      <w:tr w:rsidR="0035187E" w:rsidRPr="0035187E" w14:paraId="4FDCA072"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F5F1062" w14:textId="13CF8DB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40.</w:t>
            </w:r>
          </w:p>
        </w:tc>
        <w:tc>
          <w:tcPr>
            <w:tcW w:w="583" w:type="pct"/>
            <w:tcBorders>
              <w:top w:val="single" w:sz="4" w:space="0" w:color="auto"/>
              <w:left w:val="single" w:sz="4" w:space="0" w:color="auto"/>
              <w:right w:val="single" w:sz="4" w:space="0" w:color="auto"/>
            </w:tcBorders>
            <w:shd w:val="clear" w:color="auto" w:fill="auto"/>
          </w:tcPr>
          <w:p w14:paraId="2D047AB6" w14:textId="1C7BF05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1FE45C61" w14:textId="2D13EDF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21.</w:t>
            </w:r>
          </w:p>
        </w:tc>
        <w:tc>
          <w:tcPr>
            <w:tcW w:w="169" w:type="pct"/>
            <w:tcBorders>
              <w:top w:val="single" w:sz="4" w:space="0" w:color="auto"/>
              <w:left w:val="single" w:sz="4" w:space="0" w:color="auto"/>
              <w:right w:val="single" w:sz="4" w:space="0" w:color="auto"/>
            </w:tcBorders>
            <w:shd w:val="clear" w:color="auto" w:fill="auto"/>
          </w:tcPr>
          <w:p w14:paraId="16B8BAED" w14:textId="709CCA3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C961E08" w14:textId="03BEEAB4" w:rsidR="000B4BD4" w:rsidRPr="0035187E" w:rsidRDefault="000B4BD4" w:rsidP="0035187E">
            <w:pPr>
              <w:numPr>
                <w:ilvl w:val="0"/>
                <w:numId w:val="70"/>
              </w:numPr>
              <w:tabs>
                <w:tab w:val="left" w:pos="567"/>
              </w:tabs>
              <w:ind w:left="0" w:firstLine="4"/>
              <w:jc w:val="both"/>
              <w:rPr>
                <w:rFonts w:ascii="Times New Roman" w:eastAsia="Calibri" w:hAnsi="Times New Roman" w:cs="Times New Roman"/>
                <w:b/>
                <w:sz w:val="20"/>
                <w:szCs w:val="20"/>
              </w:rPr>
            </w:pPr>
            <w:r w:rsidRPr="0035187E">
              <w:rPr>
                <w:rFonts w:ascii="Times New Roman" w:eastAsia="Calibri" w:hAnsi="Times New Roman" w:cs="Times New Roman"/>
                <w:b/>
                <w:sz w:val="20"/>
                <w:szCs w:val="20"/>
              </w:rPr>
              <w:t>Připomínka k § 13 odst.</w:t>
            </w:r>
            <w:r w:rsidR="00DB169D" w:rsidRPr="0035187E">
              <w:rPr>
                <w:rFonts w:ascii="Times New Roman" w:eastAsia="Calibri" w:hAnsi="Times New Roman" w:cs="Times New Roman"/>
                <w:b/>
                <w:sz w:val="20"/>
                <w:szCs w:val="20"/>
              </w:rPr>
              <w:t xml:space="preserve"> </w:t>
            </w:r>
            <w:r w:rsidRPr="0035187E">
              <w:rPr>
                <w:rFonts w:ascii="Times New Roman" w:eastAsia="Calibri" w:hAnsi="Times New Roman" w:cs="Times New Roman"/>
                <w:b/>
                <w:sz w:val="20"/>
                <w:szCs w:val="20"/>
              </w:rPr>
              <w:t>1 písm. d) a e)</w:t>
            </w:r>
          </w:p>
          <w:p w14:paraId="360AF8AA" w14:textId="718249D7" w:rsidR="000B4BD4" w:rsidRPr="0035187E" w:rsidRDefault="000B4BD4" w:rsidP="0035187E">
            <w:pPr>
              <w:tabs>
                <w:tab w:val="left" w:pos="567"/>
              </w:tabs>
              <w:jc w:val="both"/>
              <w:rPr>
                <w:rFonts w:ascii="Times New Roman" w:eastAsia="Calibri" w:hAnsi="Times New Roman" w:cs="Times New Roman"/>
                <w:b/>
                <w:i/>
                <w:iCs/>
                <w:sz w:val="20"/>
                <w:szCs w:val="20"/>
              </w:rPr>
            </w:pPr>
            <w:r w:rsidRPr="0035187E">
              <w:rPr>
                <w:rFonts w:ascii="Times New Roman" w:eastAsia="Calibri" w:hAnsi="Times New Roman" w:cs="Times New Roman"/>
                <w:bCs/>
                <w:sz w:val="20"/>
                <w:szCs w:val="20"/>
              </w:rPr>
              <w:t>Požadujeme upravit text ustanovení § 13 odst. 1 písm. d) a e) ve smyslu níže uvedeného odůvodnění.</w:t>
            </w:r>
          </w:p>
          <w:p w14:paraId="22D71847" w14:textId="77777777" w:rsidR="000B4BD4" w:rsidRPr="0035187E" w:rsidRDefault="000B4BD4" w:rsidP="0035187E">
            <w:pPr>
              <w:jc w:val="both"/>
              <w:rPr>
                <w:rFonts w:ascii="Times New Roman" w:hAnsi="Times New Roman" w:cs="Times New Roman"/>
                <w:sz w:val="20"/>
                <w:szCs w:val="20"/>
                <w:u w:val="single"/>
              </w:rPr>
            </w:pPr>
          </w:p>
          <w:p w14:paraId="5DF270D7" w14:textId="781A4507"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w:t>
            </w:r>
          </w:p>
          <w:p w14:paraId="47E7C6BA" w14:textId="4E47A626" w:rsidR="000B4BD4" w:rsidRPr="0035187E" w:rsidRDefault="000B4BD4" w:rsidP="0035187E">
            <w:pPr>
              <w:jc w:val="both"/>
              <w:rPr>
                <w:rFonts w:ascii="Times New Roman" w:hAnsi="Times New Roman" w:cs="Times New Roman"/>
                <w:sz w:val="20"/>
                <w:szCs w:val="20"/>
              </w:rPr>
            </w:pPr>
            <w:r w:rsidRPr="0035187E">
              <w:rPr>
                <w:rFonts w:ascii="Times New Roman" w:eastAsia="Calibri" w:hAnsi="Times New Roman" w:cs="Times New Roman"/>
                <w:bCs/>
                <w:sz w:val="20"/>
                <w:szCs w:val="20"/>
              </w:rPr>
              <w:t xml:space="preserve">Navrhovaná úprava § 13 odst. 1 písm. d) a e) nereflektuje reálnou situaci ve veřejné dopravě, kdy je regionální doprava často realizována formou integrovaných dopravních systémů, kdy jízdní doklady lze použít v MHD, linkové silniční dopravě i železniční dopravě. Z tohoto důvodu by bylo vhodné z evidence tržeb vyjmout i jízdné v integrovaných dopravních systémech a MHD včetně souvisejících plateb. Do souvisejících plateb zahrnout i doplňkové prodeje upomínkových předmětů, tedy </w:t>
            </w:r>
            <w:r w:rsidRPr="0035187E">
              <w:rPr>
                <w:rFonts w:ascii="Times New Roman" w:eastAsia="Calibri" w:hAnsi="Times New Roman" w:cs="Times New Roman"/>
                <w:bCs/>
                <w:sz w:val="20"/>
                <w:szCs w:val="20"/>
              </w:rPr>
              <w:lastRenderedPageBreak/>
              <w:t>„</w:t>
            </w:r>
            <w:proofErr w:type="spellStart"/>
            <w:r w:rsidRPr="0035187E">
              <w:rPr>
                <w:rFonts w:ascii="Times New Roman" w:eastAsia="Calibri" w:hAnsi="Times New Roman" w:cs="Times New Roman"/>
                <w:bCs/>
                <w:sz w:val="20"/>
                <w:szCs w:val="20"/>
              </w:rPr>
              <w:t>fanshopů</w:t>
            </w:r>
            <w:proofErr w:type="spellEnd"/>
            <w:r w:rsidRPr="0035187E">
              <w:rPr>
                <w:rFonts w:ascii="Times New Roman" w:eastAsia="Calibri" w:hAnsi="Times New Roman" w:cs="Times New Roman"/>
                <w:bCs/>
                <w:sz w:val="20"/>
                <w:szCs w:val="20"/>
              </w:rPr>
              <w:t>“ (např. Dopravní podnik hl. m. Prahy, České dráhy, Plzeňské městské dopravní podniky atd.) a popř. i cateringových služeb poskytovaných v dopravních prostředcích. Zároveň upozorňujeme, že v návrhu zákona není žádným způsobem upraveno vydání účtenky na žádost zákazníka (detailně viz také jedna z dalších připomínek). Navíc vydávání účtenky v odvětví osobní přepravy lze považovat za nadbytečné, jelikož samotná jízdenka zpravidla splňuje náležitosti účtenky.</w:t>
            </w:r>
          </w:p>
        </w:tc>
        <w:tc>
          <w:tcPr>
            <w:tcW w:w="1453" w:type="pct"/>
            <w:tcBorders>
              <w:top w:val="single" w:sz="4" w:space="0" w:color="auto"/>
              <w:left w:val="single" w:sz="4" w:space="0" w:color="auto"/>
              <w:right w:val="single" w:sz="4" w:space="0" w:color="auto"/>
            </w:tcBorders>
            <w:shd w:val="clear" w:color="auto" w:fill="auto"/>
          </w:tcPr>
          <w:p w14:paraId="41F1ADE4" w14:textId="3F8FE3CC" w:rsidR="000B4BD4" w:rsidRPr="0035187E" w:rsidRDefault="00A03F7D"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Nevyhověno</w:t>
            </w:r>
            <w:r w:rsidR="00567F9D" w:rsidRPr="0035187E">
              <w:rPr>
                <w:rFonts w:ascii="Times New Roman" w:hAnsi="Times New Roman" w:cs="Times New Roman"/>
                <w:b/>
                <w:sz w:val="20"/>
                <w:szCs w:val="20"/>
              </w:rPr>
              <w:t xml:space="preserve"> / Vyhověno jinak</w:t>
            </w:r>
            <w:r w:rsidRPr="0035187E">
              <w:rPr>
                <w:rFonts w:ascii="Times New Roman" w:hAnsi="Times New Roman" w:cs="Times New Roman"/>
                <w:b/>
                <w:sz w:val="20"/>
                <w:szCs w:val="20"/>
              </w:rPr>
              <w:t>.</w:t>
            </w:r>
          </w:p>
          <w:p w14:paraId="303B28E3" w14:textId="77777777" w:rsidR="00567F9D" w:rsidRPr="0035187E" w:rsidRDefault="00A03F7D" w:rsidP="0035187E">
            <w:pPr>
              <w:jc w:val="both"/>
              <w:rPr>
                <w:rFonts w:ascii="Times New Roman" w:hAnsi="Times New Roman" w:cs="Times New Roman"/>
                <w:sz w:val="20"/>
                <w:szCs w:val="20"/>
              </w:rPr>
            </w:pPr>
            <w:r w:rsidRPr="0035187E">
              <w:rPr>
                <w:rFonts w:ascii="Times New Roman" w:hAnsi="Times New Roman" w:cs="Times New Roman"/>
                <w:sz w:val="20"/>
                <w:szCs w:val="20"/>
              </w:rPr>
              <w:t>Okruh výjimek vychází z původního zákona o evidenci tržeb. Vynětí v prostředích hromadné přepravy osob cílí obecně pouze na situace, kdy k úhradě dochází uvnitř dopravního prostředku.</w:t>
            </w:r>
            <w:r w:rsidR="00567F9D" w:rsidRPr="0035187E">
              <w:rPr>
                <w:rFonts w:ascii="Times New Roman" w:hAnsi="Times New Roman" w:cs="Times New Roman"/>
                <w:sz w:val="20"/>
                <w:szCs w:val="20"/>
              </w:rPr>
              <w:t xml:space="preserve"> V tomto ohledu došlo k rozšíření výjimky z jízdného a související platby (rozuměj s jízdným) na veškeré platby související</w:t>
            </w:r>
            <w:r w:rsidRPr="0035187E">
              <w:rPr>
                <w:rFonts w:ascii="Times New Roman" w:hAnsi="Times New Roman" w:cs="Times New Roman"/>
                <w:sz w:val="20"/>
                <w:szCs w:val="20"/>
              </w:rPr>
              <w:t xml:space="preserve"> </w:t>
            </w:r>
            <w:r w:rsidR="00567F9D" w:rsidRPr="0035187E">
              <w:rPr>
                <w:rFonts w:ascii="Times New Roman" w:hAnsi="Times New Roman" w:cs="Times New Roman"/>
                <w:sz w:val="20"/>
                <w:szCs w:val="20"/>
              </w:rPr>
              <w:t xml:space="preserve">s přepravou (např. občerstvení v jídelním voze, prodej upomínkových předmětů ve vozidle). </w:t>
            </w:r>
          </w:p>
          <w:p w14:paraId="10421A6B" w14:textId="29C2C638" w:rsidR="00A03F7D" w:rsidRPr="0035187E" w:rsidRDefault="00A03F7D" w:rsidP="0035187E">
            <w:pPr>
              <w:jc w:val="both"/>
              <w:rPr>
                <w:rFonts w:ascii="Times New Roman" w:hAnsi="Times New Roman" w:cs="Times New Roman"/>
                <w:sz w:val="20"/>
                <w:szCs w:val="20"/>
              </w:rPr>
            </w:pPr>
            <w:r w:rsidRPr="0035187E">
              <w:rPr>
                <w:rFonts w:ascii="Times New Roman" w:hAnsi="Times New Roman" w:cs="Times New Roman"/>
                <w:sz w:val="20"/>
                <w:szCs w:val="20"/>
              </w:rPr>
              <w:lastRenderedPageBreak/>
              <w:t>Osobní železniční přeprava je vyjmuta jako celek z důvodu nízkého počtu dopravců a</w:t>
            </w:r>
            <w:r w:rsidR="007A433C" w:rsidRPr="0035187E">
              <w:rPr>
                <w:rFonts w:ascii="Times New Roman" w:hAnsi="Times New Roman" w:cs="Times New Roman"/>
                <w:sz w:val="20"/>
                <w:szCs w:val="20"/>
              </w:rPr>
              <w:t xml:space="preserve"> speciální formu regulace (viz důvodová zpráva).</w:t>
            </w:r>
          </w:p>
          <w:p w14:paraId="6CB4F70E" w14:textId="0B87495F" w:rsidR="000B4BD4" w:rsidRPr="0035187E" w:rsidRDefault="007A433C" w:rsidP="0035187E">
            <w:pPr>
              <w:jc w:val="both"/>
              <w:rPr>
                <w:rFonts w:ascii="Times New Roman" w:hAnsi="Times New Roman" w:cs="Times New Roman"/>
                <w:sz w:val="20"/>
                <w:szCs w:val="20"/>
              </w:rPr>
            </w:pPr>
            <w:r w:rsidRPr="0035187E">
              <w:rPr>
                <w:rFonts w:ascii="Times New Roman" w:hAnsi="Times New Roman" w:cs="Times New Roman"/>
                <w:sz w:val="20"/>
                <w:szCs w:val="20"/>
              </w:rPr>
              <w:t>V případě integrovaných systémů platí, že přítomnost pouze jednoho segmentu služeb, kterému svědčí vynětí z evidence tržeb, nemůže vyjmout segmenty ostatní. To platí i ve vztahu k dalším výjimkám.</w:t>
            </w:r>
          </w:p>
          <w:p w14:paraId="37CF5921" w14:textId="77777777" w:rsidR="00970286" w:rsidRPr="0035187E" w:rsidRDefault="00970286" w:rsidP="0035187E">
            <w:pPr>
              <w:jc w:val="both"/>
              <w:rPr>
                <w:rFonts w:ascii="Times New Roman" w:hAnsi="Times New Roman" w:cs="Times New Roman"/>
                <w:sz w:val="20"/>
                <w:szCs w:val="20"/>
              </w:rPr>
            </w:pPr>
          </w:p>
          <w:p w14:paraId="60166F84" w14:textId="37DD4871" w:rsidR="00C31401" w:rsidRPr="0035187E" w:rsidRDefault="00C31401"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21BFA2FE" w14:textId="39F563AF" w:rsidR="00567F9D" w:rsidRPr="0035187E" w:rsidRDefault="00567F9D" w:rsidP="0035187E">
            <w:pPr>
              <w:jc w:val="both"/>
              <w:rPr>
                <w:rFonts w:ascii="Times New Roman" w:hAnsi="Times New Roman" w:cs="Times New Roman"/>
                <w:sz w:val="20"/>
                <w:szCs w:val="20"/>
              </w:rPr>
            </w:pPr>
            <w:r w:rsidRPr="0035187E">
              <w:rPr>
                <w:rFonts w:ascii="Times New Roman" w:hAnsi="Times New Roman" w:cs="Times New Roman"/>
                <w:sz w:val="20"/>
                <w:szCs w:val="20"/>
              </w:rPr>
              <w:t>Je třeba připomenout, že navrhovaný zákon záměrně neupravuje ani jinak nereguluje otázku vydávání účtenek.</w:t>
            </w:r>
          </w:p>
        </w:tc>
      </w:tr>
      <w:tr w:rsidR="0035187E" w:rsidRPr="0035187E" w14:paraId="29EBAF77"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E041BC4" w14:textId="59C0B53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40.</w:t>
            </w:r>
          </w:p>
        </w:tc>
        <w:tc>
          <w:tcPr>
            <w:tcW w:w="583" w:type="pct"/>
            <w:tcBorders>
              <w:top w:val="single" w:sz="4" w:space="0" w:color="auto"/>
              <w:left w:val="single" w:sz="4" w:space="0" w:color="auto"/>
              <w:right w:val="single" w:sz="4" w:space="0" w:color="auto"/>
            </w:tcBorders>
            <w:shd w:val="clear" w:color="auto" w:fill="auto"/>
          </w:tcPr>
          <w:p w14:paraId="5EAA0CB0" w14:textId="50F4D6D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3CB597A6" w14:textId="1BC2642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22.</w:t>
            </w:r>
          </w:p>
        </w:tc>
        <w:tc>
          <w:tcPr>
            <w:tcW w:w="169" w:type="pct"/>
            <w:tcBorders>
              <w:top w:val="single" w:sz="4" w:space="0" w:color="auto"/>
              <w:left w:val="single" w:sz="4" w:space="0" w:color="auto"/>
              <w:right w:val="single" w:sz="4" w:space="0" w:color="auto"/>
            </w:tcBorders>
            <w:shd w:val="clear" w:color="auto" w:fill="auto"/>
          </w:tcPr>
          <w:p w14:paraId="1D87A1BC" w14:textId="0B89236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E99CAC8" w14:textId="77777777" w:rsidR="000B4BD4" w:rsidRPr="0035187E" w:rsidRDefault="000B4BD4" w:rsidP="0035187E">
            <w:pPr>
              <w:numPr>
                <w:ilvl w:val="0"/>
                <w:numId w:val="70"/>
              </w:numPr>
              <w:tabs>
                <w:tab w:val="left" w:pos="567"/>
              </w:tabs>
              <w:ind w:left="0" w:firstLine="0"/>
              <w:jc w:val="both"/>
              <w:rPr>
                <w:rFonts w:ascii="Times New Roman" w:eastAsia="Calibri" w:hAnsi="Times New Roman" w:cs="Times New Roman"/>
                <w:b/>
                <w:sz w:val="20"/>
                <w:szCs w:val="20"/>
              </w:rPr>
            </w:pPr>
            <w:r w:rsidRPr="0035187E">
              <w:rPr>
                <w:rFonts w:ascii="Times New Roman" w:eastAsia="Calibri" w:hAnsi="Times New Roman" w:cs="Times New Roman"/>
                <w:b/>
                <w:sz w:val="20"/>
                <w:szCs w:val="20"/>
              </w:rPr>
              <w:t>Připomínka k § 14 odst. 2 a 3</w:t>
            </w:r>
          </w:p>
          <w:p w14:paraId="4D055637" w14:textId="5FFAA2A3"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Požadujeme upravit vymezení pojmu prodejního automatu v textu ustanovení § 14 odst. 2 a 3 návrhu zákona tak, aby nedocházelo k vyloučení zařízení, která vyžadují určitou součinnost zákazníka při čerpání služby. Úpravu výkladu tohoto ustanovení požadujeme provést v důvodové zprávě tak, aby bylo jednoznačně vyjasněno, že pojem prodejního automatu zahrnuje také zařízení poskytující služby prostřednictvím samoobslužného technického zařízení, jako jsou například:</w:t>
            </w:r>
          </w:p>
          <w:p w14:paraId="60C94F13" w14:textId="77777777" w:rsidR="000B4BD4" w:rsidRPr="0035187E" w:rsidRDefault="000B4BD4" w:rsidP="0035187E">
            <w:pPr>
              <w:numPr>
                <w:ilvl w:val="0"/>
                <w:numId w:val="69"/>
              </w:numPr>
              <w:tabs>
                <w:tab w:val="num" w:pos="720"/>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 xml:space="preserve">samoobslužné </w:t>
            </w:r>
            <w:proofErr w:type="spellStart"/>
            <w:r w:rsidRPr="0035187E">
              <w:rPr>
                <w:rFonts w:ascii="Times New Roman" w:eastAsia="Calibri" w:hAnsi="Times New Roman" w:cs="Times New Roman"/>
                <w:bCs/>
                <w:sz w:val="20"/>
                <w:szCs w:val="20"/>
              </w:rPr>
              <w:t>automyčky</w:t>
            </w:r>
            <w:proofErr w:type="spellEnd"/>
            <w:r w:rsidRPr="0035187E">
              <w:rPr>
                <w:rFonts w:ascii="Times New Roman" w:eastAsia="Calibri" w:hAnsi="Times New Roman" w:cs="Times New Roman"/>
                <w:bCs/>
                <w:sz w:val="20"/>
                <w:szCs w:val="20"/>
              </w:rPr>
              <w:t xml:space="preserve"> nebo mycí boxy,</w:t>
            </w:r>
          </w:p>
          <w:p w14:paraId="25EB769A" w14:textId="77777777" w:rsidR="000B4BD4" w:rsidRPr="0035187E" w:rsidRDefault="000B4BD4" w:rsidP="0035187E">
            <w:pPr>
              <w:numPr>
                <w:ilvl w:val="0"/>
                <w:numId w:val="69"/>
              </w:numPr>
              <w:tabs>
                <w:tab w:val="num" w:pos="720"/>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samoobslužné vysavače,</w:t>
            </w:r>
          </w:p>
          <w:p w14:paraId="5531BE99" w14:textId="77777777" w:rsidR="000B4BD4" w:rsidRPr="0035187E" w:rsidRDefault="000B4BD4" w:rsidP="0035187E">
            <w:pPr>
              <w:numPr>
                <w:ilvl w:val="0"/>
                <w:numId w:val="69"/>
              </w:numPr>
              <w:tabs>
                <w:tab w:val="num" w:pos="720"/>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kompresory pro dohušťování pneumatik,</w:t>
            </w:r>
          </w:p>
          <w:p w14:paraId="7069C673" w14:textId="77777777" w:rsidR="000B4BD4" w:rsidRPr="0035187E" w:rsidRDefault="000B4BD4" w:rsidP="0035187E">
            <w:pPr>
              <w:numPr>
                <w:ilvl w:val="0"/>
                <w:numId w:val="69"/>
              </w:numPr>
              <w:tabs>
                <w:tab w:val="num" w:pos="720"/>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obdobná zařízení poskytující službu prostřednictvím technického zařízení.</w:t>
            </w:r>
          </w:p>
          <w:p w14:paraId="0D21C67B" w14:textId="77777777" w:rsidR="000B4BD4" w:rsidRPr="0035187E" w:rsidRDefault="000B4BD4" w:rsidP="0035187E">
            <w:pPr>
              <w:jc w:val="both"/>
              <w:rPr>
                <w:rFonts w:ascii="Times New Roman" w:hAnsi="Times New Roman" w:cs="Times New Roman"/>
                <w:sz w:val="20"/>
                <w:szCs w:val="20"/>
                <w:u w:val="single"/>
              </w:rPr>
            </w:pPr>
          </w:p>
          <w:p w14:paraId="24EF25EF" w14:textId="4815F340"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w:t>
            </w:r>
          </w:p>
          <w:p w14:paraId="058F1AEB"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Navržená formulace ustanovení je vykládána restriktivně a vylučuje zařízení, která vyžadují určitou součinnost zákazníka při čerpání služby. Takové pojetí představuje změnu oproti předchozí právní úpravě evidence tržeb (EET 1.0), kde byl pojem prodejního automatu vykládán obecně a zahrnoval širší spektrum samoobslužných zařízení.</w:t>
            </w:r>
          </w:p>
          <w:p w14:paraId="5E085BB9"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V praxi přitom není ekonomický ani systémový důvod tato zařízení z režimu výjimky vylučovat. U zařízení, jako jsou samoobslužné myčky nebo vysavače, zákazník fakticky pouze využívá technické zařízení poskytující službu, přičemž jeho součinnost (např. najetí vozidlem do mycího prostoru nebo manipulace s vysávací hadicí) je z hlediska charakteru služby srovnatelná s úkony prováděnými u běžných prodejních automatů (např. odebrání kelímku nebo zboží).</w:t>
            </w:r>
          </w:p>
          <w:p w14:paraId="01B3A473"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 xml:space="preserve">Současně se jedná o zařízení, která jsou v řadě případů provozována v </w:t>
            </w:r>
            <w:proofErr w:type="spellStart"/>
            <w:r w:rsidRPr="0035187E">
              <w:rPr>
                <w:rFonts w:ascii="Times New Roman" w:eastAsia="Calibri" w:hAnsi="Times New Roman" w:cs="Times New Roman"/>
                <w:bCs/>
                <w:sz w:val="20"/>
                <w:szCs w:val="20"/>
              </w:rPr>
              <w:t>offline</w:t>
            </w:r>
            <w:proofErr w:type="spellEnd"/>
            <w:r w:rsidRPr="0035187E">
              <w:rPr>
                <w:rFonts w:ascii="Times New Roman" w:eastAsia="Calibri" w:hAnsi="Times New Roman" w:cs="Times New Roman"/>
                <w:bCs/>
                <w:sz w:val="20"/>
                <w:szCs w:val="20"/>
              </w:rPr>
              <w:t xml:space="preserve"> režimu a nejsou technologicky připravena na kontinuální online komunikaci se systémem evidence tržeb. Zavedení povinnosti evidence tržeb by proto vyžadovalo zásadní technické úpravy těchto zařízení, což by vedlo k výraznému zvýšení provozních nákladů a v řadě případů by mohlo vést až k ekonomické neudržitelnosti jejich provozu.</w:t>
            </w:r>
          </w:p>
          <w:p w14:paraId="63B873E4"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 xml:space="preserve">Restriktivní výklad by navíc mohl vést ke sporům o právní kvalifikaci těchto činností, zejména o otázku, zda jde o prodej zboží nebo poskytnutí služby. Typicky u </w:t>
            </w:r>
            <w:r w:rsidRPr="0035187E">
              <w:rPr>
                <w:rFonts w:ascii="Times New Roman" w:eastAsia="Calibri" w:hAnsi="Times New Roman" w:cs="Times New Roman"/>
                <w:bCs/>
                <w:sz w:val="20"/>
                <w:szCs w:val="20"/>
              </w:rPr>
              <w:lastRenderedPageBreak/>
              <w:t>samoobslužných myček zákazník službu fakticky pouze pasivně přijímá a míra jeho součinnosti je minimální (najetí do určeného prostoru).</w:t>
            </w:r>
          </w:p>
          <w:p w14:paraId="77546862" w14:textId="7B70DED8" w:rsidR="000B4BD4" w:rsidRPr="0035187E" w:rsidRDefault="000B4BD4" w:rsidP="0035187E">
            <w:pPr>
              <w:jc w:val="both"/>
              <w:rPr>
                <w:rFonts w:ascii="Times New Roman" w:hAnsi="Times New Roman" w:cs="Times New Roman"/>
                <w:sz w:val="20"/>
                <w:szCs w:val="20"/>
              </w:rPr>
            </w:pPr>
            <w:r w:rsidRPr="0035187E">
              <w:rPr>
                <w:rFonts w:ascii="Times New Roman" w:eastAsia="Calibri" w:hAnsi="Times New Roman" w:cs="Times New Roman"/>
                <w:bCs/>
                <w:sz w:val="20"/>
                <w:szCs w:val="20"/>
              </w:rPr>
              <w:t>Požadujeme proto zachovat výklad odpovídající předchozí právní úpravě evidence tržeb a v důvodové zprávě výslovně uvést, že pojem prodejního automatu zahrnuje i uvedené typy samoobslužných zařízení.</w:t>
            </w:r>
          </w:p>
        </w:tc>
        <w:tc>
          <w:tcPr>
            <w:tcW w:w="1453" w:type="pct"/>
            <w:tcBorders>
              <w:top w:val="single" w:sz="4" w:space="0" w:color="auto"/>
              <w:left w:val="single" w:sz="4" w:space="0" w:color="auto"/>
              <w:right w:val="single" w:sz="4" w:space="0" w:color="auto"/>
            </w:tcBorders>
            <w:shd w:val="clear" w:color="auto" w:fill="auto"/>
          </w:tcPr>
          <w:p w14:paraId="527425EC" w14:textId="36FCF0DC" w:rsidR="000B4BD4" w:rsidRPr="0035187E" w:rsidRDefault="007914FF"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Vyhověno.</w:t>
            </w:r>
          </w:p>
          <w:p w14:paraId="20B0F9E5" w14:textId="48126F5A" w:rsidR="007914FF" w:rsidRPr="0035187E" w:rsidRDefault="007914FF" w:rsidP="0035187E">
            <w:pPr>
              <w:jc w:val="both"/>
              <w:rPr>
                <w:rFonts w:ascii="Times New Roman" w:hAnsi="Times New Roman" w:cs="Times New Roman"/>
                <w:sz w:val="20"/>
                <w:szCs w:val="20"/>
              </w:rPr>
            </w:pPr>
            <w:r w:rsidRPr="0035187E">
              <w:rPr>
                <w:rFonts w:ascii="Times New Roman" w:hAnsi="Times New Roman" w:cs="Times New Roman"/>
                <w:sz w:val="20"/>
                <w:szCs w:val="20"/>
              </w:rPr>
              <w:t>Důvodová zpráva byla upravena.</w:t>
            </w:r>
          </w:p>
          <w:p w14:paraId="7C35758D" w14:textId="0B8DE7F1" w:rsidR="007914FF" w:rsidRPr="0035187E" w:rsidRDefault="007914FF" w:rsidP="0035187E">
            <w:pPr>
              <w:jc w:val="both"/>
              <w:rPr>
                <w:rFonts w:ascii="Times New Roman" w:hAnsi="Times New Roman" w:cs="Times New Roman"/>
                <w:sz w:val="20"/>
                <w:szCs w:val="20"/>
              </w:rPr>
            </w:pPr>
          </w:p>
        </w:tc>
      </w:tr>
      <w:tr w:rsidR="0035187E" w:rsidRPr="0035187E" w14:paraId="2FECBC53"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1B72AD7" w14:textId="5BE4055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40.</w:t>
            </w:r>
          </w:p>
        </w:tc>
        <w:tc>
          <w:tcPr>
            <w:tcW w:w="583" w:type="pct"/>
            <w:tcBorders>
              <w:top w:val="single" w:sz="4" w:space="0" w:color="auto"/>
              <w:left w:val="single" w:sz="4" w:space="0" w:color="auto"/>
              <w:right w:val="single" w:sz="4" w:space="0" w:color="auto"/>
            </w:tcBorders>
            <w:shd w:val="clear" w:color="auto" w:fill="auto"/>
          </w:tcPr>
          <w:p w14:paraId="7AF3664C" w14:textId="55AD129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66A87CE6" w14:textId="350CB92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23.</w:t>
            </w:r>
          </w:p>
        </w:tc>
        <w:tc>
          <w:tcPr>
            <w:tcW w:w="169" w:type="pct"/>
            <w:tcBorders>
              <w:top w:val="single" w:sz="4" w:space="0" w:color="auto"/>
              <w:left w:val="single" w:sz="4" w:space="0" w:color="auto"/>
              <w:right w:val="single" w:sz="4" w:space="0" w:color="auto"/>
            </w:tcBorders>
            <w:shd w:val="clear" w:color="auto" w:fill="auto"/>
          </w:tcPr>
          <w:p w14:paraId="68CC772B" w14:textId="4426CCF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72BA99D" w14:textId="77777777" w:rsidR="000B4BD4" w:rsidRPr="0035187E" w:rsidRDefault="000B4BD4" w:rsidP="0035187E">
            <w:pPr>
              <w:numPr>
                <w:ilvl w:val="0"/>
                <w:numId w:val="70"/>
              </w:numPr>
              <w:tabs>
                <w:tab w:val="left" w:pos="567"/>
              </w:tabs>
              <w:ind w:left="0" w:firstLine="4"/>
              <w:jc w:val="both"/>
              <w:rPr>
                <w:rFonts w:ascii="Times New Roman" w:eastAsia="Calibri" w:hAnsi="Times New Roman" w:cs="Times New Roman"/>
                <w:b/>
                <w:sz w:val="20"/>
                <w:szCs w:val="20"/>
              </w:rPr>
            </w:pPr>
            <w:r w:rsidRPr="0035187E">
              <w:rPr>
                <w:rFonts w:ascii="Times New Roman" w:eastAsia="Calibri" w:hAnsi="Times New Roman" w:cs="Times New Roman"/>
                <w:b/>
                <w:sz w:val="20"/>
                <w:szCs w:val="20"/>
              </w:rPr>
              <w:t>Připomínka k § 14 odst. 4</w:t>
            </w:r>
          </w:p>
          <w:p w14:paraId="31169459" w14:textId="2E19322A"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Požadujeme upravit text ustanovení § 14 odst. 4 následovně:</w:t>
            </w:r>
          </w:p>
          <w:p w14:paraId="4A45E988"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 xml:space="preserve">„Evidovanou tržbou nejsou také tržby z prodeje zboží či služeb prostřednictvím samoobslužného zařízení, které se nachází mimo provozovnu a umožňuje platbu pouze v hotovosti </w:t>
            </w:r>
            <w:r w:rsidRPr="0035187E">
              <w:rPr>
                <w:rFonts w:ascii="Times New Roman" w:hAnsi="Times New Roman" w:cs="Times New Roman"/>
                <w:b/>
                <w:bCs/>
                <w:i/>
                <w:iCs/>
                <w:sz w:val="20"/>
                <w:szCs w:val="20"/>
              </w:rPr>
              <w:t>nebo smíšeně v hotovosti a současně i bezhotovostně</w:t>
            </w:r>
            <w:r w:rsidRPr="0035187E">
              <w:rPr>
                <w:rFonts w:ascii="Times New Roman" w:eastAsia="Calibri" w:hAnsi="Times New Roman" w:cs="Times New Roman"/>
                <w:bCs/>
                <w:sz w:val="20"/>
                <w:szCs w:val="20"/>
              </w:rPr>
              <w:t>, za podmínky, že okolnosti neumožňují nebo zásadně ztěžují evidenci tržeb“.</w:t>
            </w:r>
          </w:p>
          <w:p w14:paraId="2AC07050" w14:textId="77777777" w:rsidR="000B4BD4" w:rsidRPr="0035187E" w:rsidRDefault="000B4BD4" w:rsidP="0035187E">
            <w:pPr>
              <w:jc w:val="both"/>
              <w:rPr>
                <w:rFonts w:ascii="Times New Roman" w:hAnsi="Times New Roman" w:cs="Times New Roman"/>
                <w:sz w:val="20"/>
                <w:szCs w:val="20"/>
                <w:u w:val="single"/>
              </w:rPr>
            </w:pPr>
          </w:p>
          <w:p w14:paraId="771CE004" w14:textId="60FED1B8"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w:t>
            </w:r>
          </w:p>
          <w:p w14:paraId="29CB02F3"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Navržené znění ustanovení omezuje výjimku pouze na zařízení umožňující platbu výhradně v hotovosti. V praxi však existuje řada samoobslužných zařízení, která umožňují současně hotovostní i bezhotovostní platby (např. prostřednictvím platebních karet nebo mobilních plateb), aniž by byla technicky připravena na online evidenci jednotlivých transakcí v systému evidence tržeb.</w:t>
            </w:r>
          </w:p>
          <w:p w14:paraId="6C3CE3BD"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Vyloučení těchto zařízení z režimu výjimky by vedlo k nepřiměřenému administrativnímu a technickému zatížení jejich provozovatelů, přestože se zpravidla jedná o drobné transakce s nízkou hodnotou a omezeným fiskálním významem.</w:t>
            </w:r>
          </w:p>
          <w:p w14:paraId="070490E1" w14:textId="5D107C2C" w:rsidR="000B4BD4" w:rsidRPr="0035187E" w:rsidRDefault="000B4BD4" w:rsidP="0035187E">
            <w:pPr>
              <w:jc w:val="both"/>
              <w:rPr>
                <w:rFonts w:ascii="Times New Roman" w:hAnsi="Times New Roman" w:cs="Times New Roman"/>
                <w:sz w:val="20"/>
                <w:szCs w:val="20"/>
              </w:rPr>
            </w:pPr>
            <w:r w:rsidRPr="0035187E">
              <w:rPr>
                <w:rFonts w:ascii="Times New Roman" w:eastAsia="Calibri" w:hAnsi="Times New Roman" w:cs="Times New Roman"/>
                <w:bCs/>
                <w:sz w:val="20"/>
                <w:szCs w:val="20"/>
              </w:rPr>
              <w:t>Navržená úprava proto umožňuje zachovat výjimku i v případech, kdy zařízení umožňuje vedle hotovostních plateb také drobné bezhotovostní platby, pokud technické nebo provozní okolnosti evidenci tržeb neumožňují nebo ji zásadně ztěžují.</w:t>
            </w:r>
          </w:p>
        </w:tc>
        <w:tc>
          <w:tcPr>
            <w:tcW w:w="1453" w:type="pct"/>
            <w:tcBorders>
              <w:top w:val="single" w:sz="4" w:space="0" w:color="auto"/>
              <w:left w:val="single" w:sz="4" w:space="0" w:color="auto"/>
              <w:right w:val="single" w:sz="4" w:space="0" w:color="auto"/>
            </w:tcBorders>
            <w:shd w:val="clear" w:color="auto" w:fill="auto"/>
          </w:tcPr>
          <w:p w14:paraId="32DE170E" w14:textId="77777777" w:rsidR="007914FF" w:rsidRPr="0035187E" w:rsidRDefault="007914FF" w:rsidP="0035187E">
            <w:pPr>
              <w:jc w:val="both"/>
              <w:rPr>
                <w:rFonts w:ascii="Times New Roman" w:hAnsi="Times New Roman" w:cs="Times New Roman"/>
                <w:b/>
                <w:sz w:val="20"/>
                <w:szCs w:val="20"/>
              </w:rPr>
            </w:pPr>
            <w:r w:rsidRPr="0035187E">
              <w:rPr>
                <w:rFonts w:ascii="Times New Roman" w:hAnsi="Times New Roman" w:cs="Times New Roman"/>
                <w:b/>
                <w:sz w:val="20"/>
                <w:szCs w:val="20"/>
              </w:rPr>
              <w:t>Vyhověno jinak.</w:t>
            </w:r>
          </w:p>
          <w:p w14:paraId="0D274DB4" w14:textId="77777777" w:rsidR="007914FF" w:rsidRPr="0035187E" w:rsidRDefault="007914FF" w:rsidP="0035187E">
            <w:pPr>
              <w:jc w:val="both"/>
              <w:rPr>
                <w:rFonts w:ascii="Times New Roman" w:hAnsi="Times New Roman" w:cs="Times New Roman"/>
                <w:b/>
                <w:sz w:val="20"/>
                <w:szCs w:val="20"/>
                <w:highlight w:val="cyan"/>
              </w:rPr>
            </w:pPr>
            <w:r w:rsidRPr="0035187E">
              <w:rPr>
                <w:rFonts w:ascii="Times New Roman" w:hAnsi="Times New Roman" w:cs="Times New Roman"/>
                <w:sz w:val="20"/>
                <w:szCs w:val="20"/>
              </w:rPr>
              <w:t>Materiál byl upraven ve prospěch vypuštění podmínky formy platby v hotovosti, tzn. může jít o jakoukoli formu platby podle § 6. Bude tedy klíčové materiální kritérium testující objektivní možnost proveditelnosti evidování tržeb.</w:t>
            </w:r>
          </w:p>
          <w:p w14:paraId="5536BC90" w14:textId="1ECCD397" w:rsidR="000B4BD4" w:rsidRPr="0035187E" w:rsidRDefault="000B4BD4" w:rsidP="0035187E">
            <w:pPr>
              <w:jc w:val="both"/>
              <w:rPr>
                <w:rFonts w:ascii="Times New Roman" w:hAnsi="Times New Roman" w:cs="Times New Roman"/>
                <w:sz w:val="20"/>
                <w:szCs w:val="20"/>
              </w:rPr>
            </w:pPr>
          </w:p>
        </w:tc>
      </w:tr>
      <w:tr w:rsidR="0035187E" w:rsidRPr="0035187E" w14:paraId="29141260"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8019817" w14:textId="6BAF626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40.</w:t>
            </w:r>
          </w:p>
        </w:tc>
        <w:tc>
          <w:tcPr>
            <w:tcW w:w="583" w:type="pct"/>
            <w:tcBorders>
              <w:top w:val="single" w:sz="4" w:space="0" w:color="auto"/>
              <w:left w:val="single" w:sz="4" w:space="0" w:color="auto"/>
              <w:right w:val="single" w:sz="4" w:space="0" w:color="auto"/>
            </w:tcBorders>
            <w:shd w:val="clear" w:color="auto" w:fill="auto"/>
          </w:tcPr>
          <w:p w14:paraId="60347F53" w14:textId="425FF08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59056C3E" w14:textId="5809136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24.</w:t>
            </w:r>
          </w:p>
        </w:tc>
        <w:tc>
          <w:tcPr>
            <w:tcW w:w="169" w:type="pct"/>
            <w:tcBorders>
              <w:top w:val="single" w:sz="4" w:space="0" w:color="auto"/>
              <w:left w:val="single" w:sz="4" w:space="0" w:color="auto"/>
              <w:right w:val="single" w:sz="4" w:space="0" w:color="auto"/>
            </w:tcBorders>
            <w:shd w:val="clear" w:color="auto" w:fill="auto"/>
          </w:tcPr>
          <w:p w14:paraId="40165F3D" w14:textId="6F3B1C6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999256A" w14:textId="77777777" w:rsidR="000B4BD4" w:rsidRPr="0035187E" w:rsidRDefault="000B4BD4" w:rsidP="0035187E">
            <w:pPr>
              <w:numPr>
                <w:ilvl w:val="0"/>
                <w:numId w:val="70"/>
              </w:numPr>
              <w:tabs>
                <w:tab w:val="left" w:pos="567"/>
              </w:tabs>
              <w:ind w:left="0" w:firstLine="0"/>
              <w:jc w:val="both"/>
              <w:rPr>
                <w:rFonts w:ascii="Times New Roman" w:eastAsia="Calibri" w:hAnsi="Times New Roman" w:cs="Times New Roman"/>
                <w:b/>
                <w:sz w:val="20"/>
                <w:szCs w:val="20"/>
              </w:rPr>
            </w:pPr>
            <w:r w:rsidRPr="0035187E">
              <w:rPr>
                <w:rFonts w:ascii="Times New Roman" w:eastAsia="Calibri" w:hAnsi="Times New Roman" w:cs="Times New Roman"/>
                <w:b/>
                <w:sz w:val="20"/>
                <w:szCs w:val="20"/>
              </w:rPr>
              <w:t>Připomínka k § 14</w:t>
            </w:r>
          </w:p>
          <w:p w14:paraId="633D2E05" w14:textId="2A4BEC60" w:rsidR="000B4BD4" w:rsidRPr="0035187E" w:rsidRDefault="000B4BD4" w:rsidP="0035187E">
            <w:p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Požadujeme do textu ustanovení § 14 vložit nový odstavec v následujícím znění:</w:t>
            </w:r>
          </w:p>
          <w:p w14:paraId="3D1B5FD7" w14:textId="77777777" w:rsidR="000B4BD4" w:rsidRPr="0035187E" w:rsidRDefault="000B4BD4" w:rsidP="0035187E">
            <w:pPr>
              <w:jc w:val="both"/>
              <w:rPr>
                <w:rFonts w:ascii="Times New Roman" w:eastAsia="Calibri" w:hAnsi="Times New Roman" w:cs="Times New Roman"/>
                <w:b/>
                <w:i/>
                <w:iCs/>
                <w:sz w:val="20"/>
                <w:szCs w:val="20"/>
              </w:rPr>
            </w:pPr>
            <w:r w:rsidRPr="0035187E">
              <w:rPr>
                <w:rFonts w:ascii="Times New Roman" w:eastAsia="Calibri" w:hAnsi="Times New Roman" w:cs="Times New Roman"/>
                <w:bCs/>
                <w:i/>
                <w:iCs/>
                <w:sz w:val="20"/>
                <w:szCs w:val="20"/>
              </w:rPr>
              <w:t>„</w:t>
            </w:r>
            <w:r w:rsidRPr="0035187E">
              <w:rPr>
                <w:rFonts w:ascii="Times New Roman" w:eastAsia="Calibri" w:hAnsi="Times New Roman" w:cs="Times New Roman"/>
                <w:b/>
                <w:i/>
                <w:iCs/>
                <w:sz w:val="20"/>
                <w:szCs w:val="20"/>
              </w:rPr>
              <w:t>Evidovanou tržbou nejsou také tržby z prodeje zboží a služeb na kulturních, sportovních a podobných jednorázových hromadných akcích konaných mimo stálé provozovny, pokud jsou tyto tržby evidovány prostřednictvím uzavřeného platebního systému, který zajišťuje úplný digitální záznam všech transakcí.</w:t>
            </w:r>
            <w:r w:rsidRPr="0035187E">
              <w:rPr>
                <w:rFonts w:ascii="Times New Roman" w:eastAsia="Calibri" w:hAnsi="Times New Roman" w:cs="Times New Roman"/>
                <w:bCs/>
                <w:i/>
                <w:iCs/>
                <w:sz w:val="20"/>
                <w:szCs w:val="20"/>
              </w:rPr>
              <w:t>“.</w:t>
            </w:r>
          </w:p>
          <w:p w14:paraId="5E3895C4"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Alternativní návrh pro případ, že plné vynětí není akceptovatelné, požadujeme stanovit zvláštní režim pro jednorázové akce kombinující:</w:t>
            </w:r>
          </w:p>
          <w:p w14:paraId="3BD6782A"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Prodlouženou lhůtu pro evidenci dle výše uvedené připomínky (4 pracovní dny po akci).</w:t>
            </w:r>
          </w:p>
          <w:p w14:paraId="2DCCB5AE"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Možnost hromadného využití pověření dle výše uvedené připomínky (centrální evidence skrze platformu).</w:t>
            </w:r>
          </w:p>
          <w:p w14:paraId="2162A68F"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Možnost hromadného odeslání transakcí v případě, že se prodejní stánky nacházejí mimo dosah internetového připojení po celou dobu konání akce.</w:t>
            </w:r>
          </w:p>
          <w:p w14:paraId="7C8E984A" w14:textId="77777777" w:rsidR="000B4BD4" w:rsidRPr="0035187E" w:rsidRDefault="000B4BD4" w:rsidP="0035187E">
            <w:pPr>
              <w:jc w:val="both"/>
              <w:rPr>
                <w:rFonts w:ascii="Times New Roman" w:hAnsi="Times New Roman" w:cs="Times New Roman"/>
                <w:sz w:val="20"/>
                <w:szCs w:val="20"/>
                <w:u w:val="single"/>
              </w:rPr>
            </w:pPr>
          </w:p>
          <w:p w14:paraId="609C8753" w14:textId="55857962"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w:t>
            </w:r>
          </w:p>
          <w:p w14:paraId="70007103"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 xml:space="preserve">Návrh zákona obsahuje několik institutů, které částečně zohledňují specifické podmínky: </w:t>
            </w:r>
          </w:p>
          <w:p w14:paraId="5BFC7593" w14:textId="77777777" w:rsidR="000B4BD4" w:rsidRPr="0035187E" w:rsidRDefault="000B4BD4" w:rsidP="0035187E">
            <w:pPr>
              <w:jc w:val="both"/>
              <w:rPr>
                <w:rFonts w:ascii="Times New Roman" w:eastAsia="Calibri" w:hAnsi="Times New Roman" w:cs="Times New Roman"/>
                <w:bCs/>
                <w:sz w:val="20"/>
                <w:szCs w:val="20"/>
                <w:u w:val="single"/>
              </w:rPr>
            </w:pPr>
            <w:r w:rsidRPr="0035187E">
              <w:rPr>
                <w:rFonts w:ascii="Times New Roman" w:eastAsia="Calibri" w:hAnsi="Times New Roman" w:cs="Times New Roman"/>
                <w:bCs/>
                <w:sz w:val="20"/>
                <w:szCs w:val="20"/>
                <w:u w:val="single"/>
              </w:rPr>
              <w:t>Přirážka zprošťující povinnosti (§ 12 odst. 3)</w:t>
            </w:r>
          </w:p>
          <w:p w14:paraId="7F378168" w14:textId="77777777" w:rsidR="000B4BD4" w:rsidRPr="0035187E" w:rsidRDefault="000B4BD4" w:rsidP="0035187E">
            <w:pPr>
              <w:numPr>
                <w:ilvl w:val="1"/>
                <w:numId w:val="71"/>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lastRenderedPageBreak/>
              <w:t>Poplatníci s příjmy do 1 mil. Kč mohou být přihlášeni k přirážce zprošťující povinnosti evidovat tržby. Tato možnost je relevantní pro menší stánkaře, avšak nepokrývá pořadatele festivalů ani větší prodejce.</w:t>
            </w:r>
          </w:p>
          <w:p w14:paraId="0F6C8066" w14:textId="77777777" w:rsidR="000B4BD4" w:rsidRPr="0035187E" w:rsidRDefault="000B4BD4" w:rsidP="0035187E">
            <w:pPr>
              <w:jc w:val="both"/>
              <w:rPr>
                <w:rFonts w:ascii="Times New Roman" w:eastAsia="Calibri" w:hAnsi="Times New Roman" w:cs="Times New Roman"/>
                <w:bCs/>
                <w:sz w:val="20"/>
                <w:szCs w:val="20"/>
                <w:u w:val="single"/>
              </w:rPr>
            </w:pPr>
            <w:r w:rsidRPr="0035187E">
              <w:rPr>
                <w:rFonts w:ascii="Times New Roman" w:eastAsia="Calibri" w:hAnsi="Times New Roman" w:cs="Times New Roman"/>
                <w:bCs/>
                <w:sz w:val="20"/>
                <w:szCs w:val="20"/>
                <w:u w:val="single"/>
              </w:rPr>
              <w:t>Vynětí samoobslužných zařízení (§ 14 odst. 4)</w:t>
            </w:r>
          </w:p>
          <w:p w14:paraId="50868838" w14:textId="77777777" w:rsidR="000B4BD4" w:rsidRPr="0035187E" w:rsidRDefault="000B4BD4" w:rsidP="0035187E">
            <w:pPr>
              <w:numPr>
                <w:ilvl w:val="1"/>
                <w:numId w:val="71"/>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Tržby z prodejních automatů mimo provozovnu jsou vyňaty, pokud „okolnosti neumožňují nebo zásadně ztěžují evidenci tržeb“. Festivaly splňují tuto podmínku, jakkoli stánkový prodej nespadá pod definici samoobslužného zařízení.</w:t>
            </w:r>
          </w:p>
          <w:p w14:paraId="7D42F4F2" w14:textId="77777777" w:rsidR="000B4BD4" w:rsidRPr="0035187E" w:rsidRDefault="000B4BD4" w:rsidP="0035187E">
            <w:pPr>
              <w:jc w:val="both"/>
              <w:rPr>
                <w:rFonts w:ascii="Times New Roman" w:eastAsia="Calibri" w:hAnsi="Times New Roman" w:cs="Times New Roman"/>
                <w:bCs/>
                <w:sz w:val="20"/>
                <w:szCs w:val="20"/>
                <w:u w:val="single"/>
              </w:rPr>
            </w:pPr>
          </w:p>
          <w:p w14:paraId="5424AAE7" w14:textId="05753A1C" w:rsidR="000B4BD4" w:rsidRPr="0035187E" w:rsidRDefault="000B4BD4" w:rsidP="0035187E">
            <w:pPr>
              <w:jc w:val="both"/>
              <w:rPr>
                <w:rFonts w:ascii="Times New Roman" w:eastAsia="Calibri" w:hAnsi="Times New Roman" w:cs="Times New Roman"/>
                <w:bCs/>
                <w:sz w:val="20"/>
                <w:szCs w:val="20"/>
                <w:u w:val="single"/>
              </w:rPr>
            </w:pPr>
            <w:r w:rsidRPr="0035187E">
              <w:rPr>
                <w:rFonts w:ascii="Times New Roman" w:eastAsia="Calibri" w:hAnsi="Times New Roman" w:cs="Times New Roman"/>
                <w:bCs/>
                <w:sz w:val="20"/>
                <w:szCs w:val="20"/>
                <w:u w:val="single"/>
              </w:rPr>
              <w:t xml:space="preserve">Mezní doba odezvy a </w:t>
            </w:r>
            <w:proofErr w:type="spellStart"/>
            <w:r w:rsidRPr="0035187E">
              <w:rPr>
                <w:rFonts w:ascii="Times New Roman" w:eastAsia="Calibri" w:hAnsi="Times New Roman" w:cs="Times New Roman"/>
                <w:bCs/>
                <w:sz w:val="20"/>
                <w:szCs w:val="20"/>
                <w:u w:val="single"/>
              </w:rPr>
              <w:t>offline</w:t>
            </w:r>
            <w:proofErr w:type="spellEnd"/>
            <w:r w:rsidRPr="0035187E">
              <w:rPr>
                <w:rFonts w:ascii="Times New Roman" w:eastAsia="Calibri" w:hAnsi="Times New Roman" w:cs="Times New Roman"/>
                <w:bCs/>
                <w:sz w:val="20"/>
                <w:szCs w:val="20"/>
                <w:u w:val="single"/>
              </w:rPr>
              <w:t xml:space="preserve"> režim (§ 20–21)</w:t>
            </w:r>
          </w:p>
          <w:p w14:paraId="1DBD429A" w14:textId="77777777" w:rsidR="000B4BD4" w:rsidRPr="0035187E" w:rsidRDefault="000B4BD4" w:rsidP="0035187E">
            <w:pPr>
              <w:numPr>
                <w:ilvl w:val="1"/>
                <w:numId w:val="71"/>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 xml:space="preserve">Lhůta 48 hodin teoreticky může být pro běžné výpadky dostatečná </w:t>
            </w:r>
            <w:r w:rsidRPr="0035187E">
              <w:rPr>
                <w:rFonts w:ascii="Times New Roman" w:hAnsi="Times New Roman" w:cs="Times New Roman"/>
                <w:sz w:val="20"/>
                <w:szCs w:val="20"/>
              </w:rPr>
              <w:t>(i když i ta – jak dokládáme v odůvodnění dalších připomínek – je v současném nastavení velmi problematická)</w:t>
            </w:r>
            <w:r w:rsidRPr="0035187E">
              <w:rPr>
                <w:rFonts w:ascii="Times New Roman" w:eastAsia="Calibri" w:hAnsi="Times New Roman" w:cs="Times New Roman"/>
                <w:bCs/>
                <w:sz w:val="20"/>
                <w:szCs w:val="20"/>
              </w:rPr>
              <w:t xml:space="preserve">, pro festivaly jednoznačně nikoli (viz připomínka k prodloužení lhůty pro stánkový prodej na akcích). </w:t>
            </w:r>
          </w:p>
          <w:p w14:paraId="35508366" w14:textId="11558B4C" w:rsidR="000B4BD4" w:rsidRPr="0035187E" w:rsidRDefault="000B4BD4" w:rsidP="0035187E">
            <w:pPr>
              <w:numPr>
                <w:ilvl w:val="1"/>
                <w:numId w:val="71"/>
              </w:numPr>
              <w:jc w:val="both"/>
              <w:rPr>
                <w:rFonts w:ascii="Times New Roman" w:hAnsi="Times New Roman" w:cs="Times New Roman"/>
                <w:sz w:val="20"/>
                <w:szCs w:val="20"/>
              </w:rPr>
            </w:pPr>
            <w:r w:rsidRPr="0035187E">
              <w:rPr>
                <w:rFonts w:ascii="Times New Roman" w:eastAsia="Calibri" w:hAnsi="Times New Roman" w:cs="Times New Roman"/>
                <w:bCs/>
                <w:sz w:val="20"/>
                <w:szCs w:val="20"/>
              </w:rPr>
              <w:t xml:space="preserve">Výjimka se vztahuje pouze na tržby evidované prostřednictvím </w:t>
            </w:r>
            <w:proofErr w:type="spellStart"/>
            <w:r w:rsidRPr="0035187E">
              <w:rPr>
                <w:rFonts w:ascii="Times New Roman" w:eastAsia="Calibri" w:hAnsi="Times New Roman" w:cs="Times New Roman"/>
                <w:bCs/>
                <w:i/>
                <w:iCs/>
                <w:sz w:val="20"/>
                <w:szCs w:val="20"/>
              </w:rPr>
              <w:t>cashless</w:t>
            </w:r>
            <w:proofErr w:type="spellEnd"/>
            <w:r w:rsidRPr="0035187E">
              <w:rPr>
                <w:rFonts w:ascii="Times New Roman" w:eastAsia="Calibri" w:hAnsi="Times New Roman" w:cs="Times New Roman"/>
                <w:bCs/>
                <w:sz w:val="20"/>
                <w:szCs w:val="20"/>
              </w:rPr>
              <w:t xml:space="preserve"> systému. Tím je zajištěna plná transparentnost a digitální auditní stopa – cíl zákona (efektivní ověřování daňových povinností dle § 1 odst. 2) je naplněn alternativním způsobem.</w:t>
            </w:r>
          </w:p>
        </w:tc>
        <w:tc>
          <w:tcPr>
            <w:tcW w:w="1453" w:type="pct"/>
            <w:tcBorders>
              <w:top w:val="single" w:sz="4" w:space="0" w:color="auto"/>
              <w:left w:val="single" w:sz="4" w:space="0" w:color="auto"/>
              <w:right w:val="single" w:sz="4" w:space="0" w:color="auto"/>
            </w:tcBorders>
            <w:shd w:val="clear" w:color="auto" w:fill="auto"/>
          </w:tcPr>
          <w:p w14:paraId="391D0218" w14:textId="67354FDA" w:rsidR="000B4BD4" w:rsidRPr="0035187E" w:rsidRDefault="00454646"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Nevyhověno</w:t>
            </w:r>
            <w:r w:rsidR="0091048A" w:rsidRPr="0035187E">
              <w:rPr>
                <w:rFonts w:ascii="Times New Roman" w:hAnsi="Times New Roman" w:cs="Times New Roman"/>
                <w:b/>
                <w:sz w:val="20"/>
                <w:szCs w:val="20"/>
              </w:rPr>
              <w:t xml:space="preserve"> / Vysvětleno</w:t>
            </w:r>
            <w:r w:rsidRPr="0035187E">
              <w:rPr>
                <w:rFonts w:ascii="Times New Roman" w:hAnsi="Times New Roman" w:cs="Times New Roman"/>
                <w:b/>
                <w:sz w:val="20"/>
                <w:szCs w:val="20"/>
              </w:rPr>
              <w:t>.</w:t>
            </w:r>
          </w:p>
          <w:p w14:paraId="3CC4C923" w14:textId="7A5637AF" w:rsidR="00454646" w:rsidRPr="0035187E" w:rsidRDefault="00454646" w:rsidP="0035187E">
            <w:pPr>
              <w:jc w:val="both"/>
              <w:rPr>
                <w:rFonts w:ascii="Times New Roman" w:hAnsi="Times New Roman" w:cs="Times New Roman"/>
                <w:sz w:val="20"/>
                <w:szCs w:val="20"/>
              </w:rPr>
            </w:pPr>
            <w:r w:rsidRPr="0035187E">
              <w:rPr>
                <w:rFonts w:ascii="Times New Roman" w:hAnsi="Times New Roman" w:cs="Times New Roman"/>
                <w:sz w:val="20"/>
                <w:szCs w:val="20"/>
              </w:rPr>
              <w:t>Návrhu na úplné vynětí nebylo vyhověno, nicméně nic nebrání hromadnému využití institutu pověření podle § 11 (v tomto duchu došlo k doplnění důvodové zprávy), který je zmiňován jako alternativní řešení.</w:t>
            </w:r>
          </w:p>
          <w:p w14:paraId="6CCDAA88" w14:textId="7D0D5E4D" w:rsidR="000B4BD4" w:rsidRPr="0035187E" w:rsidRDefault="000B4BD4" w:rsidP="0035187E">
            <w:pPr>
              <w:jc w:val="both"/>
              <w:rPr>
                <w:rFonts w:ascii="Times New Roman" w:hAnsi="Times New Roman" w:cs="Times New Roman"/>
                <w:sz w:val="20"/>
                <w:szCs w:val="20"/>
              </w:rPr>
            </w:pPr>
          </w:p>
        </w:tc>
      </w:tr>
      <w:tr w:rsidR="0035187E" w:rsidRPr="0035187E" w14:paraId="2C5F3103"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85BF546" w14:textId="759C1BE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40.</w:t>
            </w:r>
          </w:p>
        </w:tc>
        <w:tc>
          <w:tcPr>
            <w:tcW w:w="583" w:type="pct"/>
            <w:tcBorders>
              <w:top w:val="single" w:sz="4" w:space="0" w:color="auto"/>
              <w:left w:val="single" w:sz="4" w:space="0" w:color="auto"/>
              <w:right w:val="single" w:sz="4" w:space="0" w:color="auto"/>
            </w:tcBorders>
            <w:shd w:val="clear" w:color="auto" w:fill="auto"/>
          </w:tcPr>
          <w:p w14:paraId="4ADD4024" w14:textId="00E8309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24F28A62" w14:textId="720AFBB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25.</w:t>
            </w:r>
          </w:p>
        </w:tc>
        <w:tc>
          <w:tcPr>
            <w:tcW w:w="169" w:type="pct"/>
            <w:tcBorders>
              <w:top w:val="single" w:sz="4" w:space="0" w:color="auto"/>
              <w:left w:val="single" w:sz="4" w:space="0" w:color="auto"/>
              <w:right w:val="single" w:sz="4" w:space="0" w:color="auto"/>
            </w:tcBorders>
            <w:shd w:val="clear" w:color="auto" w:fill="auto"/>
          </w:tcPr>
          <w:p w14:paraId="07B39B43" w14:textId="2A68D17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70CC094" w14:textId="77777777" w:rsidR="000B4BD4" w:rsidRPr="0035187E" w:rsidRDefault="000B4BD4" w:rsidP="0035187E">
            <w:pPr>
              <w:numPr>
                <w:ilvl w:val="0"/>
                <w:numId w:val="70"/>
              </w:numPr>
              <w:tabs>
                <w:tab w:val="left" w:pos="567"/>
              </w:tabs>
              <w:ind w:left="0" w:firstLine="0"/>
              <w:jc w:val="both"/>
              <w:rPr>
                <w:rFonts w:ascii="Times New Roman" w:eastAsia="Calibri" w:hAnsi="Times New Roman" w:cs="Times New Roman"/>
                <w:b/>
                <w:sz w:val="20"/>
                <w:szCs w:val="20"/>
              </w:rPr>
            </w:pPr>
            <w:r w:rsidRPr="0035187E">
              <w:rPr>
                <w:rFonts w:ascii="Times New Roman" w:eastAsia="Calibri" w:hAnsi="Times New Roman" w:cs="Times New Roman"/>
                <w:b/>
                <w:sz w:val="20"/>
                <w:szCs w:val="20"/>
              </w:rPr>
              <w:t>Připomínka k § 15</w:t>
            </w:r>
          </w:p>
          <w:p w14:paraId="6F44E220" w14:textId="68A616D5" w:rsidR="000B4BD4" w:rsidRPr="0035187E" w:rsidRDefault="000B4BD4" w:rsidP="0035187E">
            <w:p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Požadujeme v zákoně umožnit alternativní způsob distribuce certifikátů pro evidenci tržeb – zejména přes API, které mohou využívat dodavatelé POS systémů na základě plné moci poplatníka.</w:t>
            </w:r>
          </w:p>
          <w:p w14:paraId="40A3E933" w14:textId="77777777" w:rsidR="000B4BD4" w:rsidRPr="0035187E" w:rsidRDefault="000B4BD4" w:rsidP="0035187E">
            <w:p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Dále požadujeme explicitně upravit možnost hromadné správy certifikátů pro řetězce a franšízy.</w:t>
            </w:r>
          </w:p>
          <w:p w14:paraId="6B3621DE" w14:textId="77777777" w:rsidR="000B4BD4" w:rsidRPr="0035187E" w:rsidRDefault="000B4BD4" w:rsidP="0035187E">
            <w:p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A také požadujeme stanovit pravidla pro životní cyklus certifikátu (doba platnosti, automatická obnova, varování před expirací).</w:t>
            </w:r>
          </w:p>
          <w:p w14:paraId="6C2981E2" w14:textId="77777777" w:rsidR="000B4BD4" w:rsidRPr="0035187E" w:rsidRDefault="000B4BD4" w:rsidP="0035187E">
            <w:pPr>
              <w:jc w:val="both"/>
              <w:rPr>
                <w:rFonts w:ascii="Times New Roman" w:hAnsi="Times New Roman" w:cs="Times New Roman"/>
                <w:sz w:val="20"/>
                <w:szCs w:val="20"/>
                <w:u w:val="single"/>
              </w:rPr>
            </w:pPr>
          </w:p>
          <w:p w14:paraId="16BE2169" w14:textId="554FA994"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w:t>
            </w:r>
          </w:p>
          <w:p w14:paraId="17147205" w14:textId="77777777" w:rsidR="000B4BD4" w:rsidRPr="0035187E" w:rsidRDefault="000B4BD4" w:rsidP="0035187E">
            <w:pPr>
              <w:numPr>
                <w:ilvl w:val="1"/>
                <w:numId w:val="71"/>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Certifikáty pro evidenci tržeb se získávají „</w:t>
            </w:r>
            <w:r w:rsidRPr="0035187E">
              <w:rPr>
                <w:rFonts w:ascii="Times New Roman" w:eastAsia="Calibri" w:hAnsi="Times New Roman" w:cs="Times New Roman"/>
                <w:bCs/>
                <w:i/>
                <w:iCs/>
                <w:sz w:val="20"/>
                <w:szCs w:val="20"/>
              </w:rPr>
              <w:t>prostřednictvím daňové informační schránky</w:t>
            </w:r>
            <w:r w:rsidRPr="0035187E">
              <w:rPr>
                <w:rFonts w:ascii="Times New Roman" w:eastAsia="Calibri" w:hAnsi="Times New Roman" w:cs="Times New Roman"/>
                <w:bCs/>
                <w:sz w:val="20"/>
                <w:szCs w:val="20"/>
              </w:rPr>
              <w:t>“ (§ 15 odst. 1 až 2). U EET 1.0 existoval samostatný portál pro správu certifikátů. Nyní je vše svázáno s DIS — daňovou informační schránkou. Proč je to problém:</w:t>
            </w:r>
          </w:p>
          <w:p w14:paraId="0666D820"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Fakticky to znemožňuje využít pro získání certifikátu institut zastoupení, resp. zmocnění. Mnoho poplatníků přenechává plnění svých daňových a jiných povinností zmocněnci (daňový poradce, advokát, účetní apod.) a svojí daňovou informační schránku neobsluhuje. Získání certifikátu výhradně prostřednictvím DIS tak vyžaduje ze strany každého poplatníka, včetně malých OSVČ, „osobní návštěvu“ daňové informační schránky buď za účelem přímo získání certifikátu, anebo za účelem pověření jiného uživatele přístupem do daňové informační schránky.  Tato skutečnost může být v případě zejména starších OSVČ výraznou administrativní překážkou.</w:t>
            </w:r>
          </w:p>
          <w:p w14:paraId="327E00D8"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DIS má jiný přístupový model než běžná datová schránka — vyžaduje specifickou autentizaci.</w:t>
            </w:r>
          </w:p>
          <w:p w14:paraId="26F3214F"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Pro podnikatele s více provozovnami/pokladnami je masová správa certifikátů přes DIS uživatelsky náročná.</w:t>
            </w:r>
          </w:p>
          <w:p w14:paraId="58518813"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lastRenderedPageBreak/>
              <w:t>Zákon neupravuje, zda dodavatel POS systému může jako zmocněnec poplatníka certifikáty získávat a spravovat (což je v praxi nejčastější model).</w:t>
            </w:r>
          </w:p>
          <w:p w14:paraId="1057FBA9" w14:textId="1A3A0C66" w:rsidR="000B4BD4" w:rsidRPr="0035187E" w:rsidRDefault="000B4BD4" w:rsidP="0035187E">
            <w:pPr>
              <w:numPr>
                <w:ilvl w:val="0"/>
                <w:numId w:val="69"/>
              </w:numPr>
              <w:jc w:val="both"/>
              <w:rPr>
                <w:rFonts w:ascii="Times New Roman" w:hAnsi="Times New Roman" w:cs="Times New Roman"/>
                <w:sz w:val="20"/>
                <w:szCs w:val="20"/>
              </w:rPr>
            </w:pPr>
            <w:r w:rsidRPr="0035187E">
              <w:rPr>
                <w:rFonts w:ascii="Times New Roman" w:eastAsia="Calibri" w:hAnsi="Times New Roman" w:cs="Times New Roman"/>
                <w:bCs/>
                <w:sz w:val="20"/>
                <w:szCs w:val="20"/>
              </w:rPr>
              <w:t>Neřeší se revokace a obnova certifikátů — co když certifikát vyprší v provozní době?</w:t>
            </w:r>
          </w:p>
        </w:tc>
        <w:tc>
          <w:tcPr>
            <w:tcW w:w="1453" w:type="pct"/>
            <w:tcBorders>
              <w:top w:val="single" w:sz="4" w:space="0" w:color="auto"/>
              <w:left w:val="single" w:sz="4" w:space="0" w:color="auto"/>
              <w:right w:val="single" w:sz="4" w:space="0" w:color="auto"/>
            </w:tcBorders>
            <w:shd w:val="clear" w:color="auto" w:fill="auto"/>
          </w:tcPr>
          <w:p w14:paraId="28432F63" w14:textId="3C8869A8" w:rsidR="000B4BD4" w:rsidRPr="0035187E" w:rsidRDefault="0091048A"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Vysvětleno</w:t>
            </w:r>
            <w:r w:rsidR="00454646" w:rsidRPr="0035187E">
              <w:rPr>
                <w:rFonts w:ascii="Times New Roman" w:hAnsi="Times New Roman" w:cs="Times New Roman"/>
                <w:b/>
                <w:sz w:val="20"/>
                <w:szCs w:val="20"/>
              </w:rPr>
              <w:t>.</w:t>
            </w:r>
          </w:p>
          <w:p w14:paraId="3A99AC65" w14:textId="1C136AA1" w:rsidR="00454646" w:rsidRPr="0035187E" w:rsidRDefault="00454646" w:rsidP="0035187E">
            <w:pPr>
              <w:jc w:val="both"/>
              <w:rPr>
                <w:rFonts w:ascii="Times New Roman" w:hAnsi="Times New Roman" w:cs="Times New Roman"/>
                <w:sz w:val="20"/>
                <w:szCs w:val="20"/>
              </w:rPr>
            </w:pPr>
            <w:r w:rsidRPr="0035187E">
              <w:rPr>
                <w:rFonts w:ascii="Times New Roman" w:hAnsi="Times New Roman" w:cs="Times New Roman"/>
                <w:sz w:val="20"/>
                <w:szCs w:val="20"/>
              </w:rPr>
              <w:t>Využití daňové informační schránky představuje do značné míry samoobslužný režim, který nevyžaduje</w:t>
            </w:r>
            <w:r w:rsidR="006471B8" w:rsidRPr="0035187E">
              <w:rPr>
                <w:rFonts w:ascii="Times New Roman" w:hAnsi="Times New Roman" w:cs="Times New Roman"/>
                <w:sz w:val="20"/>
                <w:szCs w:val="20"/>
              </w:rPr>
              <w:t xml:space="preserve"> interakci ve věci zkoumání zmocnění a jeho správně nastaveného rozsahu (a s tím související obtíže a značné zdržení). Pro poplatníky to obnáší nutnost prvotního osobního přihlášení (s možnou asistencí), ale další aktivita se může být díky následné delegaci příslušných oprávnění na fyzické osoby pověřené skrze daňovou informační schránku </w:t>
            </w:r>
            <w:r w:rsidR="00470294" w:rsidRPr="0035187E">
              <w:rPr>
                <w:rFonts w:ascii="Times New Roman" w:hAnsi="Times New Roman" w:cs="Times New Roman"/>
                <w:sz w:val="20"/>
                <w:szCs w:val="20"/>
              </w:rPr>
              <w:t xml:space="preserve">obejít </w:t>
            </w:r>
            <w:r w:rsidR="006471B8" w:rsidRPr="0035187E">
              <w:rPr>
                <w:rFonts w:ascii="Times New Roman" w:hAnsi="Times New Roman" w:cs="Times New Roman"/>
                <w:sz w:val="20"/>
                <w:szCs w:val="20"/>
              </w:rPr>
              <w:t xml:space="preserve">bez jejich </w:t>
            </w:r>
            <w:r w:rsidR="00470294" w:rsidRPr="0035187E">
              <w:rPr>
                <w:rFonts w:ascii="Times New Roman" w:hAnsi="Times New Roman" w:cs="Times New Roman"/>
                <w:sz w:val="20"/>
                <w:szCs w:val="20"/>
              </w:rPr>
              <w:t xml:space="preserve">dalšího </w:t>
            </w:r>
            <w:r w:rsidR="006471B8" w:rsidRPr="0035187E">
              <w:rPr>
                <w:rFonts w:ascii="Times New Roman" w:hAnsi="Times New Roman" w:cs="Times New Roman"/>
                <w:sz w:val="20"/>
                <w:szCs w:val="20"/>
              </w:rPr>
              <w:t>osobního zapojení. Jde o princip obdobný</w:t>
            </w:r>
            <w:r w:rsidR="00470294" w:rsidRPr="0035187E">
              <w:rPr>
                <w:rFonts w:ascii="Times New Roman" w:hAnsi="Times New Roman" w:cs="Times New Roman"/>
                <w:sz w:val="20"/>
                <w:szCs w:val="20"/>
              </w:rPr>
              <w:t xml:space="preserve"> (nikoli </w:t>
            </w:r>
            <w:proofErr w:type="gramStart"/>
            <w:r w:rsidR="00470294" w:rsidRPr="0035187E">
              <w:rPr>
                <w:rFonts w:ascii="Times New Roman" w:hAnsi="Times New Roman" w:cs="Times New Roman"/>
                <w:sz w:val="20"/>
                <w:szCs w:val="20"/>
              </w:rPr>
              <w:t xml:space="preserve">stejný) </w:t>
            </w:r>
            <w:r w:rsidR="006471B8" w:rsidRPr="0035187E">
              <w:rPr>
                <w:rFonts w:ascii="Times New Roman" w:hAnsi="Times New Roman" w:cs="Times New Roman"/>
                <w:sz w:val="20"/>
                <w:szCs w:val="20"/>
              </w:rPr>
              <w:t xml:space="preserve"> jako</w:t>
            </w:r>
            <w:proofErr w:type="gramEnd"/>
            <w:r w:rsidR="006471B8" w:rsidRPr="0035187E">
              <w:rPr>
                <w:rFonts w:ascii="Times New Roman" w:hAnsi="Times New Roman" w:cs="Times New Roman"/>
                <w:sz w:val="20"/>
                <w:szCs w:val="20"/>
              </w:rPr>
              <w:t xml:space="preserve"> při využívání datových schránek.</w:t>
            </w:r>
            <w:r w:rsidR="00E0063A" w:rsidRPr="0035187E">
              <w:rPr>
                <w:rFonts w:ascii="Times New Roman" w:hAnsi="Times New Roman" w:cs="Times New Roman"/>
                <w:sz w:val="20"/>
                <w:szCs w:val="20"/>
              </w:rPr>
              <w:t xml:space="preserve"> Ve výše uvedeném nelze spatřovat natolik zásadní obtíž, která by mohla způsobit obtížně překonatelnou překážku bránící podnikatelům řádné plnění jejich povinností.</w:t>
            </w:r>
          </w:p>
          <w:p w14:paraId="2FEE590A" w14:textId="2DAECC41" w:rsidR="0091048A" w:rsidRPr="0035187E" w:rsidRDefault="0091048A" w:rsidP="0035187E">
            <w:pPr>
              <w:jc w:val="both"/>
              <w:rPr>
                <w:rFonts w:ascii="Times New Roman" w:hAnsi="Times New Roman" w:cs="Times New Roman"/>
                <w:sz w:val="20"/>
                <w:szCs w:val="20"/>
              </w:rPr>
            </w:pPr>
            <w:r w:rsidRPr="0035187E">
              <w:rPr>
                <w:rFonts w:ascii="Times New Roman" w:hAnsi="Times New Roman" w:cs="Times New Roman"/>
                <w:sz w:val="20"/>
                <w:szCs w:val="20"/>
              </w:rPr>
              <w:t>Současně platí, že v souladu s navrženým § 15 odst. 3, že správce daně určí a zveřejní způsobem umožňujícím dálkový přístup podmínky a postup pro získání a správu certifikátu pro evidenci tržeb.</w:t>
            </w:r>
            <w:r w:rsidR="00BE39F6" w:rsidRPr="0035187E">
              <w:rPr>
                <w:rFonts w:ascii="Times New Roman" w:hAnsi="Times New Roman" w:cs="Times New Roman"/>
                <w:sz w:val="20"/>
                <w:szCs w:val="20"/>
              </w:rPr>
              <w:t xml:space="preserve"> Toto ustanovení ukládá správci daně povinnost autoritativně stanovit technické podrobnosti toho, jak bude moci probíhat konkrétní podoba distribuce certifikátů pro evidenci tržeb včetně jejich snadného obnovování.</w:t>
            </w:r>
          </w:p>
          <w:p w14:paraId="1C7FF779" w14:textId="77777777" w:rsidR="00E0063A" w:rsidRPr="0035187E" w:rsidRDefault="00E0063A" w:rsidP="0035187E">
            <w:pPr>
              <w:jc w:val="both"/>
              <w:rPr>
                <w:rFonts w:ascii="Times New Roman" w:hAnsi="Times New Roman" w:cs="Times New Roman"/>
                <w:sz w:val="20"/>
                <w:szCs w:val="20"/>
              </w:rPr>
            </w:pPr>
          </w:p>
          <w:p w14:paraId="1A5E3D37" w14:textId="0832DCC2" w:rsidR="000B4BD4" w:rsidRPr="0035187E" w:rsidRDefault="00BE39F6" w:rsidP="0035187E">
            <w:pPr>
              <w:jc w:val="both"/>
              <w:rPr>
                <w:rFonts w:ascii="Times New Roman" w:hAnsi="Times New Roman" w:cs="Times New Roman"/>
                <w:sz w:val="20"/>
                <w:szCs w:val="20"/>
              </w:rPr>
            </w:pPr>
            <w:r w:rsidRPr="0035187E">
              <w:rPr>
                <w:rFonts w:ascii="Times New Roman" w:hAnsi="Times New Roman" w:cs="Times New Roman"/>
                <w:i/>
                <w:sz w:val="20"/>
                <w:szCs w:val="20"/>
              </w:rPr>
              <w:lastRenderedPageBreak/>
              <w:t>V rámci vypořádání připomínky byl potvrzen zájem na oboustranné spolupráci při edukaci v této oblasti.</w:t>
            </w:r>
          </w:p>
        </w:tc>
      </w:tr>
      <w:tr w:rsidR="0035187E" w:rsidRPr="0035187E" w14:paraId="0FD5C5DC"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AE8053F" w14:textId="669D9E8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40.</w:t>
            </w:r>
          </w:p>
        </w:tc>
        <w:tc>
          <w:tcPr>
            <w:tcW w:w="583" w:type="pct"/>
            <w:tcBorders>
              <w:top w:val="single" w:sz="4" w:space="0" w:color="auto"/>
              <w:left w:val="single" w:sz="4" w:space="0" w:color="auto"/>
              <w:right w:val="single" w:sz="4" w:space="0" w:color="auto"/>
            </w:tcBorders>
            <w:shd w:val="clear" w:color="auto" w:fill="auto"/>
          </w:tcPr>
          <w:p w14:paraId="121E34D4" w14:textId="47D749F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2BDD74EB" w14:textId="51AE8E2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26.</w:t>
            </w:r>
          </w:p>
        </w:tc>
        <w:tc>
          <w:tcPr>
            <w:tcW w:w="169" w:type="pct"/>
            <w:tcBorders>
              <w:top w:val="single" w:sz="4" w:space="0" w:color="auto"/>
              <w:left w:val="single" w:sz="4" w:space="0" w:color="auto"/>
              <w:right w:val="single" w:sz="4" w:space="0" w:color="auto"/>
            </w:tcBorders>
            <w:shd w:val="clear" w:color="auto" w:fill="auto"/>
          </w:tcPr>
          <w:p w14:paraId="69DB3548" w14:textId="3090014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6288A2E" w14:textId="77777777" w:rsidR="000B4BD4" w:rsidRPr="0035187E" w:rsidRDefault="000B4BD4" w:rsidP="0035187E">
            <w:pPr>
              <w:numPr>
                <w:ilvl w:val="0"/>
                <w:numId w:val="70"/>
              </w:numPr>
              <w:tabs>
                <w:tab w:val="left" w:pos="567"/>
              </w:tabs>
              <w:ind w:left="0" w:firstLine="4"/>
              <w:jc w:val="both"/>
              <w:rPr>
                <w:rFonts w:ascii="Times New Roman" w:eastAsia="Calibri" w:hAnsi="Times New Roman" w:cs="Times New Roman"/>
                <w:b/>
                <w:sz w:val="20"/>
                <w:szCs w:val="20"/>
              </w:rPr>
            </w:pPr>
            <w:r w:rsidRPr="0035187E">
              <w:rPr>
                <w:rFonts w:ascii="Times New Roman" w:eastAsia="Calibri" w:hAnsi="Times New Roman" w:cs="Times New Roman"/>
                <w:b/>
                <w:sz w:val="20"/>
                <w:szCs w:val="20"/>
              </w:rPr>
              <w:t>Připomínka k § 17</w:t>
            </w:r>
          </w:p>
          <w:p w14:paraId="7C49CF63" w14:textId="0747B027" w:rsidR="000B4BD4" w:rsidRPr="0035187E" w:rsidRDefault="000B4BD4" w:rsidP="0035187E">
            <w:p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Požadujeme do návrhu zákona doplnit, případně do důvodové zprávy, výslovné ustanovení potvrzující, že doklad vydávaný na žádost zákazníka dle § 16 zákona o ochraně spotřebitele a § 31 živnostenského zákona může být vydán v digitální/elektronické podobě, například formou:</w:t>
            </w:r>
          </w:p>
          <w:p w14:paraId="36A61083"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záznamu v mobilní aplikaci nebo na webovém profilu zákazníka,</w:t>
            </w:r>
          </w:p>
          <w:p w14:paraId="1BD43BB2"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zaslání na e-mailovou adresu zákazníka,</w:t>
            </w:r>
          </w:p>
          <w:p w14:paraId="3802E7CB"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zobrazení QR kódu pro stažení dokladu ihned po vytvoření objednávky,</w:t>
            </w:r>
          </w:p>
          <w:p w14:paraId="62831F33"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 xml:space="preserve">alternativně zpřístupnění v zákaznické účtu (i anonymním) na webu pořadatele nebo dodavatele služby </w:t>
            </w:r>
            <w:proofErr w:type="spellStart"/>
            <w:r w:rsidRPr="0035187E">
              <w:rPr>
                <w:rFonts w:ascii="Times New Roman" w:eastAsia="Calibri" w:hAnsi="Times New Roman" w:cs="Times New Roman"/>
                <w:bCs/>
                <w:i/>
                <w:iCs/>
                <w:sz w:val="20"/>
                <w:szCs w:val="20"/>
              </w:rPr>
              <w:t>cashless</w:t>
            </w:r>
            <w:proofErr w:type="spellEnd"/>
            <w:r w:rsidRPr="0035187E">
              <w:rPr>
                <w:rFonts w:ascii="Times New Roman" w:eastAsia="Calibri" w:hAnsi="Times New Roman" w:cs="Times New Roman"/>
                <w:bCs/>
                <w:sz w:val="20"/>
                <w:szCs w:val="20"/>
              </w:rPr>
              <w:t xml:space="preserve"> platebního systému.</w:t>
            </w:r>
          </w:p>
          <w:p w14:paraId="0111D302" w14:textId="77777777" w:rsidR="000B4BD4" w:rsidRPr="0035187E" w:rsidRDefault="000B4BD4" w:rsidP="0035187E">
            <w:pPr>
              <w:jc w:val="both"/>
              <w:rPr>
                <w:rFonts w:ascii="Times New Roman" w:hAnsi="Times New Roman" w:cs="Times New Roman"/>
                <w:sz w:val="20"/>
                <w:szCs w:val="20"/>
                <w:u w:val="single"/>
              </w:rPr>
            </w:pPr>
          </w:p>
          <w:p w14:paraId="5B50DA2B" w14:textId="25E298EF"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w:t>
            </w:r>
          </w:p>
          <w:p w14:paraId="47CE7A03" w14:textId="77777777" w:rsidR="000B4BD4" w:rsidRPr="0035187E" w:rsidRDefault="000B4BD4" w:rsidP="0035187E">
            <w:pPr>
              <w:tabs>
                <w:tab w:val="left" w:pos="567"/>
              </w:tabs>
              <w:jc w:val="both"/>
              <w:rPr>
                <w:rFonts w:ascii="Times New Roman" w:hAnsi="Times New Roman" w:cs="Times New Roman"/>
                <w:bCs/>
                <w:sz w:val="20"/>
                <w:szCs w:val="20"/>
              </w:rPr>
            </w:pPr>
            <w:r w:rsidRPr="0035187E">
              <w:rPr>
                <w:rFonts w:ascii="Times New Roman" w:hAnsi="Times New Roman" w:cs="Times New Roman"/>
                <w:bCs/>
                <w:sz w:val="20"/>
                <w:szCs w:val="20"/>
              </w:rPr>
              <w:t xml:space="preserve">Návrh zákona přináší zásadní pozitivní změnu oproti původnímu EET 1.0 – ruší povinnost automaticky vystavit a předat účtenku zákazníkovi při každé transakci. Dle </w:t>
            </w:r>
            <w:bookmarkStart w:id="6" w:name="_Hlk224135663"/>
            <w:r w:rsidRPr="0035187E">
              <w:rPr>
                <w:rFonts w:ascii="Times New Roman" w:hAnsi="Times New Roman" w:cs="Times New Roman"/>
                <w:bCs/>
                <w:sz w:val="20"/>
                <w:szCs w:val="20"/>
              </w:rPr>
              <w:t xml:space="preserve">§ 17 </w:t>
            </w:r>
            <w:bookmarkEnd w:id="6"/>
            <w:r w:rsidRPr="0035187E">
              <w:rPr>
                <w:rFonts w:ascii="Times New Roman" w:hAnsi="Times New Roman" w:cs="Times New Roman"/>
                <w:bCs/>
                <w:sz w:val="20"/>
                <w:szCs w:val="20"/>
              </w:rPr>
              <w:t>odst. 1 návrhu je poplatník povinen evidovat tržbu zasláním údajů správci daně, avšak povinnost vystavit účtenku není stanovena.</w:t>
            </w:r>
          </w:p>
          <w:p w14:paraId="572BAF7D" w14:textId="77777777" w:rsidR="000B4BD4" w:rsidRPr="0035187E" w:rsidRDefault="000B4BD4" w:rsidP="0035187E">
            <w:pPr>
              <w:tabs>
                <w:tab w:val="left" w:pos="567"/>
              </w:tabs>
              <w:jc w:val="both"/>
              <w:rPr>
                <w:rFonts w:ascii="Times New Roman" w:hAnsi="Times New Roman" w:cs="Times New Roman"/>
                <w:bCs/>
                <w:sz w:val="20"/>
                <w:szCs w:val="20"/>
              </w:rPr>
            </w:pPr>
            <w:r w:rsidRPr="0035187E">
              <w:rPr>
                <w:rFonts w:ascii="Times New Roman" w:hAnsi="Times New Roman" w:cs="Times New Roman"/>
                <w:bCs/>
                <w:sz w:val="20"/>
                <w:szCs w:val="20"/>
              </w:rPr>
              <w:t xml:space="preserve">V důvodové zprávě, bodu 64 je uvedeno následující: </w:t>
            </w:r>
            <w:r w:rsidRPr="0035187E">
              <w:rPr>
                <w:rFonts w:ascii="Times New Roman" w:hAnsi="Times New Roman" w:cs="Times New Roman"/>
                <w:bCs/>
                <w:i/>
                <w:iCs/>
                <w:sz w:val="20"/>
                <w:szCs w:val="20"/>
              </w:rPr>
              <w:t>„Oproti původnímu řešení se nestanoví povinnost vystavit a předat účtenku zákazníkovi. (...) Zásadní změnu ve prospěch snížení administrativní a materiální náročnosti evidence tržeb lze spatřovat v opuštění povinnosti vystavit účtenku.“.</w:t>
            </w:r>
          </w:p>
          <w:p w14:paraId="41F8258D" w14:textId="77777777" w:rsidR="000B4BD4" w:rsidRPr="0035187E" w:rsidRDefault="000B4BD4" w:rsidP="0035187E">
            <w:pPr>
              <w:tabs>
                <w:tab w:val="left" w:pos="567"/>
              </w:tabs>
              <w:jc w:val="both"/>
              <w:rPr>
                <w:rFonts w:ascii="Times New Roman" w:hAnsi="Times New Roman" w:cs="Times New Roman"/>
                <w:bCs/>
                <w:sz w:val="20"/>
                <w:szCs w:val="20"/>
              </w:rPr>
            </w:pPr>
            <w:r w:rsidRPr="0035187E">
              <w:rPr>
                <w:rFonts w:ascii="Times New Roman" w:hAnsi="Times New Roman" w:cs="Times New Roman"/>
                <w:bCs/>
                <w:sz w:val="20"/>
                <w:szCs w:val="20"/>
              </w:rPr>
              <w:t>Vydání dokladu se tak vrací k obecným předpisům, zejména § 16 zákona č. 634/1992 Sb., o ochraně spotřebitele, a § 31 zákona č. 455/1991 Sb., živnostenského zákona, které stanovují povinnost vydat doklad na žádost zákazníka. Ani jeden z těchto předpisů však výslovně neupravuje formu dokladu, tedy zda může být vydán digitálně/elektronicky.</w:t>
            </w:r>
          </w:p>
          <w:p w14:paraId="67C57593" w14:textId="77777777" w:rsidR="000B4BD4" w:rsidRPr="0035187E" w:rsidRDefault="000B4BD4" w:rsidP="0035187E">
            <w:pPr>
              <w:tabs>
                <w:tab w:val="left" w:pos="567"/>
              </w:tabs>
              <w:jc w:val="both"/>
              <w:rPr>
                <w:rFonts w:ascii="Times New Roman" w:hAnsi="Times New Roman" w:cs="Times New Roman"/>
                <w:bCs/>
                <w:sz w:val="20"/>
                <w:szCs w:val="20"/>
              </w:rPr>
            </w:pPr>
            <w:r w:rsidRPr="0035187E">
              <w:rPr>
                <w:rFonts w:ascii="Times New Roman" w:hAnsi="Times New Roman" w:cs="Times New Roman"/>
                <w:bCs/>
                <w:sz w:val="20"/>
                <w:szCs w:val="20"/>
              </w:rPr>
              <w:t>Absence výslovného ustanovení o přípustnosti digitální/elektronické formy dokladu vytváří právní nejistotu pro podnikatele, kteří provozují moderní platební systémy bez tiskáren. Navíc např. v prostředí festivalů a akcí je tisk papírových dokladů nejen neekologický (Festivalová asociace FESTAS dokumentuje 150 kg zbytečného a nerecyklovatelného papírového odpadu na průměrném festivalu s 150 000 transakcemi, kdy výjimkou nejsou ani násobky tohoto objemu), ale i technicky problematický, navíc digitální podoba má pro uživatele mnoho výhod, kdy kontrola objednávek další den nebo i v pozdějších dnech je velmi užitečná.</w:t>
            </w:r>
          </w:p>
          <w:p w14:paraId="1D3C8310"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Požadavek na změnu, resp. doplnění se tak opírá o tyto argumenty:</w:t>
            </w:r>
          </w:p>
          <w:p w14:paraId="357CBD8D"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 xml:space="preserve">Soulad s digitalizací státní správy: Zákon č. 12/2020 Sb., o právu na digitální služby, předpokládá primárně digitální komunikaci. Vydávání dokladů by mělo tento trend reflektovat. </w:t>
            </w:r>
          </w:p>
          <w:p w14:paraId="0D80A1AB"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 xml:space="preserve">Ekologický přínos: Eliminace zbytečného papírového odpadu, zejména v prostředí festivalů. </w:t>
            </w:r>
          </w:p>
          <w:p w14:paraId="1AC6CFA0"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lastRenderedPageBreak/>
              <w:t xml:space="preserve">Praxe bezhotovostních systémů: </w:t>
            </w:r>
            <w:proofErr w:type="spellStart"/>
            <w:r w:rsidRPr="0035187E">
              <w:rPr>
                <w:rFonts w:ascii="Times New Roman" w:eastAsia="Calibri" w:hAnsi="Times New Roman" w:cs="Times New Roman"/>
                <w:bCs/>
                <w:sz w:val="20"/>
                <w:szCs w:val="20"/>
              </w:rPr>
              <w:t>NFCtron</w:t>
            </w:r>
            <w:proofErr w:type="spellEnd"/>
            <w:r w:rsidRPr="0035187E">
              <w:rPr>
                <w:rFonts w:ascii="Times New Roman" w:eastAsia="Calibri" w:hAnsi="Times New Roman" w:cs="Times New Roman"/>
                <w:bCs/>
                <w:sz w:val="20"/>
                <w:szCs w:val="20"/>
              </w:rPr>
              <w:t xml:space="preserve"> a obdobné platformy již dnes poskytují kompletní digitální záznamy o transakcích. Zákazník má trvalý přístup k historii nákupů prostřednictvím aplikace.</w:t>
            </w:r>
          </w:p>
          <w:p w14:paraId="19980A2A" w14:textId="3ADFFB6D" w:rsidR="000B4BD4" w:rsidRPr="0035187E" w:rsidRDefault="000B4BD4" w:rsidP="0035187E">
            <w:pPr>
              <w:numPr>
                <w:ilvl w:val="0"/>
                <w:numId w:val="69"/>
              </w:numPr>
              <w:jc w:val="both"/>
              <w:rPr>
                <w:rFonts w:ascii="Times New Roman" w:hAnsi="Times New Roman" w:cs="Times New Roman"/>
                <w:sz w:val="20"/>
                <w:szCs w:val="20"/>
              </w:rPr>
            </w:pPr>
            <w:r w:rsidRPr="0035187E">
              <w:rPr>
                <w:rFonts w:ascii="Times New Roman" w:eastAsia="Calibri" w:hAnsi="Times New Roman" w:cs="Times New Roman"/>
                <w:bCs/>
                <w:sz w:val="20"/>
                <w:szCs w:val="20"/>
              </w:rPr>
              <w:t xml:space="preserve">Důvodová zpráva, bod 48: </w:t>
            </w:r>
            <w:r w:rsidRPr="0035187E">
              <w:rPr>
                <w:rFonts w:ascii="Times New Roman" w:eastAsia="Calibri" w:hAnsi="Times New Roman" w:cs="Times New Roman"/>
                <w:bCs/>
                <w:i/>
                <w:iCs/>
                <w:sz w:val="20"/>
                <w:szCs w:val="20"/>
              </w:rPr>
              <w:t>„Řešení bude postaveno na nejmodernějších systémech a nebude vyžadovat povinný tisk účtenky.“.</w:t>
            </w:r>
            <w:r w:rsidRPr="0035187E">
              <w:rPr>
                <w:rFonts w:ascii="Times New Roman" w:eastAsia="Calibri" w:hAnsi="Times New Roman" w:cs="Times New Roman"/>
                <w:bCs/>
                <w:sz w:val="20"/>
                <w:szCs w:val="20"/>
              </w:rPr>
              <w:t xml:space="preserve"> Digitální doklady jsou logickým vyústěním tohoto záměru. </w:t>
            </w:r>
          </w:p>
        </w:tc>
        <w:tc>
          <w:tcPr>
            <w:tcW w:w="1453" w:type="pct"/>
            <w:tcBorders>
              <w:top w:val="single" w:sz="4" w:space="0" w:color="auto"/>
              <w:left w:val="single" w:sz="4" w:space="0" w:color="auto"/>
              <w:right w:val="single" w:sz="4" w:space="0" w:color="auto"/>
            </w:tcBorders>
            <w:shd w:val="clear" w:color="auto" w:fill="auto"/>
          </w:tcPr>
          <w:p w14:paraId="0E330E93" w14:textId="34185054" w:rsidR="000B4BD4" w:rsidRPr="0035187E" w:rsidRDefault="003A066E"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Vysvětleno</w:t>
            </w:r>
            <w:r w:rsidR="009F45F0" w:rsidRPr="0035187E">
              <w:rPr>
                <w:rFonts w:ascii="Times New Roman" w:hAnsi="Times New Roman" w:cs="Times New Roman"/>
                <w:b/>
                <w:sz w:val="20"/>
                <w:szCs w:val="20"/>
              </w:rPr>
              <w:t>.</w:t>
            </w:r>
          </w:p>
          <w:p w14:paraId="7B776AEC" w14:textId="0E4119B0" w:rsidR="009F45F0" w:rsidRPr="0035187E" w:rsidRDefault="009F45F0" w:rsidP="0035187E">
            <w:pPr>
              <w:jc w:val="both"/>
              <w:rPr>
                <w:rFonts w:ascii="Times New Roman" w:hAnsi="Times New Roman" w:cs="Times New Roman"/>
                <w:sz w:val="20"/>
                <w:szCs w:val="20"/>
              </w:rPr>
            </w:pPr>
            <w:r w:rsidRPr="0035187E">
              <w:rPr>
                <w:rFonts w:ascii="Times New Roman" w:hAnsi="Times New Roman" w:cs="Times New Roman"/>
                <w:sz w:val="20"/>
                <w:szCs w:val="20"/>
              </w:rPr>
              <w:t>Požadavek se netýká navrhované úpravy a nemůže být touto úpravou řešen. Podnět je proto třeba směřovat do právních předpisů, které vystavení příslušného dokladu normují. Ministerstvo financí není gestorem těchto právních předpisů a nemůže se tedy relevantně vyjádřit k tomu, jak je v aplikační praxi právní úprava v této oblasti vykládána.</w:t>
            </w:r>
          </w:p>
          <w:p w14:paraId="78CA9C29" w14:textId="2C34AA56" w:rsidR="009F45F0" w:rsidRPr="0035187E" w:rsidRDefault="009F45F0" w:rsidP="0035187E">
            <w:pPr>
              <w:jc w:val="both"/>
              <w:rPr>
                <w:rFonts w:ascii="Times New Roman" w:hAnsi="Times New Roman" w:cs="Times New Roman"/>
                <w:sz w:val="20"/>
                <w:szCs w:val="20"/>
              </w:rPr>
            </w:pPr>
          </w:p>
        </w:tc>
      </w:tr>
      <w:tr w:rsidR="0035187E" w:rsidRPr="0035187E" w14:paraId="4EA0674C"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714513B" w14:textId="293D01B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40.</w:t>
            </w:r>
          </w:p>
        </w:tc>
        <w:tc>
          <w:tcPr>
            <w:tcW w:w="583" w:type="pct"/>
            <w:tcBorders>
              <w:top w:val="single" w:sz="4" w:space="0" w:color="auto"/>
              <w:left w:val="single" w:sz="4" w:space="0" w:color="auto"/>
              <w:right w:val="single" w:sz="4" w:space="0" w:color="auto"/>
            </w:tcBorders>
            <w:shd w:val="clear" w:color="auto" w:fill="auto"/>
          </w:tcPr>
          <w:p w14:paraId="017D02C7" w14:textId="247693E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33E04491" w14:textId="497E743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27.</w:t>
            </w:r>
          </w:p>
        </w:tc>
        <w:tc>
          <w:tcPr>
            <w:tcW w:w="169" w:type="pct"/>
            <w:tcBorders>
              <w:top w:val="single" w:sz="4" w:space="0" w:color="auto"/>
              <w:left w:val="single" w:sz="4" w:space="0" w:color="auto"/>
              <w:right w:val="single" w:sz="4" w:space="0" w:color="auto"/>
            </w:tcBorders>
            <w:shd w:val="clear" w:color="auto" w:fill="auto"/>
          </w:tcPr>
          <w:p w14:paraId="3DB331F7" w14:textId="133DBA0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0EB9518" w14:textId="77777777" w:rsidR="000B4BD4" w:rsidRPr="0035187E" w:rsidRDefault="000B4BD4" w:rsidP="0035187E">
            <w:pPr>
              <w:numPr>
                <w:ilvl w:val="0"/>
                <w:numId w:val="70"/>
              </w:numPr>
              <w:tabs>
                <w:tab w:val="left" w:pos="567"/>
              </w:tabs>
              <w:ind w:left="0" w:firstLine="4"/>
              <w:jc w:val="both"/>
              <w:rPr>
                <w:rFonts w:ascii="Times New Roman" w:eastAsia="Calibri" w:hAnsi="Times New Roman" w:cs="Times New Roman"/>
                <w:b/>
                <w:sz w:val="20"/>
                <w:szCs w:val="20"/>
              </w:rPr>
            </w:pPr>
            <w:r w:rsidRPr="0035187E">
              <w:rPr>
                <w:rFonts w:ascii="Times New Roman" w:eastAsia="Calibri" w:hAnsi="Times New Roman" w:cs="Times New Roman"/>
                <w:b/>
                <w:sz w:val="20"/>
                <w:szCs w:val="20"/>
              </w:rPr>
              <w:t>Připomínka k § 17 odst. 4 a § 18 odst. 3</w:t>
            </w:r>
          </w:p>
          <w:p w14:paraId="28C38EEA" w14:textId="77777777" w:rsidR="000B4BD4" w:rsidRPr="0035187E" w:rsidRDefault="000B4BD4" w:rsidP="0035187E">
            <w:pPr>
              <w:tabs>
                <w:tab w:val="left" w:pos="567"/>
              </w:tabs>
              <w:jc w:val="both"/>
              <w:rPr>
                <w:rFonts w:ascii="Times New Roman" w:hAnsi="Times New Roman" w:cs="Times New Roman"/>
                <w:bCs/>
                <w:sz w:val="20"/>
                <w:szCs w:val="20"/>
              </w:rPr>
            </w:pPr>
            <w:r w:rsidRPr="0035187E">
              <w:rPr>
                <w:rFonts w:ascii="Times New Roman" w:hAnsi="Times New Roman" w:cs="Times New Roman"/>
                <w:bCs/>
                <w:sz w:val="20"/>
                <w:szCs w:val="20"/>
              </w:rPr>
              <w:t>a) Požadujeme zakotvit do zákona zmocnění pro Ministerstvo financí k vydání prováděcí vyhlášky upravující technické náležitosti komunikace (formát zprávy, komunikační protokol, formát certifikátu, strukturu odpovědi).</w:t>
            </w:r>
          </w:p>
          <w:p w14:paraId="714E6EA3" w14:textId="77777777" w:rsidR="000B4BD4" w:rsidRPr="0035187E" w:rsidRDefault="000B4BD4" w:rsidP="0035187E">
            <w:pPr>
              <w:tabs>
                <w:tab w:val="left" w:pos="567"/>
              </w:tabs>
              <w:jc w:val="both"/>
              <w:rPr>
                <w:rFonts w:ascii="Times New Roman" w:hAnsi="Times New Roman" w:cs="Times New Roman"/>
                <w:bCs/>
                <w:sz w:val="20"/>
                <w:szCs w:val="20"/>
              </w:rPr>
            </w:pPr>
            <w:r w:rsidRPr="0035187E">
              <w:rPr>
                <w:rFonts w:ascii="Times New Roman" w:hAnsi="Times New Roman" w:cs="Times New Roman"/>
                <w:bCs/>
                <w:sz w:val="20"/>
                <w:szCs w:val="20"/>
              </w:rPr>
              <w:t>b) Požadujeme stanovit zákonnou minimální lhůtu (např. 12 měsíců) mezi zveřejněním změny technické specifikace a její účinností.</w:t>
            </w:r>
          </w:p>
          <w:p w14:paraId="68F755EE" w14:textId="77777777" w:rsidR="000B4BD4" w:rsidRPr="0035187E" w:rsidRDefault="000B4BD4" w:rsidP="0035187E">
            <w:pPr>
              <w:tabs>
                <w:tab w:val="left" w:pos="567"/>
              </w:tabs>
              <w:jc w:val="both"/>
              <w:rPr>
                <w:rFonts w:ascii="Times New Roman" w:hAnsi="Times New Roman" w:cs="Times New Roman"/>
                <w:bCs/>
                <w:sz w:val="20"/>
                <w:szCs w:val="20"/>
              </w:rPr>
            </w:pPr>
            <w:r w:rsidRPr="0035187E">
              <w:rPr>
                <w:rFonts w:ascii="Times New Roman" w:hAnsi="Times New Roman" w:cs="Times New Roman"/>
                <w:bCs/>
                <w:sz w:val="20"/>
                <w:szCs w:val="20"/>
              </w:rPr>
              <w:t xml:space="preserve">c) Požadujeme ustanovení § 18 odst. 3 omezit tak, aby </w:t>
            </w:r>
            <w:r w:rsidRPr="0035187E">
              <w:rPr>
                <w:rFonts w:ascii="Times New Roman" w:hAnsi="Times New Roman" w:cs="Times New Roman"/>
                <w:bCs/>
                <w:i/>
                <w:iCs/>
                <w:sz w:val="20"/>
                <w:szCs w:val="20"/>
              </w:rPr>
              <w:t>„další údaje“</w:t>
            </w:r>
            <w:r w:rsidRPr="0035187E">
              <w:rPr>
                <w:rFonts w:ascii="Times New Roman" w:hAnsi="Times New Roman" w:cs="Times New Roman"/>
                <w:bCs/>
                <w:sz w:val="20"/>
                <w:szCs w:val="20"/>
              </w:rPr>
              <w:t xml:space="preserve"> mohly být zavedeny pouze prováděcí vyhláškou, nikoliv jednostranným rozhodnutím správce daně.</w:t>
            </w:r>
          </w:p>
          <w:p w14:paraId="607C6696" w14:textId="77777777" w:rsidR="000B4BD4" w:rsidRPr="0035187E" w:rsidRDefault="000B4BD4" w:rsidP="0035187E">
            <w:pPr>
              <w:jc w:val="both"/>
              <w:rPr>
                <w:rFonts w:ascii="Times New Roman" w:hAnsi="Times New Roman" w:cs="Times New Roman"/>
                <w:sz w:val="20"/>
                <w:szCs w:val="20"/>
                <w:u w:val="single"/>
              </w:rPr>
            </w:pPr>
          </w:p>
          <w:p w14:paraId="73A868E5" w14:textId="6AB5EE1B"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w:t>
            </w:r>
          </w:p>
          <w:p w14:paraId="1ECD0670" w14:textId="77777777" w:rsidR="000B4BD4" w:rsidRPr="0035187E" w:rsidRDefault="000B4BD4" w:rsidP="0035187E">
            <w:pPr>
              <w:tabs>
                <w:tab w:val="left" w:pos="567"/>
              </w:tabs>
              <w:jc w:val="both"/>
              <w:rPr>
                <w:rFonts w:ascii="Times New Roman" w:hAnsi="Times New Roman" w:cs="Times New Roman"/>
                <w:bCs/>
                <w:sz w:val="20"/>
                <w:szCs w:val="20"/>
              </w:rPr>
            </w:pPr>
            <w:r w:rsidRPr="0035187E">
              <w:rPr>
                <w:rFonts w:ascii="Times New Roman" w:hAnsi="Times New Roman" w:cs="Times New Roman"/>
                <w:bCs/>
                <w:sz w:val="20"/>
                <w:szCs w:val="20"/>
              </w:rPr>
              <w:t xml:space="preserve">Návrh zákona stanoví, že datová zprava se zasílá </w:t>
            </w:r>
            <w:r w:rsidRPr="0035187E">
              <w:rPr>
                <w:rFonts w:ascii="Times New Roman" w:hAnsi="Times New Roman" w:cs="Times New Roman"/>
                <w:bCs/>
                <w:i/>
                <w:iCs/>
                <w:sz w:val="20"/>
                <w:szCs w:val="20"/>
              </w:rPr>
              <w:t>„ve formátu XML a datové struktuře určené a zveřejněné správcem daně způsobem umožňujícím dálkový přistup“</w:t>
            </w:r>
            <w:r w:rsidRPr="0035187E">
              <w:rPr>
                <w:rFonts w:ascii="Times New Roman" w:hAnsi="Times New Roman" w:cs="Times New Roman"/>
                <w:bCs/>
                <w:sz w:val="20"/>
                <w:szCs w:val="20"/>
              </w:rPr>
              <w:t xml:space="preserve"> (§ 17 odst. 4). Veškera technická specifikace — XML schéma, komunikační protokol, </w:t>
            </w:r>
            <w:proofErr w:type="spellStart"/>
            <w:r w:rsidRPr="0035187E">
              <w:rPr>
                <w:rFonts w:ascii="Times New Roman" w:hAnsi="Times New Roman" w:cs="Times New Roman"/>
                <w:bCs/>
                <w:sz w:val="20"/>
                <w:szCs w:val="20"/>
              </w:rPr>
              <w:t>endpoint</w:t>
            </w:r>
            <w:proofErr w:type="spellEnd"/>
            <w:r w:rsidRPr="0035187E">
              <w:rPr>
                <w:rFonts w:ascii="Times New Roman" w:hAnsi="Times New Roman" w:cs="Times New Roman"/>
                <w:bCs/>
                <w:sz w:val="20"/>
                <w:szCs w:val="20"/>
              </w:rPr>
              <w:t xml:space="preserve">, formát certifikátu, způsob autentizace, struktura odpovědi serveru — je delegovaná na správce daně (Finanční správa ČR) bez jakýchkoli zákonných mantinelů. Navíc § 18 odst. 3 zmocňuje správce daně určit </w:t>
            </w:r>
            <w:r w:rsidRPr="0035187E">
              <w:rPr>
                <w:rFonts w:ascii="Times New Roman" w:hAnsi="Times New Roman" w:cs="Times New Roman"/>
                <w:bCs/>
                <w:i/>
                <w:iCs/>
                <w:sz w:val="20"/>
                <w:szCs w:val="20"/>
              </w:rPr>
              <w:t>„další údaje, které může poplatník v datové zprávě zasílat“</w:t>
            </w:r>
            <w:r w:rsidRPr="0035187E">
              <w:rPr>
                <w:rFonts w:ascii="Times New Roman" w:hAnsi="Times New Roman" w:cs="Times New Roman"/>
                <w:bCs/>
                <w:sz w:val="20"/>
                <w:szCs w:val="20"/>
              </w:rPr>
              <w:t>, čímž se rozsah datové zprávy může kdykoliv rozšířit bez legislativního procesu.</w:t>
            </w:r>
          </w:p>
          <w:p w14:paraId="60672794" w14:textId="77777777" w:rsidR="000B4BD4" w:rsidRPr="0035187E" w:rsidRDefault="000B4BD4" w:rsidP="0035187E">
            <w:pPr>
              <w:tabs>
                <w:tab w:val="left" w:pos="567"/>
              </w:tabs>
              <w:jc w:val="both"/>
              <w:rPr>
                <w:rFonts w:ascii="Times New Roman" w:hAnsi="Times New Roman" w:cs="Times New Roman"/>
                <w:bCs/>
                <w:sz w:val="20"/>
                <w:szCs w:val="20"/>
              </w:rPr>
            </w:pPr>
          </w:p>
          <w:p w14:paraId="7066330D" w14:textId="77777777" w:rsidR="000B4BD4" w:rsidRPr="0035187E" w:rsidRDefault="000B4BD4" w:rsidP="0035187E">
            <w:pPr>
              <w:tabs>
                <w:tab w:val="left" w:pos="567"/>
              </w:tabs>
              <w:jc w:val="both"/>
              <w:rPr>
                <w:rFonts w:ascii="Times New Roman" w:hAnsi="Times New Roman" w:cs="Times New Roman"/>
                <w:bCs/>
                <w:sz w:val="20"/>
                <w:szCs w:val="20"/>
              </w:rPr>
            </w:pPr>
            <w:r w:rsidRPr="0035187E">
              <w:rPr>
                <w:rFonts w:ascii="Times New Roman" w:hAnsi="Times New Roman" w:cs="Times New Roman"/>
                <w:bCs/>
                <w:sz w:val="20"/>
                <w:szCs w:val="20"/>
              </w:rPr>
              <w:t>Proč je to problém pro dodavatele pokladních systémů a trh:</w:t>
            </w:r>
          </w:p>
          <w:p w14:paraId="1BC17535" w14:textId="77777777" w:rsidR="000B4BD4" w:rsidRPr="0035187E" w:rsidRDefault="000B4BD4" w:rsidP="0035187E">
            <w:pPr>
              <w:numPr>
                <w:ilvl w:val="0"/>
                <w:numId w:val="69"/>
              </w:numPr>
              <w:jc w:val="both"/>
              <w:rPr>
                <w:rFonts w:ascii="Times New Roman" w:hAnsi="Times New Roman" w:cs="Times New Roman"/>
                <w:bCs/>
                <w:sz w:val="20"/>
                <w:szCs w:val="20"/>
              </w:rPr>
            </w:pPr>
            <w:r w:rsidRPr="0035187E">
              <w:rPr>
                <w:rFonts w:ascii="Times New Roman" w:hAnsi="Times New Roman" w:cs="Times New Roman"/>
                <w:bCs/>
                <w:sz w:val="20"/>
                <w:szCs w:val="20"/>
              </w:rPr>
              <w:t xml:space="preserve">Dodavatelé </w:t>
            </w:r>
            <w:r w:rsidRPr="0035187E">
              <w:rPr>
                <w:rFonts w:ascii="Times New Roman" w:hAnsi="Times New Roman" w:cs="Times New Roman"/>
                <w:bCs/>
                <w:i/>
                <w:iCs/>
                <w:sz w:val="20"/>
                <w:szCs w:val="20"/>
              </w:rPr>
              <w:t xml:space="preserve">Point </w:t>
            </w:r>
            <w:proofErr w:type="spellStart"/>
            <w:r w:rsidRPr="0035187E">
              <w:rPr>
                <w:rFonts w:ascii="Times New Roman" w:hAnsi="Times New Roman" w:cs="Times New Roman"/>
                <w:bCs/>
                <w:i/>
                <w:iCs/>
                <w:sz w:val="20"/>
                <w:szCs w:val="20"/>
              </w:rPr>
              <w:t>of</w:t>
            </w:r>
            <w:proofErr w:type="spellEnd"/>
            <w:r w:rsidRPr="0035187E">
              <w:rPr>
                <w:rFonts w:ascii="Times New Roman" w:hAnsi="Times New Roman" w:cs="Times New Roman"/>
                <w:bCs/>
                <w:i/>
                <w:iCs/>
                <w:sz w:val="20"/>
                <w:szCs w:val="20"/>
              </w:rPr>
              <w:t xml:space="preserve"> </w:t>
            </w:r>
            <w:proofErr w:type="spellStart"/>
            <w:r w:rsidRPr="0035187E">
              <w:rPr>
                <w:rFonts w:ascii="Times New Roman" w:hAnsi="Times New Roman" w:cs="Times New Roman"/>
                <w:bCs/>
                <w:i/>
                <w:iCs/>
                <w:sz w:val="20"/>
                <w:szCs w:val="20"/>
              </w:rPr>
              <w:t>sale</w:t>
            </w:r>
            <w:proofErr w:type="spellEnd"/>
            <w:r w:rsidRPr="0035187E">
              <w:rPr>
                <w:rFonts w:ascii="Times New Roman" w:hAnsi="Times New Roman" w:cs="Times New Roman"/>
                <w:bCs/>
                <w:sz w:val="20"/>
                <w:szCs w:val="20"/>
              </w:rPr>
              <w:t xml:space="preserve"> (POS) systémů nemohou zahájit vývoj bez znalosti technické specifikace.</w:t>
            </w:r>
          </w:p>
          <w:p w14:paraId="67BA32EA" w14:textId="77777777" w:rsidR="000B4BD4" w:rsidRPr="0035187E" w:rsidRDefault="000B4BD4" w:rsidP="0035187E">
            <w:pPr>
              <w:numPr>
                <w:ilvl w:val="0"/>
                <w:numId w:val="69"/>
              </w:numPr>
              <w:jc w:val="both"/>
              <w:rPr>
                <w:rFonts w:ascii="Times New Roman" w:hAnsi="Times New Roman" w:cs="Times New Roman"/>
                <w:bCs/>
                <w:sz w:val="20"/>
                <w:szCs w:val="20"/>
              </w:rPr>
            </w:pPr>
            <w:r w:rsidRPr="0035187E">
              <w:rPr>
                <w:rFonts w:ascii="Times New Roman" w:hAnsi="Times New Roman" w:cs="Times New Roman"/>
                <w:bCs/>
                <w:sz w:val="20"/>
                <w:szCs w:val="20"/>
              </w:rPr>
              <w:t>Neexistuje žádná zákonná garance stability specifikace — FS ČR ji může kdykoliv jednostranně změnit.</w:t>
            </w:r>
          </w:p>
          <w:p w14:paraId="6D4031D7" w14:textId="77777777" w:rsidR="000B4BD4" w:rsidRPr="0035187E" w:rsidRDefault="000B4BD4" w:rsidP="0035187E">
            <w:pPr>
              <w:numPr>
                <w:ilvl w:val="0"/>
                <w:numId w:val="69"/>
              </w:numPr>
              <w:jc w:val="both"/>
              <w:rPr>
                <w:rFonts w:ascii="Times New Roman" w:hAnsi="Times New Roman" w:cs="Times New Roman"/>
                <w:bCs/>
                <w:sz w:val="20"/>
                <w:szCs w:val="20"/>
              </w:rPr>
            </w:pPr>
            <w:r w:rsidRPr="0035187E">
              <w:rPr>
                <w:rFonts w:ascii="Times New Roman" w:hAnsi="Times New Roman" w:cs="Times New Roman"/>
                <w:bCs/>
                <w:sz w:val="20"/>
                <w:szCs w:val="20"/>
              </w:rPr>
              <w:t>Původní EET 1.0 mělo technické parametry ukotveny ve vyhlášce č. 269/2016 Sb. — novy zákon nic takového neobsahuje.</w:t>
            </w:r>
          </w:p>
          <w:p w14:paraId="1E90940E" w14:textId="580E245A" w:rsidR="000B4BD4" w:rsidRPr="0035187E" w:rsidRDefault="000B4BD4" w:rsidP="0035187E">
            <w:pPr>
              <w:numPr>
                <w:ilvl w:val="0"/>
                <w:numId w:val="69"/>
              </w:numPr>
              <w:jc w:val="both"/>
              <w:rPr>
                <w:rFonts w:ascii="Times New Roman" w:hAnsi="Times New Roman" w:cs="Times New Roman"/>
                <w:sz w:val="20"/>
                <w:szCs w:val="20"/>
              </w:rPr>
            </w:pPr>
            <w:r w:rsidRPr="0035187E">
              <w:rPr>
                <w:rFonts w:ascii="Times New Roman" w:hAnsi="Times New Roman" w:cs="Times New Roman"/>
                <w:bCs/>
                <w:sz w:val="20"/>
                <w:szCs w:val="20"/>
              </w:rPr>
              <w:t xml:space="preserve">§ 18 odst. 3 umožňuje rozšiřovaní povinných údajů </w:t>
            </w:r>
            <w:r w:rsidRPr="0035187E">
              <w:rPr>
                <w:rFonts w:ascii="Times New Roman" w:hAnsi="Times New Roman" w:cs="Times New Roman"/>
                <w:bCs/>
                <w:i/>
                <w:iCs/>
                <w:sz w:val="20"/>
                <w:szCs w:val="20"/>
              </w:rPr>
              <w:t>de facto</w:t>
            </w:r>
            <w:r w:rsidRPr="0035187E">
              <w:rPr>
                <w:rFonts w:ascii="Times New Roman" w:hAnsi="Times New Roman" w:cs="Times New Roman"/>
                <w:bCs/>
                <w:sz w:val="20"/>
                <w:szCs w:val="20"/>
              </w:rPr>
              <w:t xml:space="preserve"> neústavně, mimo jakoukoli kontrolu zákonodárce.</w:t>
            </w:r>
          </w:p>
        </w:tc>
        <w:tc>
          <w:tcPr>
            <w:tcW w:w="1453" w:type="pct"/>
            <w:tcBorders>
              <w:top w:val="single" w:sz="4" w:space="0" w:color="auto"/>
              <w:left w:val="single" w:sz="4" w:space="0" w:color="auto"/>
              <w:right w:val="single" w:sz="4" w:space="0" w:color="auto"/>
            </w:tcBorders>
            <w:shd w:val="clear" w:color="auto" w:fill="auto"/>
          </w:tcPr>
          <w:p w14:paraId="71A9E949" w14:textId="27F44C22" w:rsidR="000B4BD4" w:rsidRPr="0035187E" w:rsidRDefault="009F45F0" w:rsidP="0035187E">
            <w:pPr>
              <w:jc w:val="both"/>
              <w:rPr>
                <w:rFonts w:ascii="Times New Roman" w:hAnsi="Times New Roman" w:cs="Times New Roman"/>
                <w:b/>
                <w:sz w:val="20"/>
                <w:szCs w:val="20"/>
              </w:rPr>
            </w:pPr>
            <w:r w:rsidRPr="0035187E">
              <w:rPr>
                <w:rFonts w:ascii="Times New Roman" w:hAnsi="Times New Roman" w:cs="Times New Roman"/>
                <w:b/>
                <w:sz w:val="20"/>
                <w:szCs w:val="20"/>
              </w:rPr>
              <w:t>Nevyhověno.</w:t>
            </w:r>
          </w:p>
          <w:p w14:paraId="07CBA6D4" w14:textId="1E8C6C7C" w:rsidR="009F45F0" w:rsidRPr="0035187E" w:rsidRDefault="00341D2E" w:rsidP="0035187E">
            <w:pPr>
              <w:jc w:val="both"/>
              <w:rPr>
                <w:rFonts w:ascii="Times New Roman" w:hAnsi="Times New Roman" w:cs="Times New Roman"/>
                <w:sz w:val="20"/>
                <w:szCs w:val="20"/>
              </w:rPr>
            </w:pPr>
            <w:r w:rsidRPr="0035187E">
              <w:rPr>
                <w:rFonts w:ascii="Times New Roman" w:hAnsi="Times New Roman" w:cs="Times New Roman"/>
                <w:sz w:val="20"/>
                <w:szCs w:val="20"/>
              </w:rPr>
              <w:t>Vydání prováděcích předpisů se nepředpokládá.</w:t>
            </w:r>
            <w:r w:rsidR="00122F18" w:rsidRPr="0035187E">
              <w:rPr>
                <w:rFonts w:ascii="Times New Roman" w:hAnsi="Times New Roman" w:cs="Times New Roman"/>
                <w:sz w:val="20"/>
                <w:szCs w:val="20"/>
              </w:rPr>
              <w:t xml:space="preserve"> Institut podpisového kódu poplatníka a bezpečnostního kódu poplatníka návrh zákona neobsahuje, a tudíž není namístě odkaz na vyhlášku č. </w:t>
            </w:r>
            <w:r w:rsidR="00122F18" w:rsidRPr="0035187E">
              <w:rPr>
                <w:rFonts w:ascii="Times New Roman" w:hAnsi="Times New Roman" w:cs="Times New Roman"/>
                <w:bCs/>
                <w:sz w:val="20"/>
                <w:szCs w:val="20"/>
              </w:rPr>
              <w:t>269/2016 Sb., která upravovala podrobnosti jejich tvorby. Předpokládá se určení a zveřejnění datové struktury, jejichž obsahové limity budou dány</w:t>
            </w:r>
            <w:r w:rsidR="00B66DA1" w:rsidRPr="0035187E">
              <w:rPr>
                <w:rFonts w:ascii="Times New Roman" w:hAnsi="Times New Roman" w:cs="Times New Roman"/>
                <w:bCs/>
                <w:sz w:val="20"/>
                <w:szCs w:val="20"/>
              </w:rPr>
              <w:t xml:space="preserve"> obecným výčtem (§ 18). Obavy z neustálých změn ze strany finanční správy nejsou opodstatněné. </w:t>
            </w:r>
            <w:r w:rsidRPr="0035187E">
              <w:rPr>
                <w:rFonts w:ascii="Times New Roman" w:hAnsi="Times New Roman" w:cs="Times New Roman"/>
                <w:sz w:val="20"/>
                <w:szCs w:val="20"/>
              </w:rPr>
              <w:t>Požadavek si navíc částečně protiřečí s požadavkem uplatněným v připomínce č.</w:t>
            </w:r>
            <w:r w:rsidR="00B66DA1" w:rsidRPr="0035187E">
              <w:rPr>
                <w:rFonts w:ascii="Times New Roman" w:hAnsi="Times New Roman" w:cs="Times New Roman"/>
                <w:sz w:val="20"/>
                <w:szCs w:val="20"/>
              </w:rPr>
              <w:t> </w:t>
            </w:r>
            <w:r w:rsidRPr="0035187E">
              <w:rPr>
                <w:rFonts w:ascii="Times New Roman" w:hAnsi="Times New Roman" w:cs="Times New Roman"/>
                <w:sz w:val="20"/>
                <w:szCs w:val="20"/>
              </w:rPr>
              <w:t>11.</w:t>
            </w:r>
          </w:p>
          <w:p w14:paraId="0C2A8653" w14:textId="77777777" w:rsidR="004360DE" w:rsidRPr="0035187E" w:rsidRDefault="004360DE" w:rsidP="0035187E">
            <w:pPr>
              <w:jc w:val="both"/>
              <w:rPr>
                <w:rFonts w:ascii="Times New Roman" w:hAnsi="Times New Roman" w:cs="Times New Roman"/>
                <w:sz w:val="20"/>
                <w:szCs w:val="20"/>
              </w:rPr>
            </w:pPr>
          </w:p>
          <w:p w14:paraId="3AE4030F" w14:textId="77777777" w:rsidR="004360DE" w:rsidRPr="0035187E" w:rsidRDefault="004360DE" w:rsidP="0035187E">
            <w:pPr>
              <w:jc w:val="both"/>
              <w:rPr>
                <w:rFonts w:ascii="Times New Roman" w:hAnsi="Times New Roman" w:cs="Times New Roman"/>
                <w:b/>
                <w:sz w:val="20"/>
                <w:szCs w:val="20"/>
              </w:rPr>
            </w:pPr>
            <w:r w:rsidRPr="0035187E">
              <w:rPr>
                <w:rFonts w:ascii="Times New Roman" w:hAnsi="Times New Roman" w:cs="Times New Roman"/>
                <w:b/>
                <w:sz w:val="20"/>
                <w:szCs w:val="20"/>
              </w:rPr>
              <w:t>Vyhověno jinak.</w:t>
            </w:r>
          </w:p>
          <w:p w14:paraId="58562B6B" w14:textId="77777777" w:rsidR="004360DE" w:rsidRPr="0035187E" w:rsidRDefault="004360DE"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 ve prospěch doplnění normy stanovující správci daně povinnost určit a zveřejnit způsobem umožňujícím dálkový přístup podmínky a způsob přijímání, potvrzování a další zpracování datové zprávy o evidované tržbě na společném technickém zařízení správce daně.</w:t>
            </w:r>
          </w:p>
          <w:p w14:paraId="19C6965F" w14:textId="08A1BA95" w:rsidR="00341D2E" w:rsidRPr="0035187E" w:rsidRDefault="00341D2E" w:rsidP="0035187E">
            <w:pPr>
              <w:jc w:val="both"/>
              <w:rPr>
                <w:rFonts w:ascii="Times New Roman" w:hAnsi="Times New Roman" w:cs="Times New Roman"/>
                <w:sz w:val="20"/>
                <w:szCs w:val="20"/>
              </w:rPr>
            </w:pPr>
          </w:p>
          <w:p w14:paraId="3F7F89CC" w14:textId="15904CF0" w:rsidR="00341D2E" w:rsidRPr="0035187E" w:rsidRDefault="004360DE" w:rsidP="0035187E">
            <w:pPr>
              <w:jc w:val="both"/>
              <w:rPr>
                <w:rFonts w:ascii="Times New Roman" w:hAnsi="Times New Roman" w:cs="Times New Roman"/>
                <w:b/>
                <w:sz w:val="20"/>
                <w:szCs w:val="20"/>
              </w:rPr>
            </w:pPr>
            <w:r w:rsidRPr="0035187E">
              <w:rPr>
                <w:rFonts w:ascii="Times New Roman" w:hAnsi="Times New Roman" w:cs="Times New Roman"/>
                <w:b/>
                <w:sz w:val="20"/>
                <w:szCs w:val="20"/>
              </w:rPr>
              <w:t>Vyhověno</w:t>
            </w:r>
            <w:r w:rsidR="00341D2E" w:rsidRPr="0035187E">
              <w:rPr>
                <w:rFonts w:ascii="Times New Roman" w:hAnsi="Times New Roman" w:cs="Times New Roman"/>
                <w:b/>
                <w:sz w:val="20"/>
                <w:szCs w:val="20"/>
              </w:rPr>
              <w:t>.</w:t>
            </w:r>
          </w:p>
          <w:p w14:paraId="2B8CAB9D" w14:textId="3243567E" w:rsidR="00AC69C0" w:rsidRPr="0035187E" w:rsidRDefault="00341D2E"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Požadavek vztahující se k § 18 odst. 3 návrhu vychází z mylného předpokladu, že takto bude možné stanovit povinné údaje. Textace daného ustanovení použitím slova „může“ ponechává okruh těchto údajů na ryze dobrovolné bázi, což potvrzuje i důvodová zpráva. </w:t>
            </w:r>
            <w:r w:rsidR="004360DE" w:rsidRPr="0035187E">
              <w:rPr>
                <w:rFonts w:ascii="Times New Roman" w:hAnsi="Times New Roman" w:cs="Times New Roman"/>
                <w:sz w:val="20"/>
                <w:szCs w:val="20"/>
              </w:rPr>
              <w:t>Nicméně dané ustanovení bylo z návrhu zákona vypuštěno.</w:t>
            </w:r>
          </w:p>
        </w:tc>
      </w:tr>
      <w:tr w:rsidR="0035187E" w:rsidRPr="0035187E" w14:paraId="7F1C1385"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AA7B076" w14:textId="7415E6E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40.</w:t>
            </w:r>
          </w:p>
        </w:tc>
        <w:tc>
          <w:tcPr>
            <w:tcW w:w="583" w:type="pct"/>
            <w:tcBorders>
              <w:top w:val="single" w:sz="4" w:space="0" w:color="auto"/>
              <w:left w:val="single" w:sz="4" w:space="0" w:color="auto"/>
              <w:right w:val="single" w:sz="4" w:space="0" w:color="auto"/>
            </w:tcBorders>
            <w:shd w:val="clear" w:color="auto" w:fill="auto"/>
          </w:tcPr>
          <w:p w14:paraId="0E29A79D" w14:textId="0747224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6F0FF88A" w14:textId="65310C2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28.</w:t>
            </w:r>
          </w:p>
        </w:tc>
        <w:tc>
          <w:tcPr>
            <w:tcW w:w="169" w:type="pct"/>
            <w:tcBorders>
              <w:top w:val="single" w:sz="4" w:space="0" w:color="auto"/>
              <w:left w:val="single" w:sz="4" w:space="0" w:color="auto"/>
              <w:right w:val="single" w:sz="4" w:space="0" w:color="auto"/>
            </w:tcBorders>
            <w:shd w:val="clear" w:color="auto" w:fill="auto"/>
          </w:tcPr>
          <w:p w14:paraId="52BEC369" w14:textId="25AC5C8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CEBBB15" w14:textId="77777777" w:rsidR="000B4BD4" w:rsidRPr="0035187E" w:rsidRDefault="000B4BD4" w:rsidP="0035187E">
            <w:pPr>
              <w:numPr>
                <w:ilvl w:val="0"/>
                <w:numId w:val="70"/>
              </w:numPr>
              <w:tabs>
                <w:tab w:val="left" w:pos="567"/>
              </w:tabs>
              <w:ind w:left="0" w:firstLine="4"/>
              <w:jc w:val="both"/>
              <w:rPr>
                <w:rFonts w:ascii="Times New Roman" w:eastAsia="Calibri" w:hAnsi="Times New Roman" w:cs="Times New Roman"/>
                <w:b/>
                <w:sz w:val="20"/>
                <w:szCs w:val="20"/>
              </w:rPr>
            </w:pPr>
            <w:r w:rsidRPr="0035187E">
              <w:rPr>
                <w:rFonts w:ascii="Times New Roman" w:eastAsia="Calibri" w:hAnsi="Times New Roman" w:cs="Times New Roman"/>
                <w:b/>
                <w:sz w:val="20"/>
                <w:szCs w:val="20"/>
              </w:rPr>
              <w:t>Připomínka k § 17, § 18, § 20 a § 21</w:t>
            </w:r>
          </w:p>
          <w:p w14:paraId="1A74D2AC" w14:textId="77777777" w:rsidR="000B4BD4" w:rsidRPr="0035187E" w:rsidRDefault="000B4BD4" w:rsidP="0035187E">
            <w:pPr>
              <w:tabs>
                <w:tab w:val="left" w:pos="567"/>
              </w:tabs>
              <w:jc w:val="both"/>
              <w:rPr>
                <w:rFonts w:ascii="Times New Roman" w:hAnsi="Times New Roman" w:cs="Times New Roman"/>
                <w:bCs/>
                <w:sz w:val="20"/>
                <w:szCs w:val="20"/>
              </w:rPr>
            </w:pPr>
            <w:r w:rsidRPr="0035187E">
              <w:rPr>
                <w:rFonts w:ascii="Times New Roman" w:hAnsi="Times New Roman" w:cs="Times New Roman"/>
                <w:bCs/>
                <w:sz w:val="20"/>
                <w:szCs w:val="20"/>
              </w:rPr>
              <w:t>a) Požadujeme v zákoně definovat pojem „</w:t>
            </w:r>
            <w:r w:rsidRPr="0035187E">
              <w:rPr>
                <w:rFonts w:ascii="Times New Roman" w:hAnsi="Times New Roman" w:cs="Times New Roman"/>
                <w:bCs/>
                <w:i/>
                <w:iCs/>
                <w:sz w:val="20"/>
                <w:szCs w:val="20"/>
              </w:rPr>
              <w:t>potvrzení o zaevidování tržby</w:t>
            </w:r>
            <w:r w:rsidRPr="0035187E">
              <w:rPr>
                <w:rFonts w:ascii="Times New Roman" w:hAnsi="Times New Roman" w:cs="Times New Roman"/>
                <w:bCs/>
                <w:sz w:val="20"/>
                <w:szCs w:val="20"/>
              </w:rPr>
              <w:t>“ - jeho minimální obsah (unikátní identifikátor přidělený serverem, čas přijetí, odkaz na identifikaci datové zprávy) a právní význam (důkaz o splnění evidenční povinnosti).</w:t>
            </w:r>
          </w:p>
          <w:p w14:paraId="0EC2D340" w14:textId="77777777" w:rsidR="000B4BD4" w:rsidRPr="0035187E" w:rsidRDefault="000B4BD4" w:rsidP="0035187E">
            <w:pPr>
              <w:tabs>
                <w:tab w:val="left" w:pos="567"/>
              </w:tabs>
              <w:jc w:val="both"/>
              <w:rPr>
                <w:rFonts w:ascii="Times New Roman" w:hAnsi="Times New Roman" w:cs="Times New Roman"/>
                <w:bCs/>
                <w:sz w:val="20"/>
                <w:szCs w:val="20"/>
              </w:rPr>
            </w:pPr>
            <w:r w:rsidRPr="0035187E">
              <w:rPr>
                <w:rFonts w:ascii="Times New Roman" w:hAnsi="Times New Roman" w:cs="Times New Roman"/>
                <w:bCs/>
                <w:sz w:val="20"/>
                <w:szCs w:val="20"/>
              </w:rPr>
              <w:t xml:space="preserve">b) Požadujeme stanovit, že tržba je považována za zaevidovanou okamžikem přijetí potvrzení, nikoliv okamžikem odeslání (změna § 17 odst. 1). To odpovídá i logice § 20/§ 21 — pokud potvrzení nedorazí, aktivuje se </w:t>
            </w:r>
            <w:proofErr w:type="spellStart"/>
            <w:r w:rsidRPr="0035187E">
              <w:rPr>
                <w:rFonts w:ascii="Times New Roman" w:hAnsi="Times New Roman" w:cs="Times New Roman"/>
                <w:bCs/>
                <w:sz w:val="20"/>
                <w:szCs w:val="20"/>
              </w:rPr>
              <w:t>offline</w:t>
            </w:r>
            <w:proofErr w:type="spellEnd"/>
            <w:r w:rsidRPr="0035187E">
              <w:rPr>
                <w:rFonts w:ascii="Times New Roman" w:hAnsi="Times New Roman" w:cs="Times New Roman"/>
                <w:bCs/>
                <w:sz w:val="20"/>
                <w:szCs w:val="20"/>
              </w:rPr>
              <w:t xml:space="preserve"> režim.</w:t>
            </w:r>
          </w:p>
          <w:p w14:paraId="632EEBA8" w14:textId="77777777" w:rsidR="000B4BD4" w:rsidRPr="0035187E" w:rsidRDefault="000B4BD4" w:rsidP="0035187E">
            <w:pPr>
              <w:tabs>
                <w:tab w:val="left" w:pos="567"/>
              </w:tabs>
              <w:jc w:val="both"/>
              <w:rPr>
                <w:rFonts w:ascii="Times New Roman" w:hAnsi="Times New Roman" w:cs="Times New Roman"/>
                <w:bCs/>
                <w:sz w:val="20"/>
                <w:szCs w:val="20"/>
              </w:rPr>
            </w:pPr>
            <w:r w:rsidRPr="0035187E">
              <w:rPr>
                <w:rFonts w:ascii="Times New Roman" w:hAnsi="Times New Roman" w:cs="Times New Roman"/>
                <w:bCs/>
                <w:sz w:val="20"/>
                <w:szCs w:val="20"/>
              </w:rPr>
              <w:lastRenderedPageBreak/>
              <w:t xml:space="preserve">c) Požadujeme zavést povinný deterministický identifikátor tržby (analogie BKP) — </w:t>
            </w:r>
            <w:proofErr w:type="spellStart"/>
            <w:r w:rsidRPr="0035187E">
              <w:rPr>
                <w:rFonts w:ascii="Times New Roman" w:hAnsi="Times New Roman" w:cs="Times New Roman"/>
                <w:bCs/>
                <w:sz w:val="20"/>
                <w:szCs w:val="20"/>
              </w:rPr>
              <w:t>hash</w:t>
            </w:r>
            <w:proofErr w:type="spellEnd"/>
            <w:r w:rsidRPr="0035187E">
              <w:rPr>
                <w:rFonts w:ascii="Times New Roman" w:hAnsi="Times New Roman" w:cs="Times New Roman"/>
                <w:bCs/>
                <w:sz w:val="20"/>
                <w:szCs w:val="20"/>
              </w:rPr>
              <w:t xml:space="preserve"> vypočtený z povinných údajů § 18 odst. 1, který POS musí přiložit ke každé datové zprávě. Stejná tržba = stejný identifikátor. Správce daně ho použije k </w:t>
            </w:r>
            <w:proofErr w:type="spellStart"/>
            <w:r w:rsidRPr="0035187E">
              <w:rPr>
                <w:rFonts w:ascii="Times New Roman" w:hAnsi="Times New Roman" w:cs="Times New Roman"/>
                <w:bCs/>
                <w:sz w:val="20"/>
                <w:szCs w:val="20"/>
              </w:rPr>
              <w:t>deduplikaci</w:t>
            </w:r>
            <w:proofErr w:type="spellEnd"/>
            <w:r w:rsidRPr="0035187E">
              <w:rPr>
                <w:rFonts w:ascii="Times New Roman" w:hAnsi="Times New Roman" w:cs="Times New Roman"/>
                <w:bCs/>
                <w:sz w:val="20"/>
                <w:szCs w:val="20"/>
              </w:rPr>
              <w:t>.</w:t>
            </w:r>
          </w:p>
          <w:p w14:paraId="1A1368B8" w14:textId="77777777" w:rsidR="000B4BD4" w:rsidRPr="0035187E" w:rsidRDefault="000B4BD4" w:rsidP="0035187E">
            <w:pPr>
              <w:tabs>
                <w:tab w:val="left" w:pos="567"/>
              </w:tabs>
              <w:jc w:val="both"/>
              <w:rPr>
                <w:rFonts w:ascii="Times New Roman" w:hAnsi="Times New Roman" w:cs="Times New Roman"/>
                <w:bCs/>
                <w:sz w:val="20"/>
                <w:szCs w:val="20"/>
              </w:rPr>
            </w:pPr>
            <w:r w:rsidRPr="0035187E">
              <w:rPr>
                <w:rFonts w:ascii="Times New Roman" w:hAnsi="Times New Roman" w:cs="Times New Roman"/>
                <w:bCs/>
                <w:sz w:val="20"/>
                <w:szCs w:val="20"/>
              </w:rPr>
              <w:t>d) Požadujeme v zákoně stanovit, že správce daně při opakovaném přijetí zprávy se shodným identifikátorem vrátí potvrzovací kód bez opakovaného zaevidování (</w:t>
            </w:r>
            <w:proofErr w:type="spellStart"/>
            <w:r w:rsidRPr="0035187E">
              <w:rPr>
                <w:rFonts w:ascii="Times New Roman" w:hAnsi="Times New Roman" w:cs="Times New Roman"/>
                <w:bCs/>
                <w:sz w:val="20"/>
                <w:szCs w:val="20"/>
              </w:rPr>
              <w:t>idempotentní</w:t>
            </w:r>
            <w:proofErr w:type="spellEnd"/>
            <w:r w:rsidRPr="0035187E">
              <w:rPr>
                <w:rFonts w:ascii="Times New Roman" w:hAnsi="Times New Roman" w:cs="Times New Roman"/>
                <w:bCs/>
                <w:sz w:val="20"/>
                <w:szCs w:val="20"/>
              </w:rPr>
              <w:t xml:space="preserve"> operace).</w:t>
            </w:r>
          </w:p>
          <w:p w14:paraId="75A528C4" w14:textId="77777777" w:rsidR="000B4BD4" w:rsidRPr="0035187E" w:rsidRDefault="000B4BD4" w:rsidP="0035187E">
            <w:pPr>
              <w:tabs>
                <w:tab w:val="left" w:pos="567"/>
              </w:tabs>
              <w:jc w:val="both"/>
              <w:rPr>
                <w:rFonts w:ascii="Times New Roman" w:hAnsi="Times New Roman" w:cs="Times New Roman"/>
                <w:bCs/>
                <w:sz w:val="20"/>
                <w:szCs w:val="20"/>
              </w:rPr>
            </w:pPr>
            <w:r w:rsidRPr="0035187E">
              <w:rPr>
                <w:rFonts w:ascii="Times New Roman" w:hAnsi="Times New Roman" w:cs="Times New Roman"/>
                <w:bCs/>
                <w:sz w:val="20"/>
                <w:szCs w:val="20"/>
              </w:rPr>
              <w:t>e) Požadujeme v zákoně řešit důkazní situaci — kdo nese důkazní břemeno, pokud potvrzení nebylo doručeno. Navrhujeme řešení: pokud poplatník prokáže odeslání (log POS systému), nese důkazní břemeno správce daně).</w:t>
            </w:r>
          </w:p>
          <w:p w14:paraId="5C19E3CF" w14:textId="77777777" w:rsidR="000B4BD4" w:rsidRPr="0035187E" w:rsidRDefault="000B4BD4" w:rsidP="0035187E">
            <w:pPr>
              <w:tabs>
                <w:tab w:val="left" w:pos="567"/>
              </w:tabs>
              <w:jc w:val="both"/>
              <w:rPr>
                <w:rFonts w:ascii="Times New Roman" w:hAnsi="Times New Roman" w:cs="Times New Roman"/>
                <w:bCs/>
                <w:sz w:val="20"/>
                <w:szCs w:val="20"/>
              </w:rPr>
            </w:pPr>
            <w:r w:rsidRPr="0035187E">
              <w:rPr>
                <w:rFonts w:ascii="Times New Roman" w:hAnsi="Times New Roman" w:cs="Times New Roman"/>
                <w:bCs/>
                <w:sz w:val="20"/>
                <w:szCs w:val="20"/>
              </w:rPr>
              <w:t>f) Požadujeme uložit správci daně povinnost zveřejnit nejen datovou strukturu požadavku, ale i datovou strukturu odpovědi (včetně chybových stavů, retry logiky a formátu potvrzovacího kódu) — jako součást technické specifikace podle § 17 odst. 4</w:t>
            </w:r>
          </w:p>
          <w:p w14:paraId="7FC9A6C9" w14:textId="77777777" w:rsidR="000B4BD4" w:rsidRPr="0035187E" w:rsidRDefault="000B4BD4" w:rsidP="0035187E">
            <w:pPr>
              <w:jc w:val="both"/>
              <w:rPr>
                <w:rFonts w:ascii="Times New Roman" w:hAnsi="Times New Roman" w:cs="Times New Roman"/>
                <w:sz w:val="20"/>
                <w:szCs w:val="20"/>
                <w:u w:val="single"/>
              </w:rPr>
            </w:pPr>
          </w:p>
          <w:p w14:paraId="684558BC" w14:textId="7E78EA83"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w:t>
            </w:r>
          </w:p>
          <w:p w14:paraId="476A0AA6"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V oblasti potvrzovacích kódů a identifikace tržeb identifikujeme několik vzájemně souvisejících problémů, k jejichž řešení by mělo vést přijetí výše uvedených požadavků.</w:t>
            </w:r>
          </w:p>
          <w:p w14:paraId="4A2760CA" w14:textId="7777777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Zákon zmiňuje „</w:t>
            </w:r>
            <w:r w:rsidRPr="0035187E">
              <w:rPr>
                <w:rFonts w:ascii="Times New Roman" w:hAnsi="Times New Roman" w:cs="Times New Roman"/>
                <w:bCs/>
                <w:i/>
                <w:iCs/>
                <w:sz w:val="20"/>
                <w:szCs w:val="20"/>
              </w:rPr>
              <w:t>potvrzovací kód ze společného technického zařízení správce daně</w:t>
            </w:r>
            <w:r w:rsidRPr="0035187E">
              <w:rPr>
                <w:rFonts w:ascii="Times New Roman" w:hAnsi="Times New Roman" w:cs="Times New Roman"/>
                <w:bCs/>
                <w:sz w:val="20"/>
                <w:szCs w:val="20"/>
              </w:rPr>
              <w:t>“ v § 20 (doba odezvy), ale nikde nedefinuje, co tento potvrzovací kód je, jakou má strukturu, co obsahuje a jaký je jeho právní význam.</w:t>
            </w:r>
          </w:p>
          <w:p w14:paraId="63B90118" w14:textId="7777777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 xml:space="preserve">U EET 1.0 byl FIK (fiskální identifikační kód) zákonně definován a sloužil jako důkaz úspěšného zaevidování tržby. Navíc existoval BKP (bezpečnostní kód poplatníka) — deterministický kryptografický </w:t>
            </w:r>
            <w:proofErr w:type="spellStart"/>
            <w:r w:rsidRPr="0035187E">
              <w:rPr>
                <w:rFonts w:ascii="Times New Roman" w:hAnsi="Times New Roman" w:cs="Times New Roman"/>
                <w:bCs/>
                <w:sz w:val="20"/>
                <w:szCs w:val="20"/>
              </w:rPr>
              <w:t>hash</w:t>
            </w:r>
            <w:proofErr w:type="spellEnd"/>
            <w:r w:rsidRPr="0035187E">
              <w:rPr>
                <w:rFonts w:ascii="Times New Roman" w:hAnsi="Times New Roman" w:cs="Times New Roman"/>
                <w:bCs/>
                <w:sz w:val="20"/>
                <w:szCs w:val="20"/>
              </w:rPr>
              <w:t xml:space="preserve">, který sloužil jako </w:t>
            </w:r>
            <w:proofErr w:type="spellStart"/>
            <w:r w:rsidRPr="0035187E">
              <w:rPr>
                <w:rFonts w:ascii="Times New Roman" w:hAnsi="Times New Roman" w:cs="Times New Roman"/>
                <w:bCs/>
                <w:sz w:val="20"/>
                <w:szCs w:val="20"/>
              </w:rPr>
              <w:t>idempotentní</w:t>
            </w:r>
            <w:proofErr w:type="spellEnd"/>
            <w:r w:rsidRPr="0035187E">
              <w:rPr>
                <w:rFonts w:ascii="Times New Roman" w:hAnsi="Times New Roman" w:cs="Times New Roman"/>
                <w:bCs/>
                <w:sz w:val="20"/>
                <w:szCs w:val="20"/>
              </w:rPr>
              <w:t xml:space="preserve"> klíč pro rozpoznání duplikátních zpráv na serveru. EET 2.0 oba tyto koncepty vypouští, aniž by je čímkoli nahradil.</w:t>
            </w:r>
          </w:p>
          <w:p w14:paraId="4B6BDC25" w14:textId="77777777" w:rsidR="000B4BD4" w:rsidRPr="0035187E" w:rsidRDefault="000B4BD4" w:rsidP="0035187E">
            <w:pPr>
              <w:jc w:val="both"/>
              <w:rPr>
                <w:rFonts w:ascii="Times New Roman" w:hAnsi="Times New Roman" w:cs="Times New Roman"/>
                <w:bCs/>
                <w:i/>
                <w:iCs/>
                <w:sz w:val="20"/>
                <w:szCs w:val="20"/>
              </w:rPr>
            </w:pPr>
            <w:r w:rsidRPr="0035187E">
              <w:rPr>
                <w:rFonts w:ascii="Times New Roman" w:hAnsi="Times New Roman" w:cs="Times New Roman"/>
                <w:bCs/>
                <w:sz w:val="20"/>
                <w:szCs w:val="20"/>
              </w:rPr>
              <w:t>Důvodová zpráva k § 20 potvrzuje: „</w:t>
            </w:r>
            <w:r w:rsidRPr="0035187E">
              <w:rPr>
                <w:rFonts w:ascii="Times New Roman" w:hAnsi="Times New Roman" w:cs="Times New Roman"/>
                <w:bCs/>
                <w:i/>
                <w:iCs/>
                <w:sz w:val="20"/>
                <w:szCs w:val="20"/>
              </w:rPr>
              <w:t>Konkrétní označení potvrzovacího kódu je ponecháno na nastavení konkrétní datové struktury ze strany správce daně. Podle původního zákona o evidenci tržeb byl tento kód označen jako tzv. fiskální identifikační kód (FIK).“</w:t>
            </w:r>
          </w:p>
          <w:p w14:paraId="03E95CE6" w14:textId="77777777" w:rsidR="000B4BD4" w:rsidRPr="0035187E" w:rsidRDefault="000B4BD4" w:rsidP="0035187E">
            <w:pPr>
              <w:jc w:val="both"/>
              <w:rPr>
                <w:rFonts w:ascii="Times New Roman" w:hAnsi="Times New Roman" w:cs="Times New Roman"/>
                <w:bCs/>
                <w:sz w:val="20"/>
                <w:szCs w:val="20"/>
                <w:u w:val="single"/>
              </w:rPr>
            </w:pPr>
            <w:r w:rsidRPr="0035187E">
              <w:rPr>
                <w:rFonts w:ascii="Times New Roman" w:hAnsi="Times New Roman" w:cs="Times New Roman"/>
                <w:bCs/>
                <w:sz w:val="20"/>
                <w:szCs w:val="20"/>
                <w:u w:val="single"/>
              </w:rPr>
              <w:t>Právní význam potvrzovacího kódu</w:t>
            </w:r>
          </w:p>
          <w:p w14:paraId="2A9D94C9" w14:textId="7777777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 xml:space="preserve">Kdy je tržba zaevidována? § 17 odst. 1 říká: </w:t>
            </w:r>
            <w:r w:rsidRPr="0035187E">
              <w:rPr>
                <w:rFonts w:ascii="Times New Roman" w:hAnsi="Times New Roman" w:cs="Times New Roman"/>
                <w:bCs/>
                <w:i/>
                <w:iCs/>
                <w:sz w:val="20"/>
                <w:szCs w:val="20"/>
              </w:rPr>
              <w:t>„...zasláním údajů o evidované tržbě správci daně datovou zprávou...čímž dojde k zaevidování tržby</w:t>
            </w:r>
            <w:r w:rsidRPr="0035187E">
              <w:rPr>
                <w:rFonts w:ascii="Times New Roman" w:hAnsi="Times New Roman" w:cs="Times New Roman"/>
                <w:bCs/>
                <w:sz w:val="20"/>
                <w:szCs w:val="20"/>
              </w:rPr>
              <w:t>.“. Tržba je tedy zaevidována zasláním, nikoliv přijetím potvrzení. Ale potvrzovací kód je jediný způsob, jak se POS dozví, že server zprávu přijal. Bez potvrzení poplatník neví, zda tržbu zaevidoval, nebo zda zpráva nedorazila.</w:t>
            </w:r>
          </w:p>
          <w:p w14:paraId="7A61A374" w14:textId="7777777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Problém pro dokazování: Při kontrole ze strany FS ČR poplatník tvrdí, že tržbu zaevidoval. FS tvrdí, že ji nemá. Kdo nese důkazní břemeno? Poplatník nemá žádný zákonně definovaný doklad o úspěšném zaevidování — potvrzovací kód nemá právně stanovenou důkazní hodnotu.</w:t>
            </w:r>
          </w:p>
          <w:p w14:paraId="0EC8A170" w14:textId="7777777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Problém pro POS systém: POS potřebuje jasně definovanou odpověď serveru:</w:t>
            </w:r>
          </w:p>
          <w:p w14:paraId="41E608C0" w14:textId="77777777" w:rsidR="000B4BD4" w:rsidRPr="0035187E" w:rsidRDefault="000B4BD4" w:rsidP="0035187E">
            <w:pPr>
              <w:numPr>
                <w:ilvl w:val="0"/>
                <w:numId w:val="69"/>
              </w:numPr>
              <w:jc w:val="both"/>
              <w:rPr>
                <w:rFonts w:ascii="Times New Roman" w:hAnsi="Times New Roman" w:cs="Times New Roman"/>
                <w:bCs/>
                <w:sz w:val="20"/>
                <w:szCs w:val="20"/>
              </w:rPr>
            </w:pPr>
            <w:r w:rsidRPr="0035187E">
              <w:rPr>
                <w:rFonts w:ascii="Times New Roman" w:hAnsi="Times New Roman" w:cs="Times New Roman"/>
                <w:bCs/>
                <w:sz w:val="20"/>
                <w:szCs w:val="20"/>
              </w:rPr>
              <w:t>Co vrací server při úspěšném přijetí? (HTTP 200 + potvrzovací kód? Jiný formát?)</w:t>
            </w:r>
          </w:p>
          <w:p w14:paraId="30EA7708" w14:textId="77777777" w:rsidR="000B4BD4" w:rsidRPr="0035187E" w:rsidRDefault="000B4BD4" w:rsidP="0035187E">
            <w:pPr>
              <w:numPr>
                <w:ilvl w:val="0"/>
                <w:numId w:val="69"/>
              </w:numPr>
              <w:jc w:val="both"/>
              <w:rPr>
                <w:rFonts w:ascii="Times New Roman" w:hAnsi="Times New Roman" w:cs="Times New Roman"/>
                <w:bCs/>
                <w:sz w:val="20"/>
                <w:szCs w:val="20"/>
              </w:rPr>
            </w:pPr>
            <w:r w:rsidRPr="0035187E">
              <w:rPr>
                <w:rFonts w:ascii="Times New Roman" w:hAnsi="Times New Roman" w:cs="Times New Roman"/>
                <w:bCs/>
                <w:sz w:val="20"/>
                <w:szCs w:val="20"/>
              </w:rPr>
              <w:t>Co vrací při chybě v datové zprávě? (Chybový kód? Textový popis? Jak POS pozná, zda opravit a poslat znovu, nebo tržba nebude přijata?)</w:t>
            </w:r>
          </w:p>
          <w:p w14:paraId="2DE53A1C" w14:textId="77777777" w:rsidR="000B4BD4" w:rsidRPr="0035187E" w:rsidRDefault="000B4BD4" w:rsidP="0035187E">
            <w:pPr>
              <w:numPr>
                <w:ilvl w:val="0"/>
                <w:numId w:val="69"/>
              </w:numPr>
              <w:jc w:val="both"/>
              <w:rPr>
                <w:rFonts w:ascii="Times New Roman" w:hAnsi="Times New Roman" w:cs="Times New Roman"/>
                <w:bCs/>
                <w:sz w:val="20"/>
                <w:szCs w:val="20"/>
              </w:rPr>
            </w:pPr>
            <w:r w:rsidRPr="0035187E">
              <w:rPr>
                <w:rFonts w:ascii="Times New Roman" w:hAnsi="Times New Roman" w:cs="Times New Roman"/>
                <w:bCs/>
                <w:sz w:val="20"/>
                <w:szCs w:val="20"/>
              </w:rPr>
              <w:lastRenderedPageBreak/>
              <w:t xml:space="preserve">Co vrací při duplikátním přijetí? (Viz také jedna z dalších připomínek k § 20 a § 21 zaměřená na </w:t>
            </w:r>
            <w:proofErr w:type="spellStart"/>
            <w:r w:rsidRPr="0035187E">
              <w:rPr>
                <w:rFonts w:ascii="Times New Roman" w:hAnsi="Times New Roman" w:cs="Times New Roman"/>
                <w:bCs/>
                <w:sz w:val="20"/>
                <w:szCs w:val="20"/>
              </w:rPr>
              <w:t>offline</w:t>
            </w:r>
            <w:proofErr w:type="spellEnd"/>
            <w:r w:rsidRPr="0035187E">
              <w:rPr>
                <w:rFonts w:ascii="Times New Roman" w:hAnsi="Times New Roman" w:cs="Times New Roman"/>
                <w:bCs/>
                <w:sz w:val="20"/>
                <w:szCs w:val="20"/>
              </w:rPr>
              <w:t xml:space="preserve"> režim, dobu odezvy a integritu dat — konkrétně část </w:t>
            </w:r>
            <w:proofErr w:type="spellStart"/>
            <w:r w:rsidRPr="0035187E">
              <w:rPr>
                <w:rFonts w:ascii="Times New Roman" w:hAnsi="Times New Roman" w:cs="Times New Roman"/>
                <w:bCs/>
                <w:sz w:val="20"/>
                <w:szCs w:val="20"/>
              </w:rPr>
              <w:t>Phantom</w:t>
            </w:r>
            <w:proofErr w:type="spellEnd"/>
            <w:r w:rsidRPr="0035187E">
              <w:rPr>
                <w:rFonts w:ascii="Times New Roman" w:hAnsi="Times New Roman" w:cs="Times New Roman"/>
                <w:bCs/>
                <w:sz w:val="20"/>
                <w:szCs w:val="20"/>
              </w:rPr>
              <w:t xml:space="preserve"> </w:t>
            </w:r>
            <w:proofErr w:type="spellStart"/>
            <w:r w:rsidRPr="0035187E">
              <w:rPr>
                <w:rFonts w:ascii="Times New Roman" w:hAnsi="Times New Roman" w:cs="Times New Roman"/>
                <w:bCs/>
                <w:sz w:val="20"/>
                <w:szCs w:val="20"/>
              </w:rPr>
              <w:t>Duplicate</w:t>
            </w:r>
            <w:proofErr w:type="spellEnd"/>
            <w:r w:rsidRPr="0035187E">
              <w:rPr>
                <w:rFonts w:ascii="Times New Roman" w:hAnsi="Times New Roman" w:cs="Times New Roman"/>
                <w:bCs/>
                <w:sz w:val="20"/>
                <w:szCs w:val="20"/>
              </w:rPr>
              <w:t>)</w:t>
            </w:r>
          </w:p>
          <w:p w14:paraId="4DF31398" w14:textId="77777777" w:rsidR="000B4BD4" w:rsidRPr="0035187E" w:rsidRDefault="000B4BD4" w:rsidP="0035187E">
            <w:pPr>
              <w:numPr>
                <w:ilvl w:val="0"/>
                <w:numId w:val="69"/>
              </w:numPr>
              <w:jc w:val="both"/>
              <w:rPr>
                <w:rFonts w:ascii="Times New Roman" w:hAnsi="Times New Roman" w:cs="Times New Roman"/>
                <w:bCs/>
                <w:sz w:val="20"/>
                <w:szCs w:val="20"/>
              </w:rPr>
            </w:pPr>
            <w:r w:rsidRPr="0035187E">
              <w:rPr>
                <w:rFonts w:ascii="Times New Roman" w:hAnsi="Times New Roman" w:cs="Times New Roman"/>
                <w:bCs/>
                <w:sz w:val="20"/>
                <w:szCs w:val="20"/>
              </w:rPr>
              <w:t>Co vrací při přetížení serveru? (Retry-</w:t>
            </w:r>
            <w:proofErr w:type="spellStart"/>
            <w:r w:rsidRPr="0035187E">
              <w:rPr>
                <w:rFonts w:ascii="Times New Roman" w:hAnsi="Times New Roman" w:cs="Times New Roman"/>
                <w:bCs/>
                <w:sz w:val="20"/>
                <w:szCs w:val="20"/>
              </w:rPr>
              <w:t>after</w:t>
            </w:r>
            <w:proofErr w:type="spellEnd"/>
            <w:r w:rsidRPr="0035187E">
              <w:rPr>
                <w:rFonts w:ascii="Times New Roman" w:hAnsi="Times New Roman" w:cs="Times New Roman"/>
                <w:bCs/>
                <w:sz w:val="20"/>
                <w:szCs w:val="20"/>
              </w:rPr>
              <w:t>? Odmítnutí?)</w:t>
            </w:r>
          </w:p>
          <w:p w14:paraId="01439CBE" w14:textId="77777777" w:rsidR="000B4BD4" w:rsidRPr="0035187E" w:rsidRDefault="000B4BD4" w:rsidP="0035187E">
            <w:pPr>
              <w:numPr>
                <w:ilvl w:val="0"/>
                <w:numId w:val="69"/>
              </w:numPr>
              <w:jc w:val="both"/>
              <w:rPr>
                <w:rFonts w:ascii="Times New Roman" w:hAnsi="Times New Roman" w:cs="Times New Roman"/>
                <w:bCs/>
                <w:sz w:val="20"/>
                <w:szCs w:val="20"/>
              </w:rPr>
            </w:pPr>
            <w:r w:rsidRPr="0035187E">
              <w:rPr>
                <w:rFonts w:ascii="Times New Roman" w:hAnsi="Times New Roman" w:cs="Times New Roman"/>
                <w:bCs/>
                <w:sz w:val="20"/>
                <w:szCs w:val="20"/>
              </w:rPr>
              <w:t>Jaká je struktura XML odpovědi?</w:t>
            </w:r>
          </w:p>
          <w:p w14:paraId="19E0D56E" w14:textId="7777777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Zákon ani důvodová zpráva neřeší žádnou z těchto otázek — vše je delegováno na „</w:t>
            </w:r>
            <w:r w:rsidRPr="0035187E">
              <w:rPr>
                <w:rFonts w:ascii="Times New Roman" w:hAnsi="Times New Roman" w:cs="Times New Roman"/>
                <w:bCs/>
                <w:i/>
                <w:iCs/>
                <w:sz w:val="20"/>
                <w:szCs w:val="20"/>
              </w:rPr>
              <w:t>datovou strukturu</w:t>
            </w:r>
            <w:r w:rsidRPr="0035187E">
              <w:rPr>
                <w:rFonts w:ascii="Times New Roman" w:hAnsi="Times New Roman" w:cs="Times New Roman"/>
                <w:bCs/>
                <w:sz w:val="20"/>
                <w:szCs w:val="20"/>
              </w:rPr>
              <w:t>“ FS ČR.</w:t>
            </w:r>
          </w:p>
          <w:p w14:paraId="61689D79" w14:textId="77777777" w:rsidR="000B4BD4" w:rsidRPr="0035187E" w:rsidRDefault="000B4BD4" w:rsidP="0035187E">
            <w:pPr>
              <w:jc w:val="both"/>
              <w:rPr>
                <w:rFonts w:ascii="Times New Roman" w:hAnsi="Times New Roman" w:cs="Times New Roman"/>
                <w:bCs/>
                <w:sz w:val="20"/>
                <w:szCs w:val="20"/>
                <w:u w:val="single"/>
              </w:rPr>
            </w:pPr>
            <w:r w:rsidRPr="0035187E">
              <w:rPr>
                <w:rFonts w:ascii="Times New Roman" w:hAnsi="Times New Roman" w:cs="Times New Roman"/>
                <w:bCs/>
                <w:sz w:val="20"/>
                <w:szCs w:val="20"/>
                <w:u w:val="single"/>
              </w:rPr>
              <w:t xml:space="preserve">Absence </w:t>
            </w:r>
            <w:proofErr w:type="spellStart"/>
            <w:r w:rsidRPr="0035187E">
              <w:rPr>
                <w:rFonts w:ascii="Times New Roman" w:hAnsi="Times New Roman" w:cs="Times New Roman"/>
                <w:bCs/>
                <w:sz w:val="20"/>
                <w:szCs w:val="20"/>
                <w:u w:val="single"/>
              </w:rPr>
              <w:t>idempotentního</w:t>
            </w:r>
            <w:proofErr w:type="spellEnd"/>
            <w:r w:rsidRPr="0035187E">
              <w:rPr>
                <w:rFonts w:ascii="Times New Roman" w:hAnsi="Times New Roman" w:cs="Times New Roman"/>
                <w:bCs/>
                <w:sz w:val="20"/>
                <w:szCs w:val="20"/>
                <w:u w:val="single"/>
              </w:rPr>
              <w:t xml:space="preserve"> klíče (náhrada BKP)</w:t>
            </w:r>
          </w:p>
          <w:p w14:paraId="056E1F5D" w14:textId="7777777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 xml:space="preserve">EET 1.0 obsahoval zákonně definovaný BKP (bezpečnostní kód poplatníka) — kryptografický </w:t>
            </w:r>
            <w:proofErr w:type="spellStart"/>
            <w:r w:rsidRPr="0035187E">
              <w:rPr>
                <w:rFonts w:ascii="Times New Roman" w:hAnsi="Times New Roman" w:cs="Times New Roman"/>
                <w:bCs/>
                <w:sz w:val="20"/>
                <w:szCs w:val="20"/>
              </w:rPr>
              <w:t>hash</w:t>
            </w:r>
            <w:proofErr w:type="spellEnd"/>
            <w:r w:rsidRPr="0035187E">
              <w:rPr>
                <w:rFonts w:ascii="Times New Roman" w:hAnsi="Times New Roman" w:cs="Times New Roman"/>
                <w:bCs/>
                <w:sz w:val="20"/>
                <w:szCs w:val="20"/>
              </w:rPr>
              <w:t xml:space="preserve"> generovaný POS z údajů tržby. BKP byl deterministický: stejná tržba vždy vygenerovala stejný BKP. Server FS ČR tak mohl při opakovaném přijetí zprávy se stejným BKP rozpoznat, že jde o tutéž tržbu, a provést </w:t>
            </w:r>
            <w:proofErr w:type="spellStart"/>
            <w:r w:rsidRPr="0035187E">
              <w:rPr>
                <w:rFonts w:ascii="Times New Roman" w:hAnsi="Times New Roman" w:cs="Times New Roman"/>
                <w:bCs/>
                <w:sz w:val="20"/>
                <w:szCs w:val="20"/>
              </w:rPr>
              <w:t>deduplikaci</w:t>
            </w:r>
            <w:proofErr w:type="spellEnd"/>
            <w:r w:rsidRPr="0035187E">
              <w:rPr>
                <w:rFonts w:ascii="Times New Roman" w:hAnsi="Times New Roman" w:cs="Times New Roman"/>
                <w:bCs/>
                <w:sz w:val="20"/>
                <w:szCs w:val="20"/>
              </w:rPr>
              <w:t xml:space="preserve">. </w:t>
            </w:r>
          </w:p>
          <w:p w14:paraId="6CB5D9E5" w14:textId="7777777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Návrh EET 2.0 ruší BKP (kód je uveden mezi údaji, které „</w:t>
            </w:r>
            <w:r w:rsidRPr="0035187E">
              <w:rPr>
                <w:rFonts w:ascii="Times New Roman" w:hAnsi="Times New Roman" w:cs="Times New Roman"/>
                <w:bCs/>
                <w:i/>
                <w:iCs/>
                <w:sz w:val="20"/>
                <w:szCs w:val="20"/>
              </w:rPr>
              <w:t>oproti původnímu zákonu nebude poplatník uvádět</w:t>
            </w:r>
            <w:r w:rsidRPr="0035187E">
              <w:rPr>
                <w:rFonts w:ascii="Times New Roman" w:hAnsi="Times New Roman" w:cs="Times New Roman"/>
                <w:bCs/>
                <w:sz w:val="20"/>
                <w:szCs w:val="20"/>
              </w:rPr>
              <w:t>“ — důvodová zpráva k § 18). Zákon obsahuje dvě položky, které by mohly plnit podobnou funkci:</w:t>
            </w:r>
          </w:p>
          <w:p w14:paraId="17751F5A" w14:textId="7777777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 18 odst. 1 písm. d): „</w:t>
            </w:r>
            <w:r w:rsidRPr="0035187E">
              <w:rPr>
                <w:rFonts w:ascii="Times New Roman" w:hAnsi="Times New Roman" w:cs="Times New Roman"/>
                <w:bCs/>
                <w:i/>
                <w:iCs/>
                <w:sz w:val="20"/>
                <w:szCs w:val="20"/>
              </w:rPr>
              <w:t>pořadové číslo tržby</w:t>
            </w:r>
            <w:r w:rsidRPr="0035187E">
              <w:rPr>
                <w:rFonts w:ascii="Times New Roman" w:hAnsi="Times New Roman" w:cs="Times New Roman"/>
                <w:bCs/>
                <w:sz w:val="20"/>
                <w:szCs w:val="20"/>
              </w:rPr>
              <w:t>“ — ale zákon nestanoví, že musí být unikátní. A i kdyby bylo, při opakovaném odeslání téže tržby bude číslo stejné — ale server neví, zda jde o duplikát nebo o novou tržbu se stejným číslem.</w:t>
            </w:r>
          </w:p>
          <w:p w14:paraId="03408E99" w14:textId="7777777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 18 odst. 1 písm.) g: „</w:t>
            </w:r>
            <w:r w:rsidRPr="0035187E">
              <w:rPr>
                <w:rFonts w:ascii="Times New Roman" w:hAnsi="Times New Roman" w:cs="Times New Roman"/>
                <w:bCs/>
                <w:i/>
                <w:iCs/>
                <w:sz w:val="20"/>
                <w:szCs w:val="20"/>
              </w:rPr>
              <w:t>identifikace datové zprávy</w:t>
            </w:r>
            <w:r w:rsidRPr="0035187E">
              <w:rPr>
                <w:rFonts w:ascii="Times New Roman" w:hAnsi="Times New Roman" w:cs="Times New Roman"/>
                <w:bCs/>
                <w:sz w:val="20"/>
                <w:szCs w:val="20"/>
              </w:rPr>
              <w:t xml:space="preserve">“ — ale zákon neříká, zda POS má při opakovaném odeslání použít stejnou nebo novou identifikaci. Pokud novou, server nemá podle čeho </w:t>
            </w:r>
            <w:proofErr w:type="spellStart"/>
            <w:r w:rsidRPr="0035187E">
              <w:rPr>
                <w:rFonts w:ascii="Times New Roman" w:hAnsi="Times New Roman" w:cs="Times New Roman"/>
                <w:bCs/>
                <w:sz w:val="20"/>
                <w:szCs w:val="20"/>
              </w:rPr>
              <w:t>deduplikovat</w:t>
            </w:r>
            <w:proofErr w:type="spellEnd"/>
            <w:r w:rsidRPr="0035187E">
              <w:rPr>
                <w:rFonts w:ascii="Times New Roman" w:hAnsi="Times New Roman" w:cs="Times New Roman"/>
                <w:bCs/>
                <w:sz w:val="20"/>
                <w:szCs w:val="20"/>
              </w:rPr>
              <w:t>. Pokud stejnou, zákon to nepředepisuje.</w:t>
            </w:r>
          </w:p>
          <w:p w14:paraId="5EAB4152" w14:textId="7777777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 xml:space="preserve">Bez zákonně stanoveného </w:t>
            </w:r>
            <w:proofErr w:type="spellStart"/>
            <w:r w:rsidRPr="0035187E">
              <w:rPr>
                <w:rFonts w:ascii="Times New Roman" w:hAnsi="Times New Roman" w:cs="Times New Roman"/>
                <w:bCs/>
                <w:sz w:val="20"/>
                <w:szCs w:val="20"/>
              </w:rPr>
              <w:t>deduplikačního</w:t>
            </w:r>
            <w:proofErr w:type="spellEnd"/>
            <w:r w:rsidRPr="0035187E">
              <w:rPr>
                <w:rFonts w:ascii="Times New Roman" w:hAnsi="Times New Roman" w:cs="Times New Roman"/>
                <w:bCs/>
                <w:sz w:val="20"/>
                <w:szCs w:val="20"/>
              </w:rPr>
              <w:t xml:space="preserve"> mechanismu je integrita dat na serveru FS ČR závislá na tom, jak konkrétní výrobce POS implementuje opakované odesílání — a zákon na toto nemá žádný požadavek.</w:t>
            </w:r>
          </w:p>
          <w:p w14:paraId="6AF5DA67" w14:textId="77777777" w:rsidR="000B4BD4" w:rsidRPr="0035187E" w:rsidRDefault="000B4BD4" w:rsidP="0035187E">
            <w:pPr>
              <w:jc w:val="both"/>
              <w:rPr>
                <w:rFonts w:ascii="Times New Roman" w:hAnsi="Times New Roman" w:cs="Times New Roman"/>
                <w:bCs/>
                <w:sz w:val="20"/>
                <w:szCs w:val="20"/>
                <w:u w:val="single"/>
              </w:rPr>
            </w:pPr>
            <w:r w:rsidRPr="0035187E">
              <w:rPr>
                <w:rFonts w:ascii="Times New Roman" w:hAnsi="Times New Roman" w:cs="Times New Roman"/>
                <w:bCs/>
                <w:sz w:val="20"/>
                <w:szCs w:val="20"/>
                <w:u w:val="single"/>
              </w:rPr>
              <w:t xml:space="preserve">Provázanost s připomínkou k § 20 a § 21 zaměřenou na </w:t>
            </w:r>
            <w:proofErr w:type="spellStart"/>
            <w:r w:rsidRPr="0035187E">
              <w:rPr>
                <w:rFonts w:ascii="Times New Roman" w:hAnsi="Times New Roman" w:cs="Times New Roman"/>
                <w:bCs/>
                <w:sz w:val="20"/>
                <w:szCs w:val="20"/>
                <w:u w:val="single"/>
              </w:rPr>
              <w:t>offline</w:t>
            </w:r>
            <w:proofErr w:type="spellEnd"/>
            <w:r w:rsidRPr="0035187E">
              <w:rPr>
                <w:rFonts w:ascii="Times New Roman" w:hAnsi="Times New Roman" w:cs="Times New Roman"/>
                <w:bCs/>
                <w:sz w:val="20"/>
                <w:szCs w:val="20"/>
                <w:u w:val="single"/>
              </w:rPr>
              <w:t xml:space="preserve"> režim, dobu odezvy a integritu dat — konkrétně část </w:t>
            </w:r>
            <w:proofErr w:type="spellStart"/>
            <w:r w:rsidRPr="0035187E">
              <w:rPr>
                <w:rFonts w:ascii="Times New Roman" w:hAnsi="Times New Roman" w:cs="Times New Roman"/>
                <w:bCs/>
                <w:sz w:val="20"/>
                <w:szCs w:val="20"/>
                <w:u w:val="single"/>
              </w:rPr>
              <w:t>Phantom</w:t>
            </w:r>
            <w:proofErr w:type="spellEnd"/>
            <w:r w:rsidRPr="0035187E">
              <w:rPr>
                <w:rFonts w:ascii="Times New Roman" w:hAnsi="Times New Roman" w:cs="Times New Roman"/>
                <w:bCs/>
                <w:sz w:val="20"/>
                <w:szCs w:val="20"/>
                <w:u w:val="single"/>
              </w:rPr>
              <w:t xml:space="preserve"> </w:t>
            </w:r>
            <w:proofErr w:type="spellStart"/>
            <w:r w:rsidRPr="0035187E">
              <w:rPr>
                <w:rFonts w:ascii="Times New Roman" w:hAnsi="Times New Roman" w:cs="Times New Roman"/>
                <w:bCs/>
                <w:sz w:val="20"/>
                <w:szCs w:val="20"/>
                <w:u w:val="single"/>
              </w:rPr>
              <w:t>Duplicate</w:t>
            </w:r>
            <w:proofErr w:type="spellEnd"/>
          </w:p>
          <w:p w14:paraId="7B5B87F4" w14:textId="6C359E48"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bCs/>
                <w:sz w:val="20"/>
                <w:szCs w:val="20"/>
              </w:rPr>
              <w:t xml:space="preserve">Absence potvrzovacího kódu se zákonnou vahou a absence </w:t>
            </w:r>
            <w:proofErr w:type="spellStart"/>
            <w:r w:rsidRPr="0035187E">
              <w:rPr>
                <w:rFonts w:ascii="Times New Roman" w:hAnsi="Times New Roman" w:cs="Times New Roman"/>
                <w:bCs/>
                <w:sz w:val="20"/>
                <w:szCs w:val="20"/>
              </w:rPr>
              <w:t>idempotentního</w:t>
            </w:r>
            <w:proofErr w:type="spellEnd"/>
            <w:r w:rsidRPr="0035187E">
              <w:rPr>
                <w:rFonts w:ascii="Times New Roman" w:hAnsi="Times New Roman" w:cs="Times New Roman"/>
                <w:bCs/>
                <w:sz w:val="20"/>
                <w:szCs w:val="20"/>
              </w:rPr>
              <w:t xml:space="preserve"> klíče jsou přímou příčinou problému </w:t>
            </w:r>
            <w:proofErr w:type="spellStart"/>
            <w:r w:rsidRPr="0035187E">
              <w:rPr>
                <w:rFonts w:ascii="Times New Roman" w:hAnsi="Times New Roman" w:cs="Times New Roman"/>
                <w:bCs/>
                <w:sz w:val="20"/>
                <w:szCs w:val="20"/>
              </w:rPr>
              <w:t>Phantom</w:t>
            </w:r>
            <w:proofErr w:type="spellEnd"/>
            <w:r w:rsidRPr="0035187E">
              <w:rPr>
                <w:rFonts w:ascii="Times New Roman" w:hAnsi="Times New Roman" w:cs="Times New Roman"/>
                <w:bCs/>
                <w:sz w:val="20"/>
                <w:szCs w:val="20"/>
              </w:rPr>
              <w:t xml:space="preserve"> </w:t>
            </w:r>
            <w:proofErr w:type="spellStart"/>
            <w:r w:rsidRPr="0035187E">
              <w:rPr>
                <w:rFonts w:ascii="Times New Roman" w:hAnsi="Times New Roman" w:cs="Times New Roman"/>
                <w:bCs/>
                <w:sz w:val="20"/>
                <w:szCs w:val="20"/>
              </w:rPr>
              <w:t>Duplicate</w:t>
            </w:r>
            <w:proofErr w:type="spellEnd"/>
            <w:r w:rsidRPr="0035187E">
              <w:rPr>
                <w:rFonts w:ascii="Times New Roman" w:hAnsi="Times New Roman" w:cs="Times New Roman"/>
                <w:bCs/>
                <w:sz w:val="20"/>
                <w:szCs w:val="20"/>
              </w:rPr>
              <w:t xml:space="preserve"> popsaného v jedné z následujících připomínek. Řešení obou připomínek proto musí být koordinované.</w:t>
            </w:r>
          </w:p>
        </w:tc>
        <w:tc>
          <w:tcPr>
            <w:tcW w:w="1453" w:type="pct"/>
            <w:tcBorders>
              <w:top w:val="single" w:sz="4" w:space="0" w:color="auto"/>
              <w:left w:val="single" w:sz="4" w:space="0" w:color="auto"/>
              <w:right w:val="single" w:sz="4" w:space="0" w:color="auto"/>
            </w:tcBorders>
            <w:shd w:val="clear" w:color="auto" w:fill="auto"/>
          </w:tcPr>
          <w:p w14:paraId="5DAE70DF" w14:textId="77777777" w:rsidR="002C38A9" w:rsidRPr="0035187E" w:rsidRDefault="002C38A9"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Vyhověno jinak.</w:t>
            </w:r>
          </w:p>
          <w:p w14:paraId="082D0E08" w14:textId="384A366D" w:rsidR="002C38A9" w:rsidRPr="0035187E" w:rsidRDefault="002C38A9"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 ve prospěch doplnění normy stanovující správci daně povinnost určit a zveřejnit způsobem umožňujícím dálkový přístup podmínky a způsob přijímání, potvrzování a další zpracování datové zprávy o evidované tržbě na společném technickém zařízení správce daně.</w:t>
            </w:r>
          </w:p>
          <w:p w14:paraId="73B5B7BB" w14:textId="77777777" w:rsidR="002C38A9" w:rsidRPr="0035187E" w:rsidRDefault="002C38A9" w:rsidP="0035187E">
            <w:pPr>
              <w:rPr>
                <w:rFonts w:ascii="Times New Roman" w:hAnsi="Times New Roman" w:cs="Times New Roman"/>
                <w:sz w:val="20"/>
                <w:szCs w:val="20"/>
              </w:rPr>
            </w:pPr>
            <w:r w:rsidRPr="0035187E">
              <w:rPr>
                <w:rFonts w:ascii="Times New Roman" w:hAnsi="Times New Roman" w:cs="Times New Roman"/>
                <w:sz w:val="20"/>
                <w:szCs w:val="20"/>
              </w:rPr>
              <w:lastRenderedPageBreak/>
              <w:t>Současně platí, že podrobnosti k jednotlivým tématům budou metodicky upraveny a zveřejněny ze strany Generálního finančního ředitelství.</w:t>
            </w:r>
          </w:p>
          <w:p w14:paraId="1216C56C" w14:textId="77777777" w:rsidR="002C38A9" w:rsidRPr="0035187E" w:rsidRDefault="002C38A9" w:rsidP="0035187E">
            <w:pPr>
              <w:jc w:val="both"/>
              <w:rPr>
                <w:rFonts w:ascii="Times New Roman" w:hAnsi="Times New Roman" w:cs="Times New Roman"/>
                <w:sz w:val="20"/>
                <w:szCs w:val="20"/>
              </w:rPr>
            </w:pPr>
          </w:p>
          <w:p w14:paraId="017BA2AA" w14:textId="39F74212" w:rsidR="00994CA4" w:rsidRPr="0035187E" w:rsidRDefault="00994CA4" w:rsidP="0035187E">
            <w:pPr>
              <w:jc w:val="both"/>
              <w:rPr>
                <w:rFonts w:ascii="Times New Roman" w:hAnsi="Times New Roman" w:cs="Times New Roman"/>
                <w:sz w:val="20"/>
                <w:szCs w:val="20"/>
              </w:rPr>
            </w:pPr>
          </w:p>
        </w:tc>
      </w:tr>
      <w:tr w:rsidR="0035187E" w:rsidRPr="0035187E" w14:paraId="51A827AD"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325C542" w14:textId="4EFABDD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40.</w:t>
            </w:r>
          </w:p>
        </w:tc>
        <w:tc>
          <w:tcPr>
            <w:tcW w:w="583" w:type="pct"/>
            <w:tcBorders>
              <w:top w:val="single" w:sz="4" w:space="0" w:color="auto"/>
              <w:left w:val="single" w:sz="4" w:space="0" w:color="auto"/>
              <w:right w:val="single" w:sz="4" w:space="0" w:color="auto"/>
            </w:tcBorders>
            <w:shd w:val="clear" w:color="auto" w:fill="auto"/>
          </w:tcPr>
          <w:p w14:paraId="0B0D6898" w14:textId="0452600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1C724D30" w14:textId="2189662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29.</w:t>
            </w:r>
          </w:p>
        </w:tc>
        <w:tc>
          <w:tcPr>
            <w:tcW w:w="169" w:type="pct"/>
            <w:tcBorders>
              <w:top w:val="single" w:sz="4" w:space="0" w:color="auto"/>
              <w:left w:val="single" w:sz="4" w:space="0" w:color="auto"/>
              <w:right w:val="single" w:sz="4" w:space="0" w:color="auto"/>
            </w:tcBorders>
            <w:shd w:val="clear" w:color="auto" w:fill="auto"/>
          </w:tcPr>
          <w:p w14:paraId="6807E63A" w14:textId="2F20370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2D756D9" w14:textId="77777777" w:rsidR="000B4BD4" w:rsidRPr="0035187E" w:rsidRDefault="000B4BD4" w:rsidP="0035187E">
            <w:pPr>
              <w:numPr>
                <w:ilvl w:val="0"/>
                <w:numId w:val="70"/>
              </w:numPr>
              <w:tabs>
                <w:tab w:val="left" w:pos="567"/>
              </w:tabs>
              <w:ind w:left="0" w:firstLine="0"/>
              <w:jc w:val="both"/>
              <w:rPr>
                <w:rFonts w:ascii="Times New Roman" w:eastAsia="Calibri" w:hAnsi="Times New Roman" w:cs="Times New Roman"/>
                <w:b/>
                <w:sz w:val="20"/>
                <w:szCs w:val="20"/>
              </w:rPr>
            </w:pPr>
            <w:r w:rsidRPr="0035187E">
              <w:rPr>
                <w:rFonts w:ascii="Times New Roman" w:eastAsia="Calibri" w:hAnsi="Times New Roman" w:cs="Times New Roman"/>
                <w:b/>
                <w:sz w:val="20"/>
                <w:szCs w:val="20"/>
              </w:rPr>
              <w:t>Připomínka k § 18 a § 5 odst. 2</w:t>
            </w:r>
          </w:p>
          <w:p w14:paraId="1A2B7902" w14:textId="77777777" w:rsidR="000B4BD4" w:rsidRPr="0035187E" w:rsidRDefault="000B4BD4" w:rsidP="0035187E">
            <w:p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Požadujeme, aby správce daně při zveřejnění datové struktury XML (§ 18) výslovně zohlednil specifika dvoufázové evidence a umožnil hromadné (</w:t>
            </w:r>
            <w:proofErr w:type="spellStart"/>
            <w:r w:rsidRPr="0035187E">
              <w:rPr>
                <w:rFonts w:ascii="Times New Roman" w:eastAsia="Calibri" w:hAnsi="Times New Roman" w:cs="Times New Roman"/>
                <w:bCs/>
                <w:sz w:val="20"/>
                <w:szCs w:val="20"/>
              </w:rPr>
              <w:t>batch</w:t>
            </w:r>
            <w:proofErr w:type="spellEnd"/>
            <w:r w:rsidRPr="0035187E">
              <w:rPr>
                <w:rFonts w:ascii="Times New Roman" w:eastAsia="Calibri" w:hAnsi="Times New Roman" w:cs="Times New Roman"/>
                <w:bCs/>
                <w:sz w:val="20"/>
                <w:szCs w:val="20"/>
              </w:rPr>
              <w:t>) odesílání transakcí z jedné akce v rámci jednoho datového souboru a zároveň jasně vymezil pravidla pro tuto situaci, kdy následné čerpání probíhá u různých prodejců.</w:t>
            </w:r>
          </w:p>
          <w:p w14:paraId="35890C5A" w14:textId="77777777" w:rsidR="000B4BD4" w:rsidRPr="0035187E" w:rsidRDefault="000B4BD4" w:rsidP="0035187E">
            <w:pPr>
              <w:jc w:val="both"/>
              <w:rPr>
                <w:rFonts w:ascii="Times New Roman" w:hAnsi="Times New Roman" w:cs="Times New Roman"/>
                <w:sz w:val="20"/>
                <w:szCs w:val="20"/>
                <w:u w:val="single"/>
              </w:rPr>
            </w:pPr>
          </w:p>
          <w:p w14:paraId="10CE01B9" w14:textId="1FC722A6"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w:t>
            </w:r>
          </w:p>
          <w:p w14:paraId="12183D54" w14:textId="5B835E0E" w:rsidR="000B4BD4" w:rsidRPr="0035187E" w:rsidRDefault="000B4BD4" w:rsidP="0035187E">
            <w:pPr>
              <w:tabs>
                <w:tab w:val="left" w:pos="567"/>
              </w:tabs>
              <w:jc w:val="both"/>
              <w:rPr>
                <w:rFonts w:ascii="Times New Roman" w:hAnsi="Times New Roman" w:cs="Times New Roman"/>
                <w:sz w:val="20"/>
                <w:szCs w:val="20"/>
              </w:rPr>
            </w:pPr>
            <w:r w:rsidRPr="0035187E">
              <w:rPr>
                <w:rFonts w:ascii="Times New Roman" w:eastAsia="Calibri" w:hAnsi="Times New Roman" w:cs="Times New Roman"/>
                <w:bCs/>
                <w:sz w:val="20"/>
                <w:szCs w:val="20"/>
              </w:rPr>
              <w:t>§ 5 odst. 2 návrhu správně rozlišuje dvě fáze evidence v uzavřených platebních systémech: (a) platbu určenou k následnému čerpání (nabití) a (b) následné čerpání (nákup). § 6 odst. 1 písm. e) potvrzuje, že platba prostřednictvím prostředků určených pouze k zaplacení zboží v prostorách vydavatele splňuje formální náležitosti.</w:t>
            </w:r>
          </w:p>
        </w:tc>
        <w:tc>
          <w:tcPr>
            <w:tcW w:w="1453" w:type="pct"/>
            <w:tcBorders>
              <w:top w:val="single" w:sz="4" w:space="0" w:color="auto"/>
              <w:left w:val="single" w:sz="4" w:space="0" w:color="auto"/>
              <w:right w:val="single" w:sz="4" w:space="0" w:color="auto"/>
            </w:tcBorders>
            <w:shd w:val="clear" w:color="auto" w:fill="auto"/>
          </w:tcPr>
          <w:p w14:paraId="62C86387" w14:textId="62606108" w:rsidR="000B4BD4" w:rsidRPr="0035187E" w:rsidRDefault="002C38A9" w:rsidP="0035187E">
            <w:pPr>
              <w:jc w:val="both"/>
              <w:rPr>
                <w:rFonts w:ascii="Times New Roman" w:hAnsi="Times New Roman" w:cs="Times New Roman"/>
                <w:b/>
                <w:sz w:val="20"/>
                <w:szCs w:val="20"/>
              </w:rPr>
            </w:pPr>
            <w:r w:rsidRPr="0035187E">
              <w:rPr>
                <w:rFonts w:ascii="Times New Roman" w:hAnsi="Times New Roman" w:cs="Times New Roman"/>
                <w:b/>
                <w:sz w:val="20"/>
                <w:szCs w:val="20"/>
              </w:rPr>
              <w:t>Nevyhověno.</w:t>
            </w:r>
          </w:p>
          <w:p w14:paraId="778730EE" w14:textId="77777777" w:rsidR="00994CA4" w:rsidRPr="0035187E" w:rsidRDefault="002C38A9" w:rsidP="0035187E">
            <w:pPr>
              <w:jc w:val="both"/>
              <w:rPr>
                <w:rFonts w:ascii="Times New Roman" w:hAnsi="Times New Roman" w:cs="Times New Roman"/>
                <w:sz w:val="20"/>
                <w:szCs w:val="20"/>
              </w:rPr>
            </w:pPr>
            <w:r w:rsidRPr="0035187E">
              <w:rPr>
                <w:rFonts w:ascii="Times New Roman" w:hAnsi="Times New Roman" w:cs="Times New Roman"/>
                <w:sz w:val="20"/>
                <w:szCs w:val="20"/>
              </w:rPr>
              <w:t>Hromadné zasílání</w:t>
            </w:r>
            <w:r w:rsidR="00F2204A" w:rsidRPr="0035187E">
              <w:rPr>
                <w:rFonts w:ascii="Times New Roman" w:hAnsi="Times New Roman" w:cs="Times New Roman"/>
                <w:sz w:val="20"/>
                <w:szCs w:val="20"/>
              </w:rPr>
              <w:t xml:space="preserve"> transakcí (rozuměj zaslání souhrnných informací) není z pohledu navržené regulace žádoucí a nepředpokládá se jeho připuštění.</w:t>
            </w:r>
          </w:p>
          <w:p w14:paraId="4F74A006" w14:textId="77777777" w:rsidR="00F2204A" w:rsidRPr="0035187E" w:rsidRDefault="00F2204A" w:rsidP="0035187E">
            <w:pPr>
              <w:rPr>
                <w:rFonts w:ascii="Times New Roman" w:hAnsi="Times New Roman" w:cs="Times New Roman"/>
                <w:sz w:val="20"/>
                <w:szCs w:val="20"/>
              </w:rPr>
            </w:pPr>
            <w:r w:rsidRPr="0035187E">
              <w:rPr>
                <w:rFonts w:ascii="Times New Roman" w:hAnsi="Times New Roman" w:cs="Times New Roman"/>
                <w:sz w:val="20"/>
                <w:szCs w:val="20"/>
              </w:rPr>
              <w:t>Současně platí, že podrobnosti k jednotlivým tématům budou metodicky upraveny a zveřejněny ze strany Generálního finančního ředitelství.</w:t>
            </w:r>
          </w:p>
          <w:p w14:paraId="46F57577" w14:textId="296A8BF0" w:rsidR="00F2204A" w:rsidRPr="0035187E" w:rsidRDefault="00F2204A" w:rsidP="0035187E">
            <w:pPr>
              <w:jc w:val="both"/>
              <w:rPr>
                <w:rFonts w:ascii="Times New Roman" w:hAnsi="Times New Roman" w:cs="Times New Roman"/>
                <w:sz w:val="20"/>
                <w:szCs w:val="20"/>
              </w:rPr>
            </w:pPr>
          </w:p>
        </w:tc>
      </w:tr>
      <w:tr w:rsidR="0035187E" w:rsidRPr="0035187E" w14:paraId="07B60580"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B0702B2" w14:textId="673A2AA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40.</w:t>
            </w:r>
          </w:p>
        </w:tc>
        <w:tc>
          <w:tcPr>
            <w:tcW w:w="583" w:type="pct"/>
            <w:tcBorders>
              <w:top w:val="single" w:sz="4" w:space="0" w:color="auto"/>
              <w:left w:val="single" w:sz="4" w:space="0" w:color="auto"/>
              <w:right w:val="single" w:sz="4" w:space="0" w:color="auto"/>
            </w:tcBorders>
            <w:shd w:val="clear" w:color="auto" w:fill="auto"/>
          </w:tcPr>
          <w:p w14:paraId="16FF4141" w14:textId="3D843C0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5977253E" w14:textId="248BD8F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30.</w:t>
            </w:r>
          </w:p>
        </w:tc>
        <w:tc>
          <w:tcPr>
            <w:tcW w:w="169" w:type="pct"/>
            <w:tcBorders>
              <w:top w:val="single" w:sz="4" w:space="0" w:color="auto"/>
              <w:left w:val="single" w:sz="4" w:space="0" w:color="auto"/>
              <w:right w:val="single" w:sz="4" w:space="0" w:color="auto"/>
            </w:tcBorders>
            <w:shd w:val="clear" w:color="auto" w:fill="auto"/>
          </w:tcPr>
          <w:p w14:paraId="4ADC9211" w14:textId="241016D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98ED922" w14:textId="77777777" w:rsidR="000B4BD4" w:rsidRPr="0035187E" w:rsidRDefault="000B4BD4" w:rsidP="0035187E">
            <w:pPr>
              <w:numPr>
                <w:ilvl w:val="0"/>
                <w:numId w:val="70"/>
              </w:numPr>
              <w:tabs>
                <w:tab w:val="left" w:pos="567"/>
              </w:tabs>
              <w:ind w:left="0" w:firstLine="4"/>
              <w:jc w:val="both"/>
              <w:rPr>
                <w:rFonts w:ascii="Times New Roman" w:eastAsia="Calibri" w:hAnsi="Times New Roman" w:cs="Times New Roman"/>
                <w:b/>
                <w:sz w:val="20"/>
                <w:szCs w:val="20"/>
              </w:rPr>
            </w:pPr>
            <w:r w:rsidRPr="0035187E">
              <w:rPr>
                <w:rFonts w:ascii="Times New Roman" w:eastAsia="Calibri" w:hAnsi="Times New Roman" w:cs="Times New Roman"/>
                <w:b/>
                <w:sz w:val="20"/>
                <w:szCs w:val="20"/>
              </w:rPr>
              <w:t>Připomínka k § 20 a § 21</w:t>
            </w:r>
          </w:p>
          <w:p w14:paraId="582CD221" w14:textId="77777777" w:rsidR="000B4BD4" w:rsidRPr="0035187E" w:rsidRDefault="000B4BD4" w:rsidP="0035187E">
            <w:p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a) Požadujeme prodloužit limit pro zaslání dat o tržbě při překročení mezní doby odezvy na 5 pracovních dnů (analogie s jinými lhůtami v daňovém řádu).</w:t>
            </w:r>
          </w:p>
          <w:p w14:paraId="4A862197" w14:textId="77777777" w:rsidR="000B4BD4" w:rsidRPr="0035187E" w:rsidRDefault="000B4BD4" w:rsidP="0035187E">
            <w:p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Pokud požadavek výše nebude akceptován jako alternativu požadujeme zachovat 48 hodin jako standardní lhůtu, ale doplnit § 21 o ustanovení, že lhůta neběží po dobu:</w:t>
            </w:r>
          </w:p>
          <w:p w14:paraId="16C38363" w14:textId="77777777" w:rsidR="000B4BD4" w:rsidRPr="0035187E" w:rsidRDefault="000B4BD4" w:rsidP="0035187E">
            <w:pPr>
              <w:numPr>
                <w:ilvl w:val="0"/>
                <w:numId w:val="69"/>
              </w:numPr>
              <w:jc w:val="both"/>
              <w:rPr>
                <w:rFonts w:ascii="Times New Roman" w:hAnsi="Times New Roman" w:cs="Times New Roman"/>
                <w:bCs/>
                <w:sz w:val="20"/>
                <w:szCs w:val="20"/>
              </w:rPr>
            </w:pPr>
            <w:r w:rsidRPr="0035187E">
              <w:rPr>
                <w:rFonts w:ascii="Times New Roman" w:hAnsi="Times New Roman" w:cs="Times New Roman"/>
                <w:bCs/>
                <w:sz w:val="20"/>
                <w:szCs w:val="20"/>
              </w:rPr>
              <w:t>prokazatelné nedostupnosti společného technického zařízení správce daně,</w:t>
            </w:r>
          </w:p>
          <w:p w14:paraId="65942529" w14:textId="77777777" w:rsidR="000B4BD4" w:rsidRPr="0035187E" w:rsidRDefault="000B4BD4" w:rsidP="0035187E">
            <w:pPr>
              <w:numPr>
                <w:ilvl w:val="0"/>
                <w:numId w:val="69"/>
              </w:numPr>
              <w:jc w:val="both"/>
              <w:rPr>
                <w:rFonts w:ascii="Times New Roman" w:hAnsi="Times New Roman" w:cs="Times New Roman"/>
                <w:bCs/>
                <w:sz w:val="20"/>
                <w:szCs w:val="20"/>
              </w:rPr>
            </w:pPr>
            <w:r w:rsidRPr="0035187E">
              <w:rPr>
                <w:rFonts w:ascii="Times New Roman" w:hAnsi="Times New Roman" w:cs="Times New Roman"/>
                <w:bCs/>
                <w:sz w:val="20"/>
                <w:szCs w:val="20"/>
              </w:rPr>
              <w:t>prokazatelného výpadku veřejné datové sítě v místě provozovny,</w:t>
            </w:r>
          </w:p>
          <w:p w14:paraId="7F627892" w14:textId="77777777" w:rsidR="000B4BD4" w:rsidRPr="0035187E" w:rsidRDefault="000B4BD4" w:rsidP="0035187E">
            <w:pPr>
              <w:numPr>
                <w:ilvl w:val="0"/>
                <w:numId w:val="69"/>
              </w:numPr>
              <w:jc w:val="both"/>
              <w:rPr>
                <w:rFonts w:ascii="Times New Roman" w:hAnsi="Times New Roman" w:cs="Times New Roman"/>
                <w:bCs/>
                <w:sz w:val="20"/>
                <w:szCs w:val="20"/>
              </w:rPr>
            </w:pPr>
            <w:r w:rsidRPr="0035187E">
              <w:rPr>
                <w:rFonts w:ascii="Times New Roman" w:hAnsi="Times New Roman" w:cs="Times New Roman"/>
                <w:bCs/>
                <w:sz w:val="20"/>
                <w:szCs w:val="20"/>
              </w:rPr>
              <w:t>události vyšší moci.</w:t>
            </w:r>
          </w:p>
          <w:p w14:paraId="7FB881B4" w14:textId="7777777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b) Požadujeme explicitně stanovit, že nedostupnost serveru FS ČR nemůže být důvodem pro sankci poplatníka.</w:t>
            </w:r>
          </w:p>
          <w:p w14:paraId="6454E294" w14:textId="7777777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c) Požadujeme do textu ustanovení § 20 nebo § 21 doplnit pravidlo pro rozpoznání a řešení duplikátů:</w:t>
            </w:r>
          </w:p>
          <w:p w14:paraId="27854246" w14:textId="77777777" w:rsidR="000B4BD4" w:rsidRPr="0035187E" w:rsidRDefault="000B4BD4" w:rsidP="0035187E">
            <w:pPr>
              <w:numPr>
                <w:ilvl w:val="0"/>
                <w:numId w:val="69"/>
              </w:numPr>
              <w:jc w:val="both"/>
              <w:rPr>
                <w:rFonts w:ascii="Times New Roman" w:hAnsi="Times New Roman" w:cs="Times New Roman"/>
                <w:bCs/>
                <w:sz w:val="20"/>
                <w:szCs w:val="20"/>
              </w:rPr>
            </w:pPr>
            <w:r w:rsidRPr="0035187E">
              <w:rPr>
                <w:rFonts w:ascii="Times New Roman" w:hAnsi="Times New Roman" w:cs="Times New Roman"/>
                <w:bCs/>
                <w:sz w:val="20"/>
                <w:szCs w:val="20"/>
              </w:rPr>
              <w:t>Stanovit, že „</w:t>
            </w:r>
            <w:r w:rsidRPr="0035187E">
              <w:rPr>
                <w:rFonts w:ascii="Times New Roman" w:hAnsi="Times New Roman" w:cs="Times New Roman"/>
                <w:bCs/>
                <w:i/>
                <w:iCs/>
                <w:sz w:val="20"/>
                <w:szCs w:val="20"/>
              </w:rPr>
              <w:t>identifikace datové zprávy</w:t>
            </w:r>
            <w:r w:rsidRPr="0035187E">
              <w:rPr>
                <w:rFonts w:ascii="Times New Roman" w:hAnsi="Times New Roman" w:cs="Times New Roman"/>
                <w:bCs/>
                <w:sz w:val="20"/>
                <w:szCs w:val="20"/>
              </w:rPr>
              <w:t xml:space="preserve">“ (§ 18 odst. 1 písm. g) musí být u opakovaného odeslání téže tržby shodná s identifikaci původního pokusu (= </w:t>
            </w:r>
            <w:proofErr w:type="spellStart"/>
            <w:r w:rsidRPr="0035187E">
              <w:rPr>
                <w:rFonts w:ascii="Times New Roman" w:hAnsi="Times New Roman" w:cs="Times New Roman"/>
                <w:bCs/>
                <w:sz w:val="20"/>
                <w:szCs w:val="20"/>
              </w:rPr>
              <w:t>idempotentní</w:t>
            </w:r>
            <w:proofErr w:type="spellEnd"/>
            <w:r w:rsidRPr="0035187E">
              <w:rPr>
                <w:rFonts w:ascii="Times New Roman" w:hAnsi="Times New Roman" w:cs="Times New Roman"/>
                <w:bCs/>
                <w:sz w:val="20"/>
                <w:szCs w:val="20"/>
              </w:rPr>
              <w:t xml:space="preserve"> klíč);</w:t>
            </w:r>
          </w:p>
          <w:p w14:paraId="3E4C5098" w14:textId="77777777" w:rsidR="000B4BD4" w:rsidRPr="0035187E" w:rsidRDefault="000B4BD4" w:rsidP="0035187E">
            <w:pPr>
              <w:numPr>
                <w:ilvl w:val="0"/>
                <w:numId w:val="69"/>
              </w:numPr>
              <w:jc w:val="both"/>
              <w:rPr>
                <w:rFonts w:ascii="Times New Roman" w:hAnsi="Times New Roman" w:cs="Times New Roman"/>
                <w:bCs/>
                <w:sz w:val="20"/>
                <w:szCs w:val="20"/>
              </w:rPr>
            </w:pPr>
            <w:r w:rsidRPr="0035187E">
              <w:rPr>
                <w:rFonts w:ascii="Times New Roman" w:hAnsi="Times New Roman" w:cs="Times New Roman"/>
                <w:bCs/>
                <w:sz w:val="20"/>
                <w:szCs w:val="20"/>
              </w:rPr>
              <w:t xml:space="preserve">uložit správci daně povinnost </w:t>
            </w:r>
            <w:proofErr w:type="spellStart"/>
            <w:r w:rsidRPr="0035187E">
              <w:rPr>
                <w:rFonts w:ascii="Times New Roman" w:hAnsi="Times New Roman" w:cs="Times New Roman"/>
                <w:bCs/>
                <w:sz w:val="20"/>
                <w:szCs w:val="20"/>
              </w:rPr>
              <w:t>deduplikace</w:t>
            </w:r>
            <w:proofErr w:type="spellEnd"/>
            <w:r w:rsidRPr="0035187E">
              <w:rPr>
                <w:rFonts w:ascii="Times New Roman" w:hAnsi="Times New Roman" w:cs="Times New Roman"/>
                <w:bCs/>
                <w:sz w:val="20"/>
                <w:szCs w:val="20"/>
              </w:rPr>
              <w:t xml:space="preserve"> — pokud přijme zprávu se shodnou identifikaci, přijme ji bez chyby, ale nezaeviduje podruhé;</w:t>
            </w:r>
          </w:p>
          <w:p w14:paraId="10BCB6E8" w14:textId="77777777" w:rsidR="000B4BD4" w:rsidRPr="0035187E" w:rsidRDefault="000B4BD4" w:rsidP="0035187E">
            <w:pPr>
              <w:numPr>
                <w:ilvl w:val="0"/>
                <w:numId w:val="69"/>
              </w:numPr>
              <w:jc w:val="both"/>
              <w:rPr>
                <w:rFonts w:ascii="Times New Roman" w:hAnsi="Times New Roman" w:cs="Times New Roman"/>
                <w:bCs/>
                <w:sz w:val="20"/>
                <w:szCs w:val="20"/>
              </w:rPr>
            </w:pPr>
            <w:r w:rsidRPr="0035187E">
              <w:rPr>
                <w:rFonts w:ascii="Times New Roman" w:hAnsi="Times New Roman" w:cs="Times New Roman"/>
                <w:bCs/>
                <w:sz w:val="20"/>
                <w:szCs w:val="20"/>
              </w:rPr>
              <w:t>alternativně: zavést povinný deterministicky kód (analogie bezpečnostního kódu poplatníka BKP z EET 1.0), který server použije k rozpoznání duplikátu.</w:t>
            </w:r>
          </w:p>
          <w:p w14:paraId="32C19409" w14:textId="7777777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 xml:space="preserve">d) Požadujeme doplnit do § 20 odst. 2 vodítko pro nastavení mezní doby odezvy: Stanovit doporučený rozsah (např. 2–15 sekund) nebo odkázat na vyhlášku/technickou specifikaci FS ČR, která definuje </w:t>
            </w:r>
            <w:proofErr w:type="spellStart"/>
            <w:r w:rsidRPr="0035187E">
              <w:rPr>
                <w:rFonts w:ascii="Times New Roman" w:hAnsi="Times New Roman" w:cs="Times New Roman"/>
                <w:bCs/>
                <w:i/>
                <w:iCs/>
                <w:sz w:val="20"/>
                <w:szCs w:val="20"/>
              </w:rPr>
              <w:t>expected</w:t>
            </w:r>
            <w:proofErr w:type="spellEnd"/>
            <w:r w:rsidRPr="0035187E">
              <w:rPr>
                <w:rFonts w:ascii="Times New Roman" w:hAnsi="Times New Roman" w:cs="Times New Roman"/>
                <w:bCs/>
                <w:i/>
                <w:iCs/>
                <w:sz w:val="20"/>
                <w:szCs w:val="20"/>
              </w:rPr>
              <w:t xml:space="preserve"> response </w:t>
            </w:r>
            <w:proofErr w:type="spellStart"/>
            <w:r w:rsidRPr="0035187E">
              <w:rPr>
                <w:rFonts w:ascii="Times New Roman" w:hAnsi="Times New Roman" w:cs="Times New Roman"/>
                <w:bCs/>
                <w:i/>
                <w:iCs/>
                <w:sz w:val="20"/>
                <w:szCs w:val="20"/>
              </w:rPr>
              <w:t>time</w:t>
            </w:r>
            <w:proofErr w:type="spellEnd"/>
            <w:r w:rsidRPr="0035187E">
              <w:rPr>
                <w:rFonts w:ascii="Times New Roman" w:hAnsi="Times New Roman" w:cs="Times New Roman"/>
                <w:bCs/>
                <w:sz w:val="20"/>
                <w:szCs w:val="20"/>
              </w:rPr>
              <w:t xml:space="preserve"> serveru.</w:t>
            </w:r>
          </w:p>
          <w:p w14:paraId="6A1D0D3B" w14:textId="77777777" w:rsidR="000B4BD4" w:rsidRPr="0035187E" w:rsidRDefault="000B4BD4" w:rsidP="0035187E">
            <w:pPr>
              <w:jc w:val="both"/>
              <w:rPr>
                <w:rFonts w:ascii="Times New Roman" w:hAnsi="Times New Roman" w:cs="Times New Roman"/>
                <w:sz w:val="20"/>
                <w:szCs w:val="20"/>
                <w:u w:val="single"/>
              </w:rPr>
            </w:pPr>
          </w:p>
          <w:p w14:paraId="4758E81F" w14:textId="4FBEE9D2"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w:t>
            </w:r>
          </w:p>
          <w:p w14:paraId="38CDD8B6" w14:textId="77777777" w:rsidR="000B4BD4" w:rsidRPr="0035187E" w:rsidRDefault="000B4BD4" w:rsidP="0035187E">
            <w:p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 xml:space="preserve">V oblasti </w:t>
            </w:r>
            <w:proofErr w:type="spellStart"/>
            <w:r w:rsidRPr="0035187E">
              <w:rPr>
                <w:rFonts w:ascii="Times New Roman" w:eastAsia="Calibri" w:hAnsi="Times New Roman" w:cs="Times New Roman"/>
                <w:bCs/>
                <w:sz w:val="20"/>
                <w:szCs w:val="20"/>
              </w:rPr>
              <w:t>offline</w:t>
            </w:r>
            <w:proofErr w:type="spellEnd"/>
            <w:r w:rsidRPr="0035187E">
              <w:rPr>
                <w:rFonts w:ascii="Times New Roman" w:eastAsia="Calibri" w:hAnsi="Times New Roman" w:cs="Times New Roman"/>
                <w:bCs/>
                <w:sz w:val="20"/>
                <w:szCs w:val="20"/>
              </w:rPr>
              <w:t xml:space="preserve"> režimu, doby odezvy a integrity dat identifikujeme několik spolu souvisejících problémů, jejichž řešení spatřujeme ve výše uvedeném souboru navrhovaných změn.</w:t>
            </w:r>
          </w:p>
          <w:p w14:paraId="4BFF83BA" w14:textId="77777777" w:rsidR="000B4BD4" w:rsidRPr="0035187E" w:rsidRDefault="000B4BD4" w:rsidP="0035187E">
            <w:p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Při překročení mezní doby odezvy musí poplatník zaslat data „</w:t>
            </w:r>
            <w:r w:rsidRPr="0035187E">
              <w:rPr>
                <w:rFonts w:ascii="Times New Roman" w:eastAsia="Calibri" w:hAnsi="Times New Roman" w:cs="Times New Roman"/>
                <w:bCs/>
                <w:i/>
                <w:iCs/>
                <w:sz w:val="20"/>
                <w:szCs w:val="20"/>
              </w:rPr>
              <w:t>nejpozději do 48 hodin od uskutečnění evidované tržby</w:t>
            </w:r>
            <w:r w:rsidRPr="0035187E">
              <w:rPr>
                <w:rFonts w:ascii="Times New Roman" w:eastAsia="Calibri" w:hAnsi="Times New Roman" w:cs="Times New Roman"/>
                <w:bCs/>
                <w:sz w:val="20"/>
                <w:szCs w:val="20"/>
              </w:rPr>
              <w:t>“ (§ 21). Zákon neřeší situace, kdy výpadek trvá déle než 48 hodin (výpadek internetu, havárie serveru FS ČR, živelní událost, technická porucha zařízení). Po uplynutí 48 hodin se poplatník automaticky dostává do protiprávního stavu — bez ohledu na příčinu. Přitom programové prohlášení vlády explicitně slibuje, že systém „</w:t>
            </w:r>
            <w:r w:rsidRPr="0035187E">
              <w:rPr>
                <w:rFonts w:ascii="Times New Roman" w:eastAsia="Calibri" w:hAnsi="Times New Roman" w:cs="Times New Roman"/>
                <w:bCs/>
                <w:i/>
                <w:iCs/>
                <w:sz w:val="20"/>
                <w:szCs w:val="20"/>
              </w:rPr>
              <w:t>nebude vyžadovat neustálé on-line připojení</w:t>
            </w:r>
            <w:r w:rsidRPr="0035187E">
              <w:rPr>
                <w:rFonts w:ascii="Times New Roman" w:eastAsia="Calibri" w:hAnsi="Times New Roman" w:cs="Times New Roman"/>
                <w:bCs/>
                <w:sz w:val="20"/>
                <w:szCs w:val="20"/>
              </w:rPr>
              <w:t>“.</w:t>
            </w:r>
          </w:p>
          <w:p w14:paraId="246D4699" w14:textId="77777777" w:rsidR="000B4BD4" w:rsidRPr="0035187E" w:rsidRDefault="000B4BD4" w:rsidP="0035187E">
            <w:pPr>
              <w:tabs>
                <w:tab w:val="left" w:pos="567"/>
              </w:tabs>
              <w:jc w:val="both"/>
              <w:rPr>
                <w:rFonts w:ascii="Times New Roman" w:eastAsia="Calibri" w:hAnsi="Times New Roman" w:cs="Times New Roman"/>
                <w:b/>
                <w:sz w:val="20"/>
                <w:szCs w:val="20"/>
              </w:rPr>
            </w:pPr>
            <w:r w:rsidRPr="0035187E">
              <w:rPr>
                <w:rFonts w:ascii="Times New Roman" w:eastAsia="Calibri" w:hAnsi="Times New Roman" w:cs="Times New Roman"/>
                <w:b/>
                <w:sz w:val="20"/>
                <w:szCs w:val="20"/>
              </w:rPr>
              <w:t>Mezní doba odezvy – parametry bez vodítka</w:t>
            </w:r>
          </w:p>
          <w:p w14:paraId="0F3A0EC3" w14:textId="77777777" w:rsidR="000B4BD4" w:rsidRPr="0035187E" w:rsidRDefault="000B4BD4" w:rsidP="0035187E">
            <w:p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 20 odst. 2 stanoví, že mezní dobu odezvy nastaví poplatník „</w:t>
            </w:r>
            <w:r w:rsidRPr="0035187E">
              <w:rPr>
                <w:rFonts w:ascii="Times New Roman" w:eastAsia="Calibri" w:hAnsi="Times New Roman" w:cs="Times New Roman"/>
                <w:bCs/>
                <w:i/>
                <w:iCs/>
                <w:sz w:val="20"/>
                <w:szCs w:val="20"/>
              </w:rPr>
              <w:t>delší než 2 sekundy</w:t>
            </w:r>
            <w:r w:rsidRPr="0035187E">
              <w:rPr>
                <w:rFonts w:ascii="Times New Roman" w:eastAsia="Calibri" w:hAnsi="Times New Roman" w:cs="Times New Roman"/>
                <w:bCs/>
                <w:sz w:val="20"/>
                <w:szCs w:val="20"/>
              </w:rPr>
              <w:t>“ podle druhu činnosti a kvality připojení. Zákon stanoví pouze minimum (2 sekundy), nikoliv maximum ani doporučený rozsah.</w:t>
            </w:r>
          </w:p>
          <w:p w14:paraId="415504A3" w14:textId="77777777" w:rsidR="000B4BD4" w:rsidRPr="0035187E" w:rsidRDefault="000B4BD4" w:rsidP="0035187E">
            <w:p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Praktický paradox pro POS systém:</w:t>
            </w:r>
          </w:p>
          <w:p w14:paraId="759FCB16" w14:textId="77777777" w:rsidR="000B4BD4" w:rsidRPr="0035187E" w:rsidRDefault="000B4BD4" w:rsidP="0035187E">
            <w:pPr>
              <w:numPr>
                <w:ilvl w:val="0"/>
                <w:numId w:val="69"/>
              </w:numPr>
              <w:jc w:val="both"/>
              <w:rPr>
                <w:rFonts w:ascii="Times New Roman" w:hAnsi="Times New Roman" w:cs="Times New Roman"/>
                <w:bCs/>
                <w:sz w:val="20"/>
                <w:szCs w:val="20"/>
              </w:rPr>
            </w:pPr>
            <w:r w:rsidRPr="0035187E">
              <w:rPr>
                <w:rFonts w:ascii="Times New Roman" w:hAnsi="Times New Roman" w:cs="Times New Roman"/>
                <w:bCs/>
                <w:sz w:val="20"/>
                <w:szCs w:val="20"/>
              </w:rPr>
              <w:t xml:space="preserve">Poplatník, který nastaví 2 sekundy, bude při průměrném mobilním připojení často padat do </w:t>
            </w:r>
            <w:proofErr w:type="spellStart"/>
            <w:r w:rsidRPr="0035187E">
              <w:rPr>
                <w:rFonts w:ascii="Times New Roman" w:hAnsi="Times New Roman" w:cs="Times New Roman"/>
                <w:bCs/>
                <w:sz w:val="20"/>
                <w:szCs w:val="20"/>
              </w:rPr>
              <w:t>offline</w:t>
            </w:r>
            <w:proofErr w:type="spellEnd"/>
            <w:r w:rsidRPr="0035187E">
              <w:rPr>
                <w:rFonts w:ascii="Times New Roman" w:hAnsi="Times New Roman" w:cs="Times New Roman"/>
                <w:bCs/>
                <w:sz w:val="20"/>
                <w:szCs w:val="20"/>
              </w:rPr>
              <w:t xml:space="preserve"> režimu → 48hodinový limit → riziko sankce.</w:t>
            </w:r>
          </w:p>
          <w:p w14:paraId="0E3EFE16" w14:textId="77777777" w:rsidR="000B4BD4" w:rsidRPr="0035187E" w:rsidRDefault="000B4BD4" w:rsidP="0035187E">
            <w:pPr>
              <w:numPr>
                <w:ilvl w:val="0"/>
                <w:numId w:val="69"/>
              </w:numPr>
              <w:jc w:val="both"/>
              <w:rPr>
                <w:rFonts w:ascii="Times New Roman" w:hAnsi="Times New Roman" w:cs="Times New Roman"/>
                <w:bCs/>
                <w:sz w:val="20"/>
                <w:szCs w:val="20"/>
              </w:rPr>
            </w:pPr>
            <w:r w:rsidRPr="0035187E">
              <w:rPr>
                <w:rFonts w:ascii="Times New Roman" w:hAnsi="Times New Roman" w:cs="Times New Roman"/>
                <w:bCs/>
                <w:sz w:val="20"/>
                <w:szCs w:val="20"/>
              </w:rPr>
              <w:t>Poplatník, který nastaví 60 sekund, bude mít více úspěšných online evidencí — ale zákazník u pokladny čeká minutu.</w:t>
            </w:r>
          </w:p>
          <w:p w14:paraId="21A64578" w14:textId="77777777" w:rsidR="000B4BD4" w:rsidRPr="0035187E" w:rsidRDefault="000B4BD4" w:rsidP="0035187E">
            <w:pPr>
              <w:numPr>
                <w:ilvl w:val="0"/>
                <w:numId w:val="69"/>
              </w:numPr>
              <w:jc w:val="both"/>
              <w:rPr>
                <w:rFonts w:ascii="Times New Roman" w:hAnsi="Times New Roman" w:cs="Times New Roman"/>
                <w:bCs/>
                <w:sz w:val="20"/>
                <w:szCs w:val="20"/>
              </w:rPr>
            </w:pPr>
            <w:r w:rsidRPr="0035187E">
              <w:rPr>
                <w:rFonts w:ascii="Times New Roman" w:hAnsi="Times New Roman" w:cs="Times New Roman"/>
                <w:bCs/>
                <w:sz w:val="20"/>
                <w:szCs w:val="20"/>
              </w:rPr>
              <w:lastRenderedPageBreak/>
              <w:t>Zákon říká „</w:t>
            </w:r>
            <w:r w:rsidRPr="0035187E">
              <w:rPr>
                <w:rFonts w:ascii="Times New Roman" w:hAnsi="Times New Roman" w:cs="Times New Roman"/>
                <w:bCs/>
                <w:i/>
                <w:iCs/>
                <w:sz w:val="20"/>
                <w:szCs w:val="20"/>
              </w:rPr>
              <w:t>nemařit průběh evidence</w:t>
            </w:r>
            <w:r w:rsidRPr="0035187E">
              <w:rPr>
                <w:rFonts w:ascii="Times New Roman" w:hAnsi="Times New Roman" w:cs="Times New Roman"/>
                <w:bCs/>
                <w:sz w:val="20"/>
                <w:szCs w:val="20"/>
              </w:rPr>
              <w:t>“ (= nenastavovat příliš krátce), ale neříká „</w:t>
            </w:r>
            <w:r w:rsidRPr="0035187E">
              <w:rPr>
                <w:rFonts w:ascii="Times New Roman" w:hAnsi="Times New Roman" w:cs="Times New Roman"/>
                <w:bCs/>
                <w:i/>
                <w:iCs/>
                <w:sz w:val="20"/>
                <w:szCs w:val="20"/>
              </w:rPr>
              <w:t>nezatěžovat zákazníka</w:t>
            </w:r>
            <w:r w:rsidRPr="0035187E">
              <w:rPr>
                <w:rFonts w:ascii="Times New Roman" w:hAnsi="Times New Roman" w:cs="Times New Roman"/>
                <w:bCs/>
                <w:sz w:val="20"/>
                <w:szCs w:val="20"/>
              </w:rPr>
              <w:t>“ (= nenastavovat příliš dlouze).</w:t>
            </w:r>
          </w:p>
          <w:p w14:paraId="02C3DE45" w14:textId="77777777" w:rsidR="000B4BD4" w:rsidRPr="0035187E" w:rsidRDefault="000B4BD4" w:rsidP="0035187E">
            <w:pPr>
              <w:numPr>
                <w:ilvl w:val="0"/>
                <w:numId w:val="69"/>
              </w:numPr>
              <w:jc w:val="both"/>
              <w:rPr>
                <w:rFonts w:ascii="Times New Roman" w:hAnsi="Times New Roman" w:cs="Times New Roman"/>
                <w:bCs/>
                <w:sz w:val="20"/>
                <w:szCs w:val="20"/>
              </w:rPr>
            </w:pPr>
            <w:r w:rsidRPr="0035187E">
              <w:rPr>
                <w:rFonts w:ascii="Times New Roman" w:hAnsi="Times New Roman" w:cs="Times New Roman"/>
                <w:bCs/>
                <w:sz w:val="20"/>
                <w:szCs w:val="20"/>
              </w:rPr>
              <w:t>Důvodová zpráva k § 20 dodává, že poplatník musí „z</w:t>
            </w:r>
            <w:r w:rsidRPr="0035187E">
              <w:rPr>
                <w:rFonts w:ascii="Times New Roman" w:hAnsi="Times New Roman" w:cs="Times New Roman"/>
                <w:bCs/>
                <w:i/>
                <w:iCs/>
                <w:sz w:val="20"/>
                <w:szCs w:val="20"/>
              </w:rPr>
              <w:t>ohlednit délku doby zpracování zaslaných informací správcem daně</w:t>
            </w:r>
            <w:r w:rsidRPr="0035187E">
              <w:rPr>
                <w:rFonts w:ascii="Times New Roman" w:hAnsi="Times New Roman" w:cs="Times New Roman"/>
                <w:bCs/>
                <w:sz w:val="20"/>
                <w:szCs w:val="20"/>
              </w:rPr>
              <w:t>“ — ale tu poplatník předem nezná.</w:t>
            </w:r>
          </w:p>
          <w:p w14:paraId="2F32B018" w14:textId="77777777" w:rsidR="000B4BD4" w:rsidRPr="0035187E" w:rsidRDefault="000B4BD4" w:rsidP="0035187E">
            <w:pPr>
              <w:numPr>
                <w:ilvl w:val="0"/>
                <w:numId w:val="69"/>
              </w:numPr>
              <w:jc w:val="both"/>
              <w:rPr>
                <w:rFonts w:ascii="Times New Roman" w:hAnsi="Times New Roman" w:cs="Times New Roman"/>
                <w:bCs/>
                <w:sz w:val="20"/>
                <w:szCs w:val="20"/>
              </w:rPr>
            </w:pPr>
            <w:r w:rsidRPr="0035187E">
              <w:rPr>
                <w:rFonts w:ascii="Times New Roman" w:hAnsi="Times New Roman" w:cs="Times New Roman"/>
                <w:bCs/>
                <w:sz w:val="20"/>
                <w:szCs w:val="20"/>
              </w:rPr>
              <w:t>POS systém bude muset nastavit rozumný default — ale bez zákonného vodítka nese riziko, že jakékoliv nastavení bude zpětně zpochybněno při kontrole.</w:t>
            </w:r>
          </w:p>
          <w:p w14:paraId="469A56F2" w14:textId="77777777"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t>48 hodin – absolutní limit bez rozlišení příčiny</w:t>
            </w:r>
          </w:p>
          <w:p w14:paraId="2A0664AC" w14:textId="7777777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V praxi poplatníků jsou výpadky internetu delší než 48 hodin poměrně běžné (venkovské provozovny, stánkový prodej na akcích, mobilní prodej). Havárie serverů FS ČR (i u EET 1.0 k nim došlo) by znamenala, že VŠICHNI poplatníci se po 48 hodinách dostanou do porušení zákona. 48 hodin je absolutní limit — zákon nerozlišuje důvod (zavinění poplatníka vs. vyšší moc vs. výpadek na straně státu). Navíc při pokutě až do 500 tis. Kč je dopad na malé podnikatele nepřiměřený. Důvodová zpráva k § 21 uvádí, že důvody pro překročení mohou být „</w:t>
            </w:r>
            <w:r w:rsidRPr="0035187E">
              <w:rPr>
                <w:rFonts w:ascii="Times New Roman" w:hAnsi="Times New Roman" w:cs="Times New Roman"/>
                <w:bCs/>
                <w:i/>
                <w:iCs/>
                <w:sz w:val="20"/>
                <w:szCs w:val="20"/>
              </w:rPr>
              <w:t>jak z důvodu poruchy na straně správce daně či poskytovatele internetového připojení, tak v případě technických problémů na straně poplatníka</w:t>
            </w:r>
            <w:r w:rsidRPr="0035187E">
              <w:rPr>
                <w:rFonts w:ascii="Times New Roman" w:hAnsi="Times New Roman" w:cs="Times New Roman"/>
                <w:bCs/>
                <w:sz w:val="20"/>
                <w:szCs w:val="20"/>
              </w:rPr>
              <w:t>“ — ale zákon tyto příčiny nijak nerozlišuje z hlediska odpovědnosti.</w:t>
            </w:r>
          </w:p>
          <w:p w14:paraId="5250DD65" w14:textId="77777777" w:rsidR="000B4BD4" w:rsidRPr="0035187E" w:rsidRDefault="000B4BD4" w:rsidP="0035187E">
            <w:pPr>
              <w:jc w:val="both"/>
              <w:rPr>
                <w:rFonts w:ascii="Times New Roman" w:hAnsi="Times New Roman" w:cs="Times New Roman"/>
                <w:bCs/>
                <w:sz w:val="20"/>
                <w:szCs w:val="20"/>
              </w:rPr>
            </w:pPr>
            <w:proofErr w:type="spellStart"/>
            <w:r w:rsidRPr="0035187E">
              <w:rPr>
                <w:rFonts w:ascii="Times New Roman" w:hAnsi="Times New Roman" w:cs="Times New Roman"/>
                <w:b/>
                <w:sz w:val="20"/>
                <w:szCs w:val="20"/>
              </w:rPr>
              <w:t>Phantom</w:t>
            </w:r>
            <w:proofErr w:type="spellEnd"/>
            <w:r w:rsidRPr="0035187E">
              <w:rPr>
                <w:rFonts w:ascii="Times New Roman" w:hAnsi="Times New Roman" w:cs="Times New Roman"/>
                <w:b/>
                <w:sz w:val="20"/>
                <w:szCs w:val="20"/>
              </w:rPr>
              <w:t xml:space="preserve"> </w:t>
            </w:r>
            <w:proofErr w:type="spellStart"/>
            <w:r w:rsidRPr="0035187E">
              <w:rPr>
                <w:rFonts w:ascii="Times New Roman" w:hAnsi="Times New Roman" w:cs="Times New Roman"/>
                <w:b/>
                <w:sz w:val="20"/>
                <w:szCs w:val="20"/>
              </w:rPr>
              <w:t>Duplicate</w:t>
            </w:r>
            <w:proofErr w:type="spellEnd"/>
            <w:r w:rsidRPr="0035187E">
              <w:rPr>
                <w:rFonts w:ascii="Times New Roman" w:hAnsi="Times New Roman" w:cs="Times New Roman"/>
                <w:b/>
                <w:sz w:val="20"/>
                <w:szCs w:val="20"/>
              </w:rPr>
              <w:t xml:space="preserve"> – ztracená odpověď a dvojí evidence tržby</w:t>
            </w:r>
          </w:p>
          <w:p w14:paraId="034A4D67" w14:textId="7777777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Lze si představit následující scénář:</w:t>
            </w:r>
          </w:p>
          <w:p w14:paraId="5488167F" w14:textId="7777777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noProof/>
                <w:sz w:val="20"/>
                <w:szCs w:val="20"/>
              </w:rPr>
              <w:drawing>
                <wp:inline distT="0" distB="0" distL="0" distR="0" wp14:anchorId="27C28826" wp14:editId="7E1CEB29">
                  <wp:extent cx="4265930" cy="2377440"/>
                  <wp:effectExtent l="0" t="0" r="1270" b="3810"/>
                  <wp:docPr id="1867107555" name="Obrázek 1" descr="Obsah obrázku text, řada/pruh, Písmo, čísl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7107555" name="Obrázek 1" descr="Obsah obrázku text, řada/pruh, Písmo, číslo&#10;&#10;Popis byl vytvořen automaticky"/>
                          <pic:cNvPicPr/>
                        </pic:nvPicPr>
                        <pic:blipFill>
                          <a:blip r:embed="rId15"/>
                          <a:stretch>
                            <a:fillRect/>
                          </a:stretch>
                        </pic:blipFill>
                        <pic:spPr>
                          <a:xfrm>
                            <a:off x="0" y="0"/>
                            <a:ext cx="4265930" cy="2377440"/>
                          </a:xfrm>
                          <a:prstGeom prst="rect">
                            <a:avLst/>
                          </a:prstGeom>
                        </pic:spPr>
                      </pic:pic>
                    </a:graphicData>
                  </a:graphic>
                </wp:inline>
              </w:drawing>
            </w:r>
          </w:p>
          <w:p w14:paraId="03D3FB2E" w14:textId="7777777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Takový scénář je reálný a častý. Jde o klasický problém „</w:t>
            </w:r>
            <w:proofErr w:type="spellStart"/>
            <w:r w:rsidRPr="0035187E">
              <w:rPr>
                <w:rFonts w:ascii="Times New Roman" w:hAnsi="Times New Roman" w:cs="Times New Roman"/>
                <w:bCs/>
                <w:i/>
                <w:iCs/>
                <w:sz w:val="20"/>
                <w:szCs w:val="20"/>
              </w:rPr>
              <w:t>at</w:t>
            </w:r>
            <w:proofErr w:type="spellEnd"/>
            <w:r w:rsidRPr="0035187E">
              <w:rPr>
                <w:rFonts w:ascii="Times New Roman" w:hAnsi="Times New Roman" w:cs="Times New Roman"/>
                <w:bCs/>
                <w:i/>
                <w:iCs/>
                <w:sz w:val="20"/>
                <w:szCs w:val="20"/>
              </w:rPr>
              <w:t>-least-</w:t>
            </w:r>
            <w:proofErr w:type="spellStart"/>
            <w:r w:rsidRPr="0035187E">
              <w:rPr>
                <w:rFonts w:ascii="Times New Roman" w:hAnsi="Times New Roman" w:cs="Times New Roman"/>
                <w:bCs/>
                <w:i/>
                <w:iCs/>
                <w:sz w:val="20"/>
                <w:szCs w:val="20"/>
              </w:rPr>
              <w:t>once</w:t>
            </w:r>
            <w:proofErr w:type="spellEnd"/>
            <w:r w:rsidRPr="0035187E">
              <w:rPr>
                <w:rFonts w:ascii="Times New Roman" w:hAnsi="Times New Roman" w:cs="Times New Roman"/>
                <w:bCs/>
                <w:i/>
                <w:iCs/>
                <w:sz w:val="20"/>
                <w:szCs w:val="20"/>
              </w:rPr>
              <w:t xml:space="preserve"> </w:t>
            </w:r>
            <w:proofErr w:type="spellStart"/>
            <w:r w:rsidRPr="0035187E">
              <w:rPr>
                <w:rFonts w:ascii="Times New Roman" w:hAnsi="Times New Roman" w:cs="Times New Roman"/>
                <w:bCs/>
                <w:i/>
                <w:iCs/>
                <w:sz w:val="20"/>
                <w:szCs w:val="20"/>
              </w:rPr>
              <w:t>delivery</w:t>
            </w:r>
            <w:proofErr w:type="spellEnd"/>
            <w:r w:rsidRPr="0035187E">
              <w:rPr>
                <w:rFonts w:ascii="Times New Roman" w:hAnsi="Times New Roman" w:cs="Times New Roman"/>
                <w:bCs/>
                <w:sz w:val="20"/>
                <w:szCs w:val="20"/>
              </w:rPr>
              <w:t>“ v distribuovaných systémech. Odpověď serveru se ztratí (</w:t>
            </w:r>
            <w:proofErr w:type="spellStart"/>
            <w:r w:rsidRPr="0035187E">
              <w:rPr>
                <w:rFonts w:ascii="Times New Roman" w:hAnsi="Times New Roman" w:cs="Times New Roman"/>
                <w:bCs/>
                <w:i/>
                <w:iCs/>
                <w:sz w:val="20"/>
                <w:szCs w:val="20"/>
              </w:rPr>
              <w:t>timeout</w:t>
            </w:r>
            <w:proofErr w:type="spellEnd"/>
            <w:r w:rsidRPr="0035187E">
              <w:rPr>
                <w:rFonts w:ascii="Times New Roman" w:hAnsi="Times New Roman" w:cs="Times New Roman"/>
                <w:bCs/>
                <w:sz w:val="20"/>
                <w:szCs w:val="20"/>
              </w:rPr>
              <w:t xml:space="preserve">, </w:t>
            </w:r>
            <w:r w:rsidRPr="0035187E">
              <w:rPr>
                <w:rFonts w:ascii="Times New Roman" w:hAnsi="Times New Roman" w:cs="Times New Roman"/>
                <w:bCs/>
                <w:i/>
                <w:iCs/>
                <w:sz w:val="20"/>
                <w:szCs w:val="20"/>
              </w:rPr>
              <w:t>reset</w:t>
            </w:r>
            <w:r w:rsidRPr="0035187E">
              <w:rPr>
                <w:rFonts w:ascii="Times New Roman" w:hAnsi="Times New Roman" w:cs="Times New Roman"/>
                <w:bCs/>
                <w:sz w:val="20"/>
                <w:szCs w:val="20"/>
              </w:rPr>
              <w:t xml:space="preserve"> TCP spojení, přetížení sítě), ale požadavek byl zpracován. POS legitimně neví, zda server zprávu přijal — jediné, co ví, je, že nedostal potvrzovací kód. Podle § 21 je proto povinen zprávu odeslat.</w:t>
            </w:r>
          </w:p>
          <w:p w14:paraId="7657D38C" w14:textId="7777777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Co říká návrh zákona:</w:t>
            </w:r>
          </w:p>
          <w:p w14:paraId="225B98C6" w14:textId="77777777" w:rsidR="000B4BD4" w:rsidRPr="0035187E" w:rsidRDefault="000B4BD4" w:rsidP="0035187E">
            <w:pPr>
              <w:numPr>
                <w:ilvl w:val="0"/>
                <w:numId w:val="69"/>
              </w:numPr>
              <w:jc w:val="both"/>
              <w:rPr>
                <w:rFonts w:ascii="Times New Roman" w:hAnsi="Times New Roman" w:cs="Times New Roman"/>
                <w:bCs/>
                <w:sz w:val="20"/>
                <w:szCs w:val="20"/>
              </w:rPr>
            </w:pPr>
            <w:r w:rsidRPr="0035187E">
              <w:rPr>
                <w:rFonts w:ascii="Times New Roman" w:hAnsi="Times New Roman" w:cs="Times New Roman"/>
                <w:bCs/>
                <w:sz w:val="20"/>
                <w:szCs w:val="20"/>
              </w:rPr>
              <w:t>§ 17 odst. 1: Zaevidování nastává zasláním údajů, ne přijetím potvrzení. První odeslání tedy tržbu už zaevidovalo — i když POS o tom neví.</w:t>
            </w:r>
          </w:p>
          <w:p w14:paraId="2F00A199" w14:textId="77777777" w:rsidR="000B4BD4" w:rsidRPr="0035187E" w:rsidRDefault="000B4BD4" w:rsidP="0035187E">
            <w:pPr>
              <w:numPr>
                <w:ilvl w:val="0"/>
                <w:numId w:val="69"/>
              </w:numPr>
              <w:jc w:val="both"/>
              <w:rPr>
                <w:rFonts w:ascii="Times New Roman" w:hAnsi="Times New Roman" w:cs="Times New Roman"/>
                <w:bCs/>
                <w:sz w:val="20"/>
                <w:szCs w:val="20"/>
              </w:rPr>
            </w:pPr>
            <w:r w:rsidRPr="0035187E">
              <w:rPr>
                <w:rFonts w:ascii="Times New Roman" w:hAnsi="Times New Roman" w:cs="Times New Roman"/>
                <w:bCs/>
                <w:sz w:val="20"/>
                <w:szCs w:val="20"/>
              </w:rPr>
              <w:lastRenderedPageBreak/>
              <w:t>§ 20 odst. 1: Doba odezvy se měří do „</w:t>
            </w:r>
            <w:r w:rsidRPr="0035187E">
              <w:rPr>
                <w:rFonts w:ascii="Times New Roman" w:hAnsi="Times New Roman" w:cs="Times New Roman"/>
                <w:bCs/>
                <w:i/>
                <w:iCs/>
                <w:sz w:val="20"/>
                <w:szCs w:val="20"/>
              </w:rPr>
              <w:t>přijetí potvrzovacího kódu</w:t>
            </w:r>
            <w:r w:rsidRPr="0035187E">
              <w:rPr>
                <w:rFonts w:ascii="Times New Roman" w:hAnsi="Times New Roman" w:cs="Times New Roman"/>
                <w:bCs/>
                <w:sz w:val="20"/>
                <w:szCs w:val="20"/>
              </w:rPr>
              <w:t>“. Kód nedorazil → mezní doba překročena → § 21 se aktivuje.</w:t>
            </w:r>
          </w:p>
          <w:p w14:paraId="464430DD" w14:textId="77777777" w:rsidR="000B4BD4" w:rsidRPr="0035187E" w:rsidRDefault="000B4BD4" w:rsidP="0035187E">
            <w:pPr>
              <w:numPr>
                <w:ilvl w:val="0"/>
                <w:numId w:val="69"/>
              </w:numPr>
              <w:jc w:val="both"/>
              <w:rPr>
                <w:rFonts w:ascii="Times New Roman" w:hAnsi="Times New Roman" w:cs="Times New Roman"/>
                <w:bCs/>
                <w:sz w:val="20"/>
                <w:szCs w:val="20"/>
              </w:rPr>
            </w:pPr>
            <w:r w:rsidRPr="0035187E">
              <w:rPr>
                <w:rFonts w:ascii="Times New Roman" w:hAnsi="Times New Roman" w:cs="Times New Roman"/>
                <w:bCs/>
                <w:sz w:val="20"/>
                <w:szCs w:val="20"/>
              </w:rPr>
              <w:t>§ 21: Poplatník musí zaslat údaje znovu „</w:t>
            </w:r>
            <w:r w:rsidRPr="0035187E">
              <w:rPr>
                <w:rFonts w:ascii="Times New Roman" w:hAnsi="Times New Roman" w:cs="Times New Roman"/>
                <w:bCs/>
                <w:i/>
                <w:iCs/>
                <w:sz w:val="20"/>
                <w:szCs w:val="20"/>
              </w:rPr>
              <w:t>bezodkladně po pominutí příčiny</w:t>
            </w:r>
            <w:r w:rsidRPr="0035187E">
              <w:rPr>
                <w:rFonts w:ascii="Times New Roman" w:hAnsi="Times New Roman" w:cs="Times New Roman"/>
                <w:bCs/>
                <w:sz w:val="20"/>
                <w:szCs w:val="20"/>
              </w:rPr>
              <w:t>“. POS splní zákon a odešle podruhé.</w:t>
            </w:r>
          </w:p>
          <w:p w14:paraId="411376A9" w14:textId="77777777" w:rsidR="000B4BD4" w:rsidRPr="0035187E" w:rsidRDefault="000B4BD4" w:rsidP="0035187E">
            <w:pPr>
              <w:numPr>
                <w:ilvl w:val="0"/>
                <w:numId w:val="69"/>
              </w:numPr>
              <w:jc w:val="both"/>
              <w:rPr>
                <w:rFonts w:ascii="Times New Roman" w:hAnsi="Times New Roman" w:cs="Times New Roman"/>
                <w:bCs/>
                <w:sz w:val="20"/>
                <w:szCs w:val="20"/>
              </w:rPr>
            </w:pPr>
            <w:r w:rsidRPr="0035187E">
              <w:rPr>
                <w:rFonts w:ascii="Times New Roman" w:hAnsi="Times New Roman" w:cs="Times New Roman"/>
                <w:bCs/>
                <w:sz w:val="20"/>
                <w:szCs w:val="20"/>
              </w:rPr>
              <w:t>Výsledek: Na serveru FS ČR je tatáž tržba dvakrát.</w:t>
            </w:r>
          </w:p>
          <w:p w14:paraId="22BC0C36" w14:textId="77777777" w:rsidR="000B4BD4" w:rsidRPr="0035187E" w:rsidRDefault="000B4BD4" w:rsidP="0035187E">
            <w:pPr>
              <w:jc w:val="both"/>
              <w:rPr>
                <w:rFonts w:ascii="Times New Roman" w:hAnsi="Times New Roman" w:cs="Times New Roman"/>
                <w:bCs/>
                <w:sz w:val="20"/>
                <w:szCs w:val="20"/>
              </w:rPr>
            </w:pPr>
          </w:p>
          <w:p w14:paraId="232D2CCA" w14:textId="7777777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Co zákon neřeší:</w:t>
            </w:r>
          </w:p>
          <w:p w14:paraId="171C0B91" w14:textId="77777777" w:rsidR="000B4BD4" w:rsidRPr="0035187E" w:rsidRDefault="000B4BD4" w:rsidP="0035187E">
            <w:pPr>
              <w:numPr>
                <w:ilvl w:val="0"/>
                <w:numId w:val="69"/>
              </w:numPr>
              <w:jc w:val="both"/>
              <w:rPr>
                <w:rFonts w:ascii="Times New Roman" w:hAnsi="Times New Roman" w:cs="Times New Roman"/>
                <w:bCs/>
                <w:sz w:val="20"/>
                <w:szCs w:val="20"/>
              </w:rPr>
            </w:pPr>
            <w:r w:rsidRPr="0035187E">
              <w:rPr>
                <w:rFonts w:ascii="Times New Roman" w:hAnsi="Times New Roman" w:cs="Times New Roman"/>
                <w:bCs/>
                <w:sz w:val="20"/>
                <w:szCs w:val="20"/>
              </w:rPr>
              <w:t xml:space="preserve">Zda server musí provádět </w:t>
            </w:r>
            <w:proofErr w:type="spellStart"/>
            <w:r w:rsidRPr="0035187E">
              <w:rPr>
                <w:rFonts w:ascii="Times New Roman" w:hAnsi="Times New Roman" w:cs="Times New Roman"/>
                <w:bCs/>
                <w:sz w:val="20"/>
                <w:szCs w:val="20"/>
              </w:rPr>
              <w:t>deduplikaci</w:t>
            </w:r>
            <w:proofErr w:type="spellEnd"/>
            <w:r w:rsidRPr="0035187E">
              <w:rPr>
                <w:rFonts w:ascii="Times New Roman" w:hAnsi="Times New Roman" w:cs="Times New Roman"/>
                <w:bCs/>
                <w:sz w:val="20"/>
                <w:szCs w:val="20"/>
              </w:rPr>
              <w:t>. Pokud přijde druhá zpráva se stejným pořadovým číslem tržby (§ 18 odst. 1 písm. d), ale jinou identifikací zprávy (§ 18 odst. 1 písm. g)) — má server odmítnout, přepsat, nebo zaevidovat podruhé? Návrh zákona situaci nijak neupravuje.</w:t>
            </w:r>
          </w:p>
          <w:p w14:paraId="29F46669" w14:textId="77777777" w:rsidR="000B4BD4" w:rsidRPr="0035187E" w:rsidRDefault="000B4BD4" w:rsidP="0035187E">
            <w:pPr>
              <w:numPr>
                <w:ilvl w:val="0"/>
                <w:numId w:val="69"/>
              </w:numPr>
              <w:jc w:val="both"/>
              <w:rPr>
                <w:rFonts w:ascii="Times New Roman" w:hAnsi="Times New Roman" w:cs="Times New Roman"/>
                <w:bCs/>
                <w:sz w:val="20"/>
                <w:szCs w:val="20"/>
              </w:rPr>
            </w:pPr>
            <w:r w:rsidRPr="0035187E">
              <w:rPr>
                <w:rFonts w:ascii="Times New Roman" w:hAnsi="Times New Roman" w:cs="Times New Roman"/>
                <w:bCs/>
                <w:sz w:val="20"/>
                <w:szCs w:val="20"/>
              </w:rPr>
              <w:t>Zda „</w:t>
            </w:r>
            <w:r w:rsidRPr="0035187E">
              <w:rPr>
                <w:rFonts w:ascii="Times New Roman" w:hAnsi="Times New Roman" w:cs="Times New Roman"/>
                <w:bCs/>
                <w:i/>
                <w:iCs/>
                <w:sz w:val="20"/>
                <w:szCs w:val="20"/>
              </w:rPr>
              <w:t>pořadové číslo tržby</w:t>
            </w:r>
            <w:r w:rsidRPr="0035187E">
              <w:rPr>
                <w:rFonts w:ascii="Times New Roman" w:hAnsi="Times New Roman" w:cs="Times New Roman"/>
                <w:bCs/>
                <w:sz w:val="20"/>
                <w:szCs w:val="20"/>
              </w:rPr>
              <w:t>“ musí být unikátní. Návrh zákona to nestanoví. Důvodová zpráva říká, že „</w:t>
            </w:r>
            <w:r w:rsidRPr="0035187E">
              <w:rPr>
                <w:rFonts w:ascii="Times New Roman" w:hAnsi="Times New Roman" w:cs="Times New Roman"/>
                <w:bCs/>
                <w:i/>
                <w:iCs/>
                <w:sz w:val="20"/>
                <w:szCs w:val="20"/>
              </w:rPr>
              <w:t>konkrétní detail určí správce daně v rámci datové struktury</w:t>
            </w:r>
            <w:r w:rsidRPr="0035187E">
              <w:rPr>
                <w:rFonts w:ascii="Times New Roman" w:hAnsi="Times New Roman" w:cs="Times New Roman"/>
                <w:bCs/>
                <w:sz w:val="20"/>
                <w:szCs w:val="20"/>
              </w:rPr>
              <w:t xml:space="preserve">“ (k § 18). Pokud číslo nemusí být unikátní, server nemá podle čeho </w:t>
            </w:r>
            <w:proofErr w:type="spellStart"/>
            <w:r w:rsidRPr="0035187E">
              <w:rPr>
                <w:rFonts w:ascii="Times New Roman" w:hAnsi="Times New Roman" w:cs="Times New Roman"/>
                <w:bCs/>
                <w:sz w:val="20"/>
                <w:szCs w:val="20"/>
              </w:rPr>
              <w:t>deduplikovat</w:t>
            </w:r>
            <w:proofErr w:type="spellEnd"/>
            <w:r w:rsidRPr="0035187E">
              <w:rPr>
                <w:rFonts w:ascii="Times New Roman" w:hAnsi="Times New Roman" w:cs="Times New Roman"/>
                <w:bCs/>
                <w:sz w:val="20"/>
                <w:szCs w:val="20"/>
              </w:rPr>
              <w:t>.</w:t>
            </w:r>
          </w:p>
          <w:p w14:paraId="20098E7B" w14:textId="77777777" w:rsidR="000B4BD4" w:rsidRPr="0035187E" w:rsidRDefault="000B4BD4" w:rsidP="0035187E">
            <w:pPr>
              <w:numPr>
                <w:ilvl w:val="0"/>
                <w:numId w:val="69"/>
              </w:numPr>
              <w:jc w:val="both"/>
              <w:rPr>
                <w:rFonts w:ascii="Times New Roman" w:hAnsi="Times New Roman" w:cs="Times New Roman"/>
                <w:bCs/>
                <w:sz w:val="20"/>
                <w:szCs w:val="20"/>
              </w:rPr>
            </w:pPr>
            <w:r w:rsidRPr="0035187E">
              <w:rPr>
                <w:rFonts w:ascii="Times New Roman" w:hAnsi="Times New Roman" w:cs="Times New Roman"/>
                <w:bCs/>
                <w:sz w:val="20"/>
                <w:szCs w:val="20"/>
              </w:rPr>
              <w:t>Zda „</w:t>
            </w:r>
            <w:r w:rsidRPr="0035187E">
              <w:rPr>
                <w:rFonts w:ascii="Times New Roman" w:hAnsi="Times New Roman" w:cs="Times New Roman"/>
                <w:bCs/>
                <w:i/>
                <w:iCs/>
                <w:sz w:val="20"/>
                <w:szCs w:val="20"/>
              </w:rPr>
              <w:t>identifikace datové zprávy</w:t>
            </w:r>
            <w:r w:rsidRPr="0035187E">
              <w:rPr>
                <w:rFonts w:ascii="Times New Roman" w:hAnsi="Times New Roman" w:cs="Times New Roman"/>
                <w:bCs/>
                <w:sz w:val="20"/>
                <w:szCs w:val="20"/>
              </w:rPr>
              <w:t xml:space="preserve">“ (§ 18 odst. 1 písm. g)) je </w:t>
            </w:r>
            <w:proofErr w:type="spellStart"/>
            <w:r w:rsidRPr="0035187E">
              <w:rPr>
                <w:rFonts w:ascii="Times New Roman" w:hAnsi="Times New Roman" w:cs="Times New Roman"/>
                <w:bCs/>
                <w:sz w:val="20"/>
                <w:szCs w:val="20"/>
              </w:rPr>
              <w:t>idempotentní</w:t>
            </w:r>
            <w:proofErr w:type="spellEnd"/>
            <w:r w:rsidRPr="0035187E">
              <w:rPr>
                <w:rFonts w:ascii="Times New Roman" w:hAnsi="Times New Roman" w:cs="Times New Roman"/>
                <w:bCs/>
                <w:sz w:val="20"/>
                <w:szCs w:val="20"/>
              </w:rPr>
              <w:t xml:space="preserve"> klíč. Pokud POS při opakovaném odeslání použije stejnou identifikaci, server by mohl rozpoznat duplikát. Ale návrh zákona to nepředepisuje a POS může legitimně generovat nový </w:t>
            </w:r>
            <w:proofErr w:type="spellStart"/>
            <w:r w:rsidRPr="0035187E">
              <w:rPr>
                <w:rFonts w:ascii="Times New Roman" w:hAnsi="Times New Roman" w:cs="Times New Roman"/>
                <w:bCs/>
                <w:sz w:val="20"/>
                <w:szCs w:val="20"/>
              </w:rPr>
              <w:t>message</w:t>
            </w:r>
            <w:proofErr w:type="spellEnd"/>
            <w:r w:rsidRPr="0035187E">
              <w:rPr>
                <w:rFonts w:ascii="Times New Roman" w:hAnsi="Times New Roman" w:cs="Times New Roman"/>
                <w:bCs/>
                <w:sz w:val="20"/>
                <w:szCs w:val="20"/>
              </w:rPr>
              <w:t xml:space="preserve"> ID pro každý pokus.</w:t>
            </w:r>
          </w:p>
          <w:p w14:paraId="29ABD156" w14:textId="77777777" w:rsidR="000B4BD4" w:rsidRPr="0035187E" w:rsidRDefault="000B4BD4" w:rsidP="0035187E">
            <w:pPr>
              <w:numPr>
                <w:ilvl w:val="0"/>
                <w:numId w:val="69"/>
              </w:numPr>
              <w:jc w:val="both"/>
              <w:rPr>
                <w:rFonts w:ascii="Times New Roman" w:hAnsi="Times New Roman" w:cs="Times New Roman"/>
                <w:bCs/>
                <w:sz w:val="20"/>
                <w:szCs w:val="20"/>
              </w:rPr>
            </w:pPr>
            <w:r w:rsidRPr="0035187E">
              <w:rPr>
                <w:rFonts w:ascii="Times New Roman" w:hAnsi="Times New Roman" w:cs="Times New Roman"/>
                <w:bCs/>
                <w:sz w:val="20"/>
                <w:szCs w:val="20"/>
              </w:rPr>
              <w:t>Kdo nese odpovědnost za duplikát. Poplatník udělal vše správně — odeslal (§ 17), nedostal odpověď, odeslal (§ 21). Ale FS ČR má tržbu dvakrát. Kdo to opraví? § 9 (storno) řeší vrácení tržby, ne opravu duplikátu. A poplatník ani neví, že má stornovat — z jeho pohledu vše proběhlo korektně.</w:t>
            </w:r>
          </w:p>
          <w:p w14:paraId="3F8AA31D" w14:textId="77777777" w:rsidR="000B4BD4" w:rsidRPr="0035187E" w:rsidRDefault="000B4BD4" w:rsidP="0035187E">
            <w:pPr>
              <w:numPr>
                <w:ilvl w:val="0"/>
                <w:numId w:val="69"/>
              </w:numPr>
              <w:jc w:val="both"/>
              <w:rPr>
                <w:rFonts w:ascii="Times New Roman" w:hAnsi="Times New Roman" w:cs="Times New Roman"/>
                <w:bCs/>
                <w:sz w:val="20"/>
                <w:szCs w:val="20"/>
              </w:rPr>
            </w:pPr>
            <w:r w:rsidRPr="0035187E">
              <w:rPr>
                <w:rFonts w:ascii="Times New Roman" w:hAnsi="Times New Roman" w:cs="Times New Roman"/>
                <w:bCs/>
                <w:sz w:val="20"/>
                <w:szCs w:val="20"/>
              </w:rPr>
              <w:t>Dopad na celkový evidovaný obrat. Pokud k duplikátům dochází systematicky (špatné připojení, přetížený server FS ČR), evidovaný obrat poplatníka na serveru FS ČR bude vyšší než reálný. Při kontrole to vypadá jako nesrovnalost — paradoxně v neprospěch poplatníka.</w:t>
            </w:r>
          </w:p>
          <w:p w14:paraId="44A06554" w14:textId="7777777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U EET 1.0 toto řešila kombinace dvou mechanismů:</w:t>
            </w:r>
          </w:p>
          <w:p w14:paraId="585C2087" w14:textId="77777777" w:rsidR="000B4BD4" w:rsidRPr="0035187E" w:rsidRDefault="000B4BD4" w:rsidP="0035187E">
            <w:pPr>
              <w:numPr>
                <w:ilvl w:val="0"/>
                <w:numId w:val="69"/>
              </w:numPr>
              <w:jc w:val="both"/>
              <w:rPr>
                <w:rFonts w:ascii="Times New Roman" w:hAnsi="Times New Roman" w:cs="Times New Roman"/>
                <w:bCs/>
                <w:sz w:val="20"/>
                <w:szCs w:val="20"/>
              </w:rPr>
            </w:pPr>
            <w:r w:rsidRPr="0035187E">
              <w:rPr>
                <w:rFonts w:ascii="Times New Roman" w:hAnsi="Times New Roman" w:cs="Times New Roman"/>
                <w:bCs/>
                <w:sz w:val="20"/>
                <w:szCs w:val="20"/>
              </w:rPr>
              <w:t>FIK (fiskální identifikační kód) — unikátní kód ze serveru, potvrzení přijetí,</w:t>
            </w:r>
          </w:p>
          <w:p w14:paraId="6158D327" w14:textId="77777777" w:rsidR="000B4BD4" w:rsidRPr="0035187E" w:rsidRDefault="000B4BD4" w:rsidP="0035187E">
            <w:pPr>
              <w:numPr>
                <w:ilvl w:val="0"/>
                <w:numId w:val="69"/>
              </w:numPr>
              <w:jc w:val="both"/>
              <w:rPr>
                <w:rFonts w:ascii="Times New Roman" w:hAnsi="Times New Roman" w:cs="Times New Roman"/>
                <w:bCs/>
                <w:sz w:val="20"/>
                <w:szCs w:val="20"/>
              </w:rPr>
            </w:pPr>
            <w:r w:rsidRPr="0035187E">
              <w:rPr>
                <w:rFonts w:ascii="Times New Roman" w:hAnsi="Times New Roman" w:cs="Times New Roman"/>
                <w:bCs/>
                <w:sz w:val="20"/>
                <w:szCs w:val="20"/>
              </w:rPr>
              <w:t xml:space="preserve">BKP (bezpečnostní kód poplatníka) — kryptografický </w:t>
            </w:r>
            <w:proofErr w:type="spellStart"/>
            <w:r w:rsidRPr="0035187E">
              <w:rPr>
                <w:rFonts w:ascii="Times New Roman" w:hAnsi="Times New Roman" w:cs="Times New Roman"/>
                <w:bCs/>
                <w:sz w:val="20"/>
                <w:szCs w:val="20"/>
              </w:rPr>
              <w:t>hash</w:t>
            </w:r>
            <w:proofErr w:type="spellEnd"/>
            <w:r w:rsidRPr="0035187E">
              <w:rPr>
                <w:rFonts w:ascii="Times New Roman" w:hAnsi="Times New Roman" w:cs="Times New Roman"/>
                <w:bCs/>
                <w:sz w:val="20"/>
                <w:szCs w:val="20"/>
              </w:rPr>
              <w:t xml:space="preserve"> generovaný POS z údajů tržby, deterministický (stejná tržba = stejný BKP).</w:t>
            </w:r>
          </w:p>
          <w:p w14:paraId="0ADC6827" w14:textId="014355E9"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bCs/>
                <w:sz w:val="20"/>
                <w:szCs w:val="20"/>
              </w:rPr>
              <w:t xml:space="preserve">BKP sloužil jako de facto </w:t>
            </w:r>
            <w:proofErr w:type="spellStart"/>
            <w:r w:rsidRPr="0035187E">
              <w:rPr>
                <w:rFonts w:ascii="Times New Roman" w:hAnsi="Times New Roman" w:cs="Times New Roman"/>
                <w:bCs/>
                <w:sz w:val="20"/>
                <w:szCs w:val="20"/>
              </w:rPr>
              <w:t>idempotentní</w:t>
            </w:r>
            <w:proofErr w:type="spellEnd"/>
            <w:r w:rsidRPr="0035187E">
              <w:rPr>
                <w:rFonts w:ascii="Times New Roman" w:hAnsi="Times New Roman" w:cs="Times New Roman"/>
                <w:bCs/>
                <w:sz w:val="20"/>
                <w:szCs w:val="20"/>
              </w:rPr>
              <w:t xml:space="preserve"> klíč: pokud server dostal dvě zprávy se stejným BKP, věděl, že jde o tutéž tržbu. EET 2.0 BKP nemá — zákon ho zrušil spolu s dalšími „</w:t>
            </w:r>
            <w:r w:rsidRPr="0035187E">
              <w:rPr>
                <w:rFonts w:ascii="Times New Roman" w:hAnsi="Times New Roman" w:cs="Times New Roman"/>
                <w:bCs/>
                <w:i/>
                <w:iCs/>
                <w:sz w:val="20"/>
                <w:szCs w:val="20"/>
              </w:rPr>
              <w:t>redukovanými</w:t>
            </w:r>
            <w:r w:rsidRPr="0035187E">
              <w:rPr>
                <w:rFonts w:ascii="Times New Roman" w:hAnsi="Times New Roman" w:cs="Times New Roman"/>
                <w:bCs/>
                <w:sz w:val="20"/>
                <w:szCs w:val="20"/>
              </w:rPr>
              <w:t>“ údaji.</w:t>
            </w:r>
          </w:p>
        </w:tc>
        <w:tc>
          <w:tcPr>
            <w:tcW w:w="1453" w:type="pct"/>
            <w:tcBorders>
              <w:top w:val="single" w:sz="4" w:space="0" w:color="auto"/>
              <w:left w:val="single" w:sz="4" w:space="0" w:color="auto"/>
              <w:right w:val="single" w:sz="4" w:space="0" w:color="auto"/>
            </w:tcBorders>
            <w:shd w:val="clear" w:color="auto" w:fill="auto"/>
          </w:tcPr>
          <w:p w14:paraId="2B31B3E2" w14:textId="1232D454" w:rsidR="000B4BD4" w:rsidRPr="0035187E" w:rsidRDefault="00994CA4"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Ad a) a b)</w:t>
            </w:r>
            <w:r w:rsidR="00132AAC" w:rsidRPr="0035187E">
              <w:rPr>
                <w:rFonts w:ascii="Times New Roman" w:hAnsi="Times New Roman" w:cs="Times New Roman"/>
                <w:b/>
                <w:sz w:val="20"/>
                <w:szCs w:val="20"/>
              </w:rPr>
              <w:t xml:space="preserve"> -</w:t>
            </w:r>
            <w:r w:rsidR="00132AAC" w:rsidRPr="0035187E">
              <w:rPr>
                <w:rFonts w:ascii="Times New Roman" w:hAnsi="Times New Roman" w:cs="Times New Roman"/>
                <w:sz w:val="20"/>
                <w:szCs w:val="20"/>
              </w:rPr>
              <w:t xml:space="preserve"> </w:t>
            </w:r>
            <w:r w:rsidRPr="0035187E">
              <w:rPr>
                <w:rFonts w:ascii="Times New Roman" w:hAnsi="Times New Roman" w:cs="Times New Roman"/>
                <w:b/>
                <w:sz w:val="20"/>
                <w:szCs w:val="20"/>
              </w:rPr>
              <w:t>Nevyhověno.</w:t>
            </w:r>
          </w:p>
          <w:p w14:paraId="69066DD5" w14:textId="238B3392" w:rsidR="00132AAC" w:rsidRPr="0035187E" w:rsidRDefault="00132AAC" w:rsidP="0035187E">
            <w:pPr>
              <w:jc w:val="both"/>
              <w:rPr>
                <w:rFonts w:ascii="Times New Roman" w:hAnsi="Times New Roman" w:cs="Times New Roman"/>
                <w:sz w:val="20"/>
                <w:szCs w:val="20"/>
              </w:rPr>
            </w:pPr>
            <w:r w:rsidRPr="0035187E">
              <w:rPr>
                <w:rFonts w:ascii="Times New Roman" w:hAnsi="Times New Roman" w:cs="Times New Roman"/>
                <w:sz w:val="20"/>
                <w:szCs w:val="20"/>
              </w:rPr>
              <w:t>Lhůta 48 hodin se jeví jako dostatečná pro to, aby pokryla standardní jevy. Její prodloužení zvyšuje riziko</w:t>
            </w:r>
            <w:r w:rsidR="006E0E11" w:rsidRPr="0035187E">
              <w:rPr>
                <w:rFonts w:ascii="Times New Roman" w:hAnsi="Times New Roman" w:cs="Times New Roman"/>
                <w:sz w:val="20"/>
                <w:szCs w:val="20"/>
              </w:rPr>
              <w:t xml:space="preserve"> úpravy údajů.</w:t>
            </w:r>
          </w:p>
          <w:p w14:paraId="43085AE1" w14:textId="15CF55DD" w:rsidR="00132AAC" w:rsidRPr="0035187E" w:rsidRDefault="00132AAC" w:rsidP="0035187E">
            <w:pPr>
              <w:jc w:val="both"/>
              <w:rPr>
                <w:rFonts w:ascii="Times New Roman" w:hAnsi="Times New Roman" w:cs="Times New Roman"/>
                <w:sz w:val="20"/>
                <w:szCs w:val="20"/>
              </w:rPr>
            </w:pPr>
            <w:r w:rsidRPr="0035187E">
              <w:rPr>
                <w:rFonts w:ascii="Times New Roman" w:hAnsi="Times New Roman" w:cs="Times New Roman"/>
                <w:sz w:val="20"/>
                <w:szCs w:val="20"/>
              </w:rPr>
              <w:t>Mimořádné a nepředvídatelné události dlouhodobějšího rázu pak budou důvodem pro liberaci, resp. neuložení sankce, a to bez ohledu na to, zda nastaly na straně správce daně, nebo na straně poplatníka.</w:t>
            </w:r>
            <w:r w:rsidR="00BA5E30" w:rsidRPr="0035187E">
              <w:rPr>
                <w:rFonts w:ascii="Times New Roman" w:hAnsi="Times New Roman" w:cs="Times New Roman"/>
                <w:sz w:val="20"/>
                <w:szCs w:val="20"/>
              </w:rPr>
              <w:t xml:space="preserve"> Není systémovým řešením tyto obecné principy normovat pouze u některých vymezení přestupků či jiných deliktů a popírat tak jejich univerzalitu a obecnou platnost.</w:t>
            </w:r>
          </w:p>
          <w:p w14:paraId="04AE15DA" w14:textId="77777777" w:rsidR="00132AAC" w:rsidRPr="0035187E" w:rsidRDefault="00132AAC" w:rsidP="0035187E">
            <w:pPr>
              <w:jc w:val="both"/>
              <w:rPr>
                <w:rFonts w:ascii="Times New Roman" w:hAnsi="Times New Roman" w:cs="Times New Roman"/>
                <w:b/>
                <w:sz w:val="20"/>
                <w:szCs w:val="20"/>
              </w:rPr>
            </w:pPr>
          </w:p>
          <w:p w14:paraId="56C28B50" w14:textId="77777777" w:rsidR="00F2204A" w:rsidRPr="0035187E" w:rsidRDefault="00994CA4" w:rsidP="0035187E">
            <w:pPr>
              <w:jc w:val="both"/>
              <w:rPr>
                <w:rFonts w:ascii="Times New Roman" w:hAnsi="Times New Roman" w:cs="Times New Roman"/>
                <w:b/>
                <w:sz w:val="20"/>
                <w:szCs w:val="20"/>
              </w:rPr>
            </w:pPr>
            <w:r w:rsidRPr="0035187E">
              <w:rPr>
                <w:rFonts w:ascii="Times New Roman" w:hAnsi="Times New Roman" w:cs="Times New Roman"/>
                <w:b/>
                <w:sz w:val="20"/>
                <w:szCs w:val="20"/>
              </w:rPr>
              <w:t xml:space="preserve">Ad c) </w:t>
            </w:r>
            <w:r w:rsidR="00F2204A" w:rsidRPr="0035187E">
              <w:rPr>
                <w:rFonts w:ascii="Times New Roman" w:hAnsi="Times New Roman" w:cs="Times New Roman"/>
                <w:b/>
                <w:sz w:val="20"/>
                <w:szCs w:val="20"/>
              </w:rPr>
              <w:t>Vyhověno jinak.</w:t>
            </w:r>
          </w:p>
          <w:p w14:paraId="00677334" w14:textId="4B67BAF5" w:rsidR="00F2204A" w:rsidRPr="0035187E" w:rsidRDefault="00F2204A"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 ve prospěch doplnění normy stanovující správci daně povinnost určit a zveřejnit způsobem umožňujícím dálkový přístup podmínky a způsob přijímání, potvrzování a další zpracování datové zprávy o evidované tržbě na společném technickém zařízení správce daně. Detailní řešení ohledně duplikátů bude obsaženo v metodice k technické specifikaci.</w:t>
            </w:r>
          </w:p>
          <w:p w14:paraId="5F7D6852" w14:textId="77777777" w:rsidR="00F2204A" w:rsidRPr="0035187E" w:rsidRDefault="00F2204A" w:rsidP="0035187E">
            <w:pPr>
              <w:jc w:val="both"/>
              <w:rPr>
                <w:rFonts w:ascii="Times New Roman" w:hAnsi="Times New Roman" w:cs="Times New Roman"/>
                <w:sz w:val="20"/>
                <w:szCs w:val="20"/>
              </w:rPr>
            </w:pPr>
          </w:p>
          <w:p w14:paraId="0305F4D4" w14:textId="77777777" w:rsidR="00F2204A" w:rsidRPr="0035187E" w:rsidRDefault="00F2204A" w:rsidP="0035187E">
            <w:pPr>
              <w:rPr>
                <w:rFonts w:ascii="Times New Roman" w:hAnsi="Times New Roman" w:cs="Times New Roman"/>
                <w:sz w:val="20"/>
                <w:szCs w:val="20"/>
              </w:rPr>
            </w:pPr>
            <w:r w:rsidRPr="0035187E">
              <w:rPr>
                <w:rFonts w:ascii="Times New Roman" w:hAnsi="Times New Roman" w:cs="Times New Roman"/>
                <w:sz w:val="20"/>
                <w:szCs w:val="20"/>
              </w:rPr>
              <w:t>Současně platí, že podrobnosti k jednotlivým tématům budou metodicky upraveny a zveřejněny ze strany Generálního finančního ředitelství.</w:t>
            </w:r>
          </w:p>
          <w:p w14:paraId="47B75D4B" w14:textId="77777777" w:rsidR="00F2204A" w:rsidRPr="0035187E" w:rsidRDefault="00F2204A" w:rsidP="0035187E">
            <w:pPr>
              <w:jc w:val="both"/>
              <w:rPr>
                <w:rFonts w:ascii="Times New Roman" w:hAnsi="Times New Roman" w:cs="Times New Roman"/>
                <w:sz w:val="20"/>
                <w:szCs w:val="20"/>
              </w:rPr>
            </w:pPr>
          </w:p>
          <w:p w14:paraId="449448B4" w14:textId="635BE08E" w:rsidR="00994CA4" w:rsidRPr="0035187E" w:rsidRDefault="00994CA4" w:rsidP="0035187E">
            <w:pPr>
              <w:jc w:val="both"/>
              <w:rPr>
                <w:rFonts w:ascii="Times New Roman" w:hAnsi="Times New Roman" w:cs="Times New Roman"/>
                <w:sz w:val="20"/>
                <w:szCs w:val="20"/>
              </w:rPr>
            </w:pPr>
          </w:p>
        </w:tc>
      </w:tr>
      <w:tr w:rsidR="0035187E" w:rsidRPr="0035187E" w14:paraId="03787021"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D8A3772" w14:textId="14FF210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40.</w:t>
            </w:r>
          </w:p>
        </w:tc>
        <w:tc>
          <w:tcPr>
            <w:tcW w:w="583" w:type="pct"/>
            <w:tcBorders>
              <w:top w:val="single" w:sz="4" w:space="0" w:color="auto"/>
              <w:left w:val="single" w:sz="4" w:space="0" w:color="auto"/>
              <w:right w:val="single" w:sz="4" w:space="0" w:color="auto"/>
            </w:tcBorders>
            <w:shd w:val="clear" w:color="auto" w:fill="auto"/>
          </w:tcPr>
          <w:p w14:paraId="6A7E0CA5" w14:textId="1AA2A62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00B7F614" w14:textId="0E9DC22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31.</w:t>
            </w:r>
          </w:p>
        </w:tc>
        <w:tc>
          <w:tcPr>
            <w:tcW w:w="169" w:type="pct"/>
            <w:tcBorders>
              <w:top w:val="single" w:sz="4" w:space="0" w:color="auto"/>
              <w:left w:val="single" w:sz="4" w:space="0" w:color="auto"/>
              <w:right w:val="single" w:sz="4" w:space="0" w:color="auto"/>
            </w:tcBorders>
            <w:shd w:val="clear" w:color="auto" w:fill="auto"/>
          </w:tcPr>
          <w:p w14:paraId="2C681277" w14:textId="552EE1C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BD96F43" w14:textId="77777777" w:rsidR="000B4BD4" w:rsidRPr="0035187E" w:rsidRDefault="000B4BD4" w:rsidP="0035187E">
            <w:pPr>
              <w:numPr>
                <w:ilvl w:val="0"/>
                <w:numId w:val="70"/>
              </w:numPr>
              <w:tabs>
                <w:tab w:val="left" w:pos="567"/>
              </w:tabs>
              <w:ind w:left="0" w:firstLine="4"/>
              <w:jc w:val="both"/>
              <w:rPr>
                <w:rFonts w:ascii="Times New Roman" w:eastAsia="Calibri" w:hAnsi="Times New Roman" w:cs="Times New Roman"/>
                <w:b/>
                <w:sz w:val="20"/>
                <w:szCs w:val="20"/>
              </w:rPr>
            </w:pPr>
            <w:r w:rsidRPr="0035187E">
              <w:rPr>
                <w:rFonts w:ascii="Times New Roman" w:eastAsia="Calibri" w:hAnsi="Times New Roman" w:cs="Times New Roman"/>
                <w:b/>
                <w:sz w:val="20"/>
                <w:szCs w:val="20"/>
              </w:rPr>
              <w:t>Připomínka k § 21</w:t>
            </w:r>
          </w:p>
          <w:p w14:paraId="49F74654" w14:textId="77777777" w:rsidR="000B4BD4" w:rsidRPr="0035187E" w:rsidRDefault="000B4BD4" w:rsidP="0035187E">
            <w:pPr>
              <w:tabs>
                <w:tab w:val="left" w:pos="567"/>
              </w:tabs>
              <w:jc w:val="both"/>
              <w:rPr>
                <w:rFonts w:ascii="Times New Roman" w:eastAsia="Calibri" w:hAnsi="Times New Roman" w:cs="Times New Roman"/>
                <w:bCs/>
                <w:sz w:val="20"/>
                <w:szCs w:val="20"/>
              </w:rPr>
            </w:pPr>
          </w:p>
          <w:p w14:paraId="5F8E63C2" w14:textId="1E76ADD3" w:rsidR="000B4BD4" w:rsidRPr="0035187E" w:rsidRDefault="000B4BD4" w:rsidP="0035187E">
            <w:p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Požadujeme pro stánkový prodej na jednorázových akcích prodloužit lhůtu dle § 21 na 4 pracovní dny po provedení objednávky.</w:t>
            </w:r>
          </w:p>
          <w:p w14:paraId="74960495" w14:textId="77777777" w:rsidR="000B4BD4" w:rsidRPr="0035187E" w:rsidRDefault="000B4BD4" w:rsidP="0035187E">
            <w:p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Alternativně požadujeme doplnit do ustanovení § 21 nový odstavec v následujícím znění:</w:t>
            </w:r>
          </w:p>
          <w:p w14:paraId="3A3AB2AD" w14:textId="77777777" w:rsidR="000B4BD4" w:rsidRPr="0035187E" w:rsidRDefault="000B4BD4" w:rsidP="0035187E">
            <w:pPr>
              <w:tabs>
                <w:tab w:val="left" w:pos="567"/>
              </w:tabs>
              <w:jc w:val="both"/>
              <w:rPr>
                <w:rFonts w:ascii="Times New Roman" w:eastAsia="Calibri" w:hAnsi="Times New Roman" w:cs="Times New Roman"/>
                <w:bCs/>
                <w:i/>
                <w:iCs/>
                <w:sz w:val="20"/>
                <w:szCs w:val="20"/>
              </w:rPr>
            </w:pPr>
            <w:r w:rsidRPr="0035187E">
              <w:rPr>
                <w:rFonts w:ascii="Times New Roman" w:eastAsia="Calibri" w:hAnsi="Times New Roman" w:cs="Times New Roman"/>
                <w:bCs/>
                <w:i/>
                <w:iCs/>
                <w:sz w:val="20"/>
                <w:szCs w:val="20"/>
              </w:rPr>
              <w:t>„</w:t>
            </w:r>
            <w:r w:rsidRPr="0035187E">
              <w:rPr>
                <w:rFonts w:ascii="Times New Roman" w:eastAsia="Calibri" w:hAnsi="Times New Roman" w:cs="Times New Roman"/>
                <w:b/>
                <w:i/>
                <w:iCs/>
                <w:sz w:val="20"/>
                <w:szCs w:val="20"/>
              </w:rPr>
              <w:t>V případě tržeb uskutečněných v rámci stánkového prodeje na jednorázové akci trvající nejdéle 14 dnů, kde okolnosti zásadně ztěžují evidenci tržeb v běžném režimu, je poplatník povinen zaslat údaje o evidované tržbě správci daně nejpozději do 4 pracovních dnů od skončení akce</w:t>
            </w:r>
            <w:r w:rsidRPr="0035187E">
              <w:rPr>
                <w:rFonts w:ascii="Times New Roman" w:eastAsia="Calibri" w:hAnsi="Times New Roman" w:cs="Times New Roman"/>
                <w:bCs/>
                <w:i/>
                <w:iCs/>
                <w:sz w:val="20"/>
                <w:szCs w:val="20"/>
              </w:rPr>
              <w:t>.“</w:t>
            </w:r>
          </w:p>
          <w:p w14:paraId="1433ED19" w14:textId="77777777" w:rsidR="000B4BD4" w:rsidRPr="0035187E" w:rsidRDefault="000B4BD4" w:rsidP="0035187E">
            <w:pPr>
              <w:jc w:val="both"/>
              <w:rPr>
                <w:rFonts w:ascii="Times New Roman" w:hAnsi="Times New Roman" w:cs="Times New Roman"/>
                <w:sz w:val="20"/>
                <w:szCs w:val="20"/>
                <w:u w:val="single"/>
              </w:rPr>
            </w:pPr>
          </w:p>
          <w:p w14:paraId="78E57C13" w14:textId="2E51D3B7"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w:t>
            </w:r>
          </w:p>
          <w:p w14:paraId="16D5CDF4" w14:textId="77777777" w:rsidR="000B4BD4" w:rsidRPr="0035187E" w:rsidRDefault="000B4BD4" w:rsidP="0035187E">
            <w:pPr>
              <w:jc w:val="both"/>
              <w:rPr>
                <w:rFonts w:ascii="Times New Roman" w:hAnsi="Times New Roman" w:cs="Times New Roman"/>
                <w:i/>
                <w:iCs/>
                <w:sz w:val="20"/>
                <w:szCs w:val="20"/>
              </w:rPr>
            </w:pPr>
            <w:r w:rsidRPr="0035187E">
              <w:rPr>
                <w:rFonts w:ascii="Times New Roman" w:hAnsi="Times New Roman" w:cs="Times New Roman"/>
                <w:sz w:val="20"/>
                <w:szCs w:val="20"/>
              </w:rPr>
              <w:t xml:space="preserve">Návrh zákona v § 20 zavádí institut </w:t>
            </w:r>
            <w:r w:rsidRPr="0035187E">
              <w:rPr>
                <w:rFonts w:ascii="Times New Roman" w:hAnsi="Times New Roman" w:cs="Times New Roman"/>
                <w:i/>
                <w:iCs/>
                <w:sz w:val="20"/>
                <w:szCs w:val="20"/>
              </w:rPr>
              <w:t>„mezní doby odezvy“</w:t>
            </w:r>
            <w:r w:rsidRPr="0035187E">
              <w:rPr>
                <w:rFonts w:ascii="Times New Roman" w:hAnsi="Times New Roman" w:cs="Times New Roman"/>
                <w:sz w:val="20"/>
                <w:szCs w:val="20"/>
              </w:rPr>
              <w:t xml:space="preserve">, kterou si poplatník nastaví na více než 2 sekundy dle druhu své činnosti. Klíčový je § 21, který stanoví, že při překročení mezní doby odezvy je poplatník povinen zaslat údaje správci daně </w:t>
            </w:r>
            <w:r w:rsidRPr="0035187E">
              <w:rPr>
                <w:rFonts w:ascii="Times New Roman" w:hAnsi="Times New Roman" w:cs="Times New Roman"/>
                <w:i/>
                <w:iCs/>
                <w:sz w:val="20"/>
                <w:szCs w:val="20"/>
              </w:rPr>
              <w:t>„bezodkladně po pominutí příčiny, nejpozději však do 48 hodin od uskutečnění evidované tržby“.</w:t>
            </w:r>
          </w:p>
          <w:p w14:paraId="234AD698"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Toto řešení představuje významné zlepšení oproti původnímu EET 1.0. Nicméně pro specifické podmínky stánkového prodeje na jednorázových akcích (festivaly, trhy, jarmarky) je však 48hodinová lhůta nedostatečná.</w:t>
            </w:r>
          </w:p>
          <w:p w14:paraId="09174D9A"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Festivaly a jednorázové kulturní akce mají specifické provozní podmínky, které zásadně odlišují stánkový prodej od běžného maloobchodu:</w:t>
            </w:r>
          </w:p>
          <w:p w14:paraId="5E08D241"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 xml:space="preserve">Trvání akce: Festivaly typicky trvají 2-4 dny, velké akce stále častěji nabízejí i možnost příjezdu o den dříve, čímž se prodlužuje právě i doba pro stánkový prodej. </w:t>
            </w:r>
          </w:p>
          <w:p w14:paraId="1376E221"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 xml:space="preserve">Objem transakcí: Festivaly často nabízejí desítky až stovky výdejních míst, společnosti jako </w:t>
            </w:r>
            <w:proofErr w:type="spellStart"/>
            <w:r w:rsidRPr="0035187E">
              <w:rPr>
                <w:rFonts w:ascii="Times New Roman" w:eastAsia="Calibri" w:hAnsi="Times New Roman" w:cs="Times New Roman"/>
                <w:bCs/>
                <w:sz w:val="20"/>
                <w:szCs w:val="20"/>
              </w:rPr>
              <w:t>NFCtron</w:t>
            </w:r>
            <w:proofErr w:type="spellEnd"/>
            <w:r w:rsidRPr="0035187E">
              <w:rPr>
                <w:rFonts w:ascii="Times New Roman" w:eastAsia="Calibri" w:hAnsi="Times New Roman" w:cs="Times New Roman"/>
                <w:bCs/>
                <w:sz w:val="20"/>
                <w:szCs w:val="20"/>
              </w:rPr>
              <w:t xml:space="preserve"> průměrně dodávají na festivaly okolo 70 prodejních zařízení s největšími akcemi čítající až 500 prodejních zařízení. Počet transakcí u většiny jednorázových festivalů dokáže překročit desítky tisíc transakcí, většinou vytvořených okolo večerních hodin. </w:t>
            </w:r>
          </w:p>
          <w:p w14:paraId="52CDCFA6"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 xml:space="preserve">Konektivita: Ačkoliv se sítě neustále zlepšují, zajištění řádného internetového připojení na festivalech je finančně často extrémně náročné a stále není technicky možné se připravit na nejvytíženější momenty. Navíc prostorově mohou být na festivalech slepá místa. </w:t>
            </w:r>
          </w:p>
          <w:p w14:paraId="3CA3EDF8" w14:textId="77777777" w:rsidR="000B4BD4" w:rsidRPr="0035187E" w:rsidRDefault="000B4BD4" w:rsidP="0035187E">
            <w:pPr>
              <w:numPr>
                <w:ilvl w:val="0"/>
                <w:numId w:val="69"/>
              </w:numPr>
              <w:jc w:val="both"/>
              <w:rPr>
                <w:rFonts w:ascii="Times New Roman" w:hAnsi="Times New Roman" w:cs="Times New Roman"/>
                <w:sz w:val="20"/>
                <w:szCs w:val="20"/>
              </w:rPr>
            </w:pPr>
            <w:r w:rsidRPr="0035187E">
              <w:rPr>
                <w:rFonts w:ascii="Times New Roman" w:eastAsia="Calibri" w:hAnsi="Times New Roman" w:cs="Times New Roman"/>
                <w:bCs/>
                <w:sz w:val="20"/>
                <w:szCs w:val="20"/>
              </w:rPr>
              <w:t>Centrální zpracování: Na festivalech s bezhotovostními systémy jsou terminály vydány prodejcům pouze pro akci a na konci akce zase vráceny, kdy se kontrolují synchronizace a uzávěrky dat pro vyúčtování po akci.</w:t>
            </w:r>
          </w:p>
          <w:p w14:paraId="77ED14B0"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Lhůta 48 hodin je teoreticky adekvátní (i když i ta – jak dokládáme v odůvodnění dalších připomínek – je v současném nastavení velmi problematická) pro běžné krátkodobé výpadky konektivity v kamenných provozovnách. Pro festivaly a jednorázové akce, kde je absence stabilního připojení systémovým rysem prostředí (nikoli výjimečným výpadkem), je tato lhůta jednoznačně nepřiměřená. Navrhovaná 4denní lhůta umožňuje bezpečnou centrální synchronizaci dat a zachovává plnou transparentnost tržeb pro správce daně.</w:t>
            </w:r>
          </w:p>
          <w:p w14:paraId="2F9937B9" w14:textId="3BD31DCF"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Důvodová zpráva v bodu 500 sama konstatuje: „</w:t>
            </w:r>
            <w:r w:rsidRPr="0035187E">
              <w:rPr>
                <w:rFonts w:ascii="Times New Roman" w:hAnsi="Times New Roman" w:cs="Times New Roman"/>
                <w:i/>
                <w:iCs/>
                <w:sz w:val="20"/>
                <w:szCs w:val="20"/>
              </w:rPr>
              <w:t>Tam, kde povaha podnikatelské činnosti (...) vylučuje realizaci kontaktní platby (...), lze legitimně slevit z potřeby realizovat evidenci tržeb.</w:t>
            </w:r>
            <w:r w:rsidRPr="0035187E">
              <w:rPr>
                <w:rFonts w:ascii="Times New Roman" w:hAnsi="Times New Roman" w:cs="Times New Roman"/>
                <w:sz w:val="20"/>
                <w:szCs w:val="20"/>
              </w:rPr>
              <w:t>“ Festivaly přesně odpovídají této charakteristice.</w:t>
            </w:r>
          </w:p>
        </w:tc>
        <w:tc>
          <w:tcPr>
            <w:tcW w:w="1453" w:type="pct"/>
            <w:tcBorders>
              <w:top w:val="single" w:sz="4" w:space="0" w:color="auto"/>
              <w:left w:val="single" w:sz="4" w:space="0" w:color="auto"/>
              <w:right w:val="single" w:sz="4" w:space="0" w:color="auto"/>
            </w:tcBorders>
            <w:shd w:val="clear" w:color="auto" w:fill="auto"/>
          </w:tcPr>
          <w:p w14:paraId="44A3583C" w14:textId="77777777" w:rsidR="00BA5E30" w:rsidRPr="0035187E" w:rsidRDefault="00F2204A"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Nevyhověno.</w:t>
            </w:r>
          </w:p>
          <w:p w14:paraId="23FB870B" w14:textId="6B076176" w:rsidR="00F2204A" w:rsidRPr="0035187E" w:rsidRDefault="000F53B3" w:rsidP="0035187E">
            <w:pPr>
              <w:jc w:val="both"/>
              <w:rPr>
                <w:rFonts w:ascii="Times New Roman" w:hAnsi="Times New Roman" w:cs="Times New Roman"/>
                <w:sz w:val="20"/>
                <w:szCs w:val="20"/>
              </w:rPr>
            </w:pPr>
            <w:r w:rsidRPr="0035187E">
              <w:rPr>
                <w:rFonts w:ascii="Times New Roman" w:hAnsi="Times New Roman" w:cs="Times New Roman"/>
                <w:sz w:val="20"/>
                <w:szCs w:val="20"/>
              </w:rPr>
              <w:t>Není žádoucí modifikovat obecné pravidlo ohledně délky lhůty pro dodatečné zaslání údajů o evidované tržbě.</w:t>
            </w:r>
          </w:p>
        </w:tc>
      </w:tr>
      <w:tr w:rsidR="0035187E" w:rsidRPr="0035187E" w14:paraId="42A7B78F"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E724385" w14:textId="6CCD81E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40.</w:t>
            </w:r>
          </w:p>
        </w:tc>
        <w:tc>
          <w:tcPr>
            <w:tcW w:w="583" w:type="pct"/>
            <w:tcBorders>
              <w:top w:val="single" w:sz="4" w:space="0" w:color="auto"/>
              <w:left w:val="single" w:sz="4" w:space="0" w:color="auto"/>
              <w:right w:val="single" w:sz="4" w:space="0" w:color="auto"/>
            </w:tcBorders>
            <w:shd w:val="clear" w:color="auto" w:fill="auto"/>
          </w:tcPr>
          <w:p w14:paraId="409516E0" w14:textId="22FE7E2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329B7188" w14:textId="314BB38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32.</w:t>
            </w:r>
          </w:p>
        </w:tc>
        <w:tc>
          <w:tcPr>
            <w:tcW w:w="169" w:type="pct"/>
            <w:tcBorders>
              <w:top w:val="single" w:sz="4" w:space="0" w:color="auto"/>
              <w:left w:val="single" w:sz="4" w:space="0" w:color="auto"/>
              <w:right w:val="single" w:sz="4" w:space="0" w:color="auto"/>
            </w:tcBorders>
            <w:shd w:val="clear" w:color="auto" w:fill="auto"/>
          </w:tcPr>
          <w:p w14:paraId="105F464D" w14:textId="4034168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F75E8C1" w14:textId="77777777" w:rsidR="000B4BD4" w:rsidRPr="0035187E" w:rsidRDefault="000B4BD4" w:rsidP="0035187E">
            <w:pPr>
              <w:numPr>
                <w:ilvl w:val="0"/>
                <w:numId w:val="70"/>
              </w:numPr>
              <w:tabs>
                <w:tab w:val="left" w:pos="567"/>
              </w:tabs>
              <w:ind w:left="0" w:firstLine="0"/>
              <w:jc w:val="both"/>
              <w:rPr>
                <w:rFonts w:ascii="Times New Roman" w:eastAsia="Calibri" w:hAnsi="Times New Roman" w:cs="Times New Roman"/>
                <w:b/>
                <w:sz w:val="20"/>
                <w:szCs w:val="20"/>
              </w:rPr>
            </w:pPr>
            <w:r w:rsidRPr="0035187E">
              <w:rPr>
                <w:rFonts w:ascii="Times New Roman" w:eastAsia="Calibri" w:hAnsi="Times New Roman" w:cs="Times New Roman"/>
                <w:b/>
                <w:sz w:val="20"/>
                <w:szCs w:val="20"/>
              </w:rPr>
              <w:t>Připomínka k části druhé, změna zákona o daních z příjmů, novelizační bod 1</w:t>
            </w:r>
          </w:p>
          <w:p w14:paraId="496F1479" w14:textId="77777777" w:rsidR="000B4BD4" w:rsidRPr="0035187E" w:rsidRDefault="000B4BD4" w:rsidP="0035187E">
            <w:p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Požadujeme legislativně zpřesnit pojem „příjmy ze samostatné činnosti“ uvedený v novém ustanovení § 2b odst. 1 písm. a).</w:t>
            </w:r>
          </w:p>
          <w:p w14:paraId="69A1B8E2" w14:textId="77777777" w:rsidR="000B4BD4" w:rsidRPr="0035187E" w:rsidRDefault="000B4BD4" w:rsidP="0035187E">
            <w:pPr>
              <w:jc w:val="both"/>
              <w:rPr>
                <w:rFonts w:ascii="Times New Roman" w:hAnsi="Times New Roman" w:cs="Times New Roman"/>
                <w:sz w:val="20"/>
                <w:szCs w:val="20"/>
                <w:u w:val="single"/>
              </w:rPr>
            </w:pPr>
          </w:p>
          <w:p w14:paraId="45713010" w14:textId="3D5B10D6"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w:t>
            </w:r>
          </w:p>
          <w:p w14:paraId="3218ADEC" w14:textId="7A501D14" w:rsidR="000B4BD4" w:rsidRPr="0035187E" w:rsidRDefault="000B4BD4" w:rsidP="0035187E">
            <w:pPr>
              <w:tabs>
                <w:tab w:val="left" w:pos="567"/>
              </w:tabs>
              <w:jc w:val="both"/>
              <w:rPr>
                <w:rFonts w:ascii="Times New Roman" w:hAnsi="Times New Roman" w:cs="Times New Roman"/>
                <w:sz w:val="20"/>
                <w:szCs w:val="20"/>
              </w:rPr>
            </w:pPr>
            <w:r w:rsidRPr="0035187E">
              <w:rPr>
                <w:rFonts w:ascii="Times New Roman" w:eastAsia="Calibri" w:hAnsi="Times New Roman" w:cs="Times New Roman"/>
                <w:bCs/>
                <w:sz w:val="20"/>
                <w:szCs w:val="20"/>
              </w:rPr>
              <w:t xml:space="preserve">Limit 1 000 000 Kč představuje klíčovou podmínku pro možnost přihlášení k přirážce zprošťující povinnosti evidovat tržby. Použitý pojem „příjmy ze samostatné činnosti“ však </w:t>
            </w:r>
            <w:r w:rsidRPr="0035187E">
              <w:rPr>
                <w:rFonts w:ascii="Times New Roman" w:eastAsia="Calibri" w:hAnsi="Times New Roman" w:cs="Times New Roman"/>
                <w:bCs/>
                <w:sz w:val="20"/>
                <w:szCs w:val="20"/>
              </w:rPr>
              <w:lastRenderedPageBreak/>
              <w:t>není v návrhu blíže specifikován a není zřejmé, zda se jedná o všechny příjmy podle § 7 zákona o daních z příjmů, anebo o příjmy rozhodné pro vstup do paušálního režimu. Upřesnění pojmu by přispělo k odstranění případných výkladových nejasností při aplikaci zákona.</w:t>
            </w:r>
          </w:p>
        </w:tc>
        <w:tc>
          <w:tcPr>
            <w:tcW w:w="1453" w:type="pct"/>
            <w:tcBorders>
              <w:top w:val="single" w:sz="4" w:space="0" w:color="auto"/>
              <w:left w:val="single" w:sz="4" w:space="0" w:color="auto"/>
              <w:right w:val="single" w:sz="4" w:space="0" w:color="auto"/>
            </w:tcBorders>
            <w:shd w:val="clear" w:color="auto" w:fill="auto"/>
          </w:tcPr>
          <w:p w14:paraId="179DBDA9" w14:textId="77777777" w:rsidR="00970286" w:rsidRPr="0035187E" w:rsidRDefault="00970286"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Vyhověno.</w:t>
            </w:r>
          </w:p>
          <w:p w14:paraId="1981BDBC" w14:textId="77777777" w:rsidR="00970286" w:rsidRPr="0035187E" w:rsidRDefault="00970286" w:rsidP="0035187E">
            <w:pPr>
              <w:tabs>
                <w:tab w:val="left" w:pos="567"/>
              </w:tabs>
              <w:jc w:val="both"/>
              <w:rPr>
                <w:rFonts w:ascii="Times New Roman" w:hAnsi="Times New Roman" w:cs="Times New Roman"/>
                <w:bCs/>
                <w:sz w:val="20"/>
                <w:szCs w:val="20"/>
              </w:rPr>
            </w:pPr>
            <w:r w:rsidRPr="0035187E">
              <w:rPr>
                <w:rFonts w:ascii="Times New Roman" w:hAnsi="Times New Roman" w:cs="Times New Roman"/>
                <w:sz w:val="20"/>
                <w:szCs w:val="20"/>
              </w:rPr>
              <w:t xml:space="preserve">Legislativně upraveno tak, aby na příjmy ze samostatné činnosti uvedené v novém ustanovení § 2b odst. 1 písm. a) bylo možné aplikovat </w:t>
            </w:r>
            <w:proofErr w:type="spellStart"/>
            <w:r w:rsidRPr="0035187E">
              <w:rPr>
                <w:rFonts w:ascii="Times New Roman" w:hAnsi="Times New Roman" w:cs="Times New Roman"/>
                <w:sz w:val="20"/>
                <w:szCs w:val="20"/>
              </w:rPr>
              <w:t>ust</w:t>
            </w:r>
            <w:proofErr w:type="spellEnd"/>
            <w:r w:rsidRPr="0035187E">
              <w:rPr>
                <w:rFonts w:ascii="Times New Roman" w:hAnsi="Times New Roman" w:cs="Times New Roman"/>
                <w:sz w:val="20"/>
                <w:szCs w:val="20"/>
              </w:rPr>
              <w:t>. § 2a odst. 6.</w:t>
            </w:r>
          </w:p>
          <w:p w14:paraId="77D5082E" w14:textId="2B312679" w:rsidR="000B4BD4" w:rsidRPr="0035187E" w:rsidRDefault="000B4BD4" w:rsidP="0035187E">
            <w:pPr>
              <w:jc w:val="both"/>
              <w:rPr>
                <w:rFonts w:ascii="Times New Roman" w:hAnsi="Times New Roman" w:cs="Times New Roman"/>
                <w:sz w:val="20"/>
                <w:szCs w:val="20"/>
              </w:rPr>
            </w:pPr>
          </w:p>
        </w:tc>
      </w:tr>
      <w:tr w:rsidR="0035187E" w:rsidRPr="0035187E" w14:paraId="6EA62FF9"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739C3B0" w14:textId="183A46D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40.</w:t>
            </w:r>
          </w:p>
        </w:tc>
        <w:tc>
          <w:tcPr>
            <w:tcW w:w="583" w:type="pct"/>
            <w:tcBorders>
              <w:top w:val="single" w:sz="4" w:space="0" w:color="auto"/>
              <w:left w:val="single" w:sz="4" w:space="0" w:color="auto"/>
              <w:right w:val="single" w:sz="4" w:space="0" w:color="auto"/>
            </w:tcBorders>
            <w:shd w:val="clear" w:color="auto" w:fill="auto"/>
          </w:tcPr>
          <w:p w14:paraId="3E150F81" w14:textId="0EBD0B3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4900962A" w14:textId="305F4D4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33.</w:t>
            </w:r>
          </w:p>
        </w:tc>
        <w:tc>
          <w:tcPr>
            <w:tcW w:w="169" w:type="pct"/>
            <w:tcBorders>
              <w:top w:val="single" w:sz="4" w:space="0" w:color="auto"/>
              <w:left w:val="single" w:sz="4" w:space="0" w:color="auto"/>
              <w:right w:val="single" w:sz="4" w:space="0" w:color="auto"/>
            </w:tcBorders>
            <w:shd w:val="clear" w:color="auto" w:fill="auto"/>
          </w:tcPr>
          <w:p w14:paraId="368D9BFB" w14:textId="5324197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59F8914" w14:textId="77777777" w:rsidR="000B4BD4" w:rsidRPr="0035187E" w:rsidRDefault="000B4BD4" w:rsidP="0035187E">
            <w:pPr>
              <w:numPr>
                <w:ilvl w:val="0"/>
                <w:numId w:val="70"/>
              </w:numPr>
              <w:tabs>
                <w:tab w:val="left" w:pos="567"/>
              </w:tabs>
              <w:ind w:left="0" w:firstLine="0"/>
              <w:jc w:val="both"/>
              <w:rPr>
                <w:rFonts w:ascii="Times New Roman" w:eastAsia="Calibri" w:hAnsi="Times New Roman" w:cs="Times New Roman"/>
                <w:b/>
                <w:sz w:val="20"/>
                <w:szCs w:val="20"/>
              </w:rPr>
            </w:pPr>
            <w:r w:rsidRPr="0035187E">
              <w:rPr>
                <w:rFonts w:ascii="Times New Roman" w:eastAsia="Calibri" w:hAnsi="Times New Roman" w:cs="Times New Roman"/>
                <w:b/>
                <w:sz w:val="20"/>
                <w:szCs w:val="20"/>
              </w:rPr>
              <w:t>Připomínka k části druhé, změna zákona o daních z příjmů, nový novelizační bod 4</w:t>
            </w:r>
          </w:p>
          <w:p w14:paraId="7C10AB4B" w14:textId="77777777" w:rsidR="000B4BD4" w:rsidRPr="0035187E" w:rsidRDefault="000B4BD4" w:rsidP="0035187E">
            <w:pPr>
              <w:tabs>
                <w:tab w:val="left" w:pos="567"/>
              </w:tabs>
              <w:jc w:val="both"/>
              <w:rPr>
                <w:rFonts w:ascii="Times New Roman" w:eastAsia="Calibri" w:hAnsi="Times New Roman" w:cs="Times New Roman"/>
                <w:bCs/>
                <w:sz w:val="20"/>
                <w:szCs w:val="20"/>
              </w:rPr>
            </w:pPr>
          </w:p>
          <w:p w14:paraId="745A9D81" w14:textId="5CA9E059" w:rsidR="000B4BD4" w:rsidRPr="0035187E" w:rsidRDefault="000B4BD4" w:rsidP="0035187E">
            <w:p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Požadujeme do změn zákona o daních z příjmů doplnit nový novelizační bod 4 a přečíslovat následující novelizační body. V novém novelizačním bodě 4 požadujeme zrušit zákonný limit pro osvobození zdravotních benefitů od daně z příjmů fyzických osob a odvodů sociálního a zdravotního pojištění. Konkrétně tedy požadujeme upravit text ustanovení § 6 odst. 9 písm. d) bod 1 následovně:</w:t>
            </w:r>
          </w:p>
          <w:p w14:paraId="53594484" w14:textId="77777777" w:rsidR="000B4BD4" w:rsidRPr="0035187E" w:rsidRDefault="000B4BD4" w:rsidP="0035187E">
            <w:pPr>
              <w:jc w:val="both"/>
              <w:rPr>
                <w:rFonts w:ascii="Times New Roman" w:eastAsia="Calibri" w:hAnsi="Times New Roman" w:cs="Times New Roman"/>
                <w:bCs/>
                <w:i/>
                <w:iCs/>
                <w:sz w:val="20"/>
                <w:szCs w:val="20"/>
              </w:rPr>
            </w:pPr>
            <w:r w:rsidRPr="0035187E">
              <w:rPr>
                <w:rFonts w:ascii="Times New Roman" w:eastAsia="Calibri" w:hAnsi="Times New Roman" w:cs="Times New Roman"/>
                <w:bCs/>
                <w:i/>
                <w:iCs/>
                <w:sz w:val="20"/>
                <w:szCs w:val="20"/>
              </w:rPr>
              <w:t>„1. pořízení zboží nebo služeb zdravotního, léčebného, hygienického a obdobného charakteru od zdravotnických zařízení nebo pořízení zdravotnických prostředků na lékařský předpis</w:t>
            </w:r>
            <w:r w:rsidRPr="0035187E">
              <w:rPr>
                <w:rFonts w:ascii="Times New Roman" w:eastAsia="Calibri" w:hAnsi="Times New Roman" w:cs="Times New Roman"/>
                <w:bCs/>
                <w:i/>
                <w:iCs/>
                <w:strike/>
                <w:sz w:val="20"/>
                <w:szCs w:val="20"/>
              </w:rPr>
              <w:t>; tato plnění jsou osvobozena v úhrnu do výše průměrné mzdy za zdaňovací období</w:t>
            </w:r>
            <w:r w:rsidRPr="0035187E">
              <w:rPr>
                <w:rFonts w:ascii="Times New Roman" w:eastAsia="Calibri" w:hAnsi="Times New Roman" w:cs="Times New Roman"/>
                <w:bCs/>
                <w:i/>
                <w:iCs/>
                <w:sz w:val="20"/>
                <w:szCs w:val="20"/>
              </w:rPr>
              <w:t>,“</w:t>
            </w:r>
          </w:p>
          <w:p w14:paraId="22A6501A" w14:textId="77777777"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w:t>
            </w:r>
          </w:p>
          <w:p w14:paraId="615BA83F"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Deklarovaným cílem návrhu zákona je návrat právního stavu do podoby před přijetím konsolidačního balíčku. Před touto změnou byly zdravotní a volnočasové benefity upraveny společně a nepodléhaly (s výjimkou zájezdů a rekreace) žádným limitům osvobození od daně, ani odvodům pojistného. Má-li být tento stav skutečně obnoven, nelze </w:t>
            </w:r>
            <w:proofErr w:type="spellStart"/>
            <w:r w:rsidRPr="0035187E">
              <w:rPr>
                <w:rFonts w:ascii="Times New Roman" w:hAnsi="Times New Roman" w:cs="Times New Roman"/>
                <w:sz w:val="20"/>
                <w:szCs w:val="20"/>
              </w:rPr>
              <w:t>bezlimitní</w:t>
            </w:r>
            <w:proofErr w:type="spellEnd"/>
            <w:r w:rsidRPr="0035187E">
              <w:rPr>
                <w:rFonts w:ascii="Times New Roman" w:hAnsi="Times New Roman" w:cs="Times New Roman"/>
                <w:sz w:val="20"/>
                <w:szCs w:val="20"/>
              </w:rPr>
              <w:t xml:space="preserve"> režim vztáhnout pouze na volnočasové benefity a současně zachovat limit pro osvobození u benefitů zdravotních.</w:t>
            </w:r>
          </w:p>
          <w:p w14:paraId="14525893"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Jelikož se důvodová zpráva o důvodech zachování limitu pro daný druh benefitů vůbec nezmiňuje, není zřejmé, zda jde o záměr, či nikoliv, popřípadě zda limit nebyl ponechán pouze nedopatřením, což je předpoklad HK ČR. Není totiž systematicky věcně odůvodnitelné, aby volnočasové benefity podléhaly mírnějšímu režimu než benefity zdravotní, ačkoliv právě zdravotní benefity přímo podporují prevenci, zdravotní péči a udržení pracovní schopnosti zaměstnanců, a vykazují tak významný společenský i ekonomický přínos nehledě na to, že šetří výdaje systému veřejného zdravotního pojištění.</w:t>
            </w:r>
          </w:p>
          <w:p w14:paraId="71A5B40A" w14:textId="5B927CCA"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Změna navrhovaná HK ČR, jakkoli není rozpočtově neutrální, směřuje k systematickému, administrativně jednoduššímu a hodnotově konzistentnímu řešení, které je v souladu s programovým prohlášením vlády a jejím deklarovaným záměrem neomezovat rozsah zaměstnaneckých benefitů prostřednictvím hodnotových limitů, a současně odpovídá praktickým potřebám zaměstnavatelů i zaměstnanců.</w:t>
            </w:r>
          </w:p>
        </w:tc>
        <w:tc>
          <w:tcPr>
            <w:tcW w:w="1453" w:type="pct"/>
            <w:tcBorders>
              <w:top w:val="single" w:sz="4" w:space="0" w:color="auto"/>
              <w:left w:val="single" w:sz="4" w:space="0" w:color="auto"/>
              <w:right w:val="single" w:sz="4" w:space="0" w:color="auto"/>
            </w:tcBorders>
            <w:shd w:val="clear" w:color="auto" w:fill="auto"/>
          </w:tcPr>
          <w:p w14:paraId="0CC84016" w14:textId="77777777" w:rsidR="00970286" w:rsidRPr="00C34648" w:rsidRDefault="00970286" w:rsidP="0035187E">
            <w:pPr>
              <w:jc w:val="both"/>
              <w:rPr>
                <w:rFonts w:ascii="Times New Roman" w:hAnsi="Times New Roman" w:cs="Times New Roman"/>
                <w:b/>
                <w:sz w:val="20"/>
                <w:szCs w:val="20"/>
              </w:rPr>
            </w:pPr>
            <w:r w:rsidRPr="00C34648">
              <w:rPr>
                <w:rFonts w:ascii="Times New Roman" w:hAnsi="Times New Roman" w:cs="Times New Roman"/>
                <w:b/>
                <w:sz w:val="20"/>
                <w:szCs w:val="20"/>
              </w:rPr>
              <w:t>Nevyhověno.</w:t>
            </w:r>
          </w:p>
          <w:p w14:paraId="794F40D0" w14:textId="77777777" w:rsidR="00970286" w:rsidRPr="00C34648" w:rsidRDefault="00970286" w:rsidP="0035187E">
            <w:pPr>
              <w:jc w:val="both"/>
              <w:rPr>
                <w:rFonts w:ascii="Times New Roman" w:hAnsi="Times New Roman" w:cs="Times New Roman"/>
                <w:sz w:val="20"/>
                <w:szCs w:val="20"/>
              </w:rPr>
            </w:pPr>
            <w:r w:rsidRPr="00C34648">
              <w:rPr>
                <w:rFonts w:ascii="Times New Roman" w:hAnsi="Times New Roman" w:cs="Times New Roman"/>
                <w:sz w:val="20"/>
                <w:szCs w:val="20"/>
              </w:rPr>
              <w:t>Podnět přesahuje rámec navrhované úpravy zákona o evidenci tržeb.</w:t>
            </w:r>
          </w:p>
          <w:p w14:paraId="70766DEF" w14:textId="2878BA52" w:rsidR="00970286" w:rsidRPr="00C34648" w:rsidRDefault="00970286" w:rsidP="0035187E">
            <w:pPr>
              <w:jc w:val="both"/>
              <w:rPr>
                <w:rFonts w:ascii="Times New Roman" w:hAnsi="Times New Roman" w:cs="Times New Roman"/>
                <w:sz w:val="20"/>
                <w:szCs w:val="20"/>
              </w:rPr>
            </w:pPr>
            <w:r w:rsidRPr="00C34648">
              <w:rPr>
                <w:rFonts w:ascii="Times New Roman" w:hAnsi="Times New Roman" w:cs="Times New Roman"/>
                <w:sz w:val="20"/>
                <w:szCs w:val="20"/>
              </w:rPr>
              <w:t>Zachování limitu pro zdravotní benefity považujeme za věcně opodstatněné. Zdravotní benefity mají přímou vazbu na ochranu zdraví, prevenci nemocí a udržení pracovní schopnosti zaměstnanců, a proto je žádoucí, aby jejich daňová podpora byla nastavena cíleně a přiměřeně.</w:t>
            </w:r>
            <w:r w:rsidR="00D17B20" w:rsidRPr="00C34648">
              <w:rPr>
                <w:rFonts w:ascii="Times New Roman" w:hAnsi="Times New Roman" w:cs="Times New Roman"/>
                <w:sz w:val="20"/>
                <w:szCs w:val="20"/>
              </w:rPr>
              <w:t xml:space="preserve"> Opatření v zásadě míří hlavně na zaměstnance s nižšími příjmy, kteří by jinak finanční prostředky ze svých úspor na péči o zdraví nevynakládali, resp. pokud by vynakládali, pak v takové výši, která by stanovený limit ani nepřesáhla. Jinými slovy výdaje na standardní nástroje pro podporu ochrany zdraví stanoveného limitu nedosáhnou.</w:t>
            </w:r>
          </w:p>
          <w:p w14:paraId="0A646C21" w14:textId="6B4CA617" w:rsidR="00970286" w:rsidRPr="00C34648" w:rsidRDefault="00970286" w:rsidP="0035187E">
            <w:pPr>
              <w:jc w:val="both"/>
              <w:rPr>
                <w:rFonts w:ascii="Times New Roman" w:hAnsi="Times New Roman" w:cs="Times New Roman"/>
                <w:sz w:val="20"/>
                <w:szCs w:val="20"/>
              </w:rPr>
            </w:pPr>
            <w:r w:rsidRPr="00C34648">
              <w:rPr>
                <w:rFonts w:ascii="Times New Roman" w:hAnsi="Times New Roman" w:cs="Times New Roman"/>
                <w:sz w:val="20"/>
                <w:szCs w:val="20"/>
              </w:rPr>
              <w:t xml:space="preserve">Zrušení limitu by mohlo vést k jejich využívání nad rámec skutečných zdravotních potřeb a k nežádoucí daňové optimalizaci, </w:t>
            </w:r>
            <w:r w:rsidR="00D17B20" w:rsidRPr="00C34648">
              <w:rPr>
                <w:rFonts w:ascii="Times New Roman" w:hAnsi="Times New Roman" w:cs="Times New Roman"/>
                <w:sz w:val="20"/>
                <w:szCs w:val="20"/>
              </w:rPr>
              <w:t xml:space="preserve">nebo k využívání zaměstnanci s vysokými příjmy, </w:t>
            </w:r>
            <w:r w:rsidRPr="00C34648">
              <w:rPr>
                <w:rFonts w:ascii="Times New Roman" w:hAnsi="Times New Roman" w:cs="Times New Roman"/>
                <w:sz w:val="20"/>
                <w:szCs w:val="20"/>
              </w:rPr>
              <w:t>kdy by i plnění bez reálného zdravotního přínosu byla osvobozena od daně a odvodů. Zachování limitu tak představuje nástroj, který zajišťuje efektivní a účelné využití této formy podpory a současně omezuje negativní dopady na veřejné rozpočty.</w:t>
            </w:r>
          </w:p>
          <w:p w14:paraId="7CF8C4E3" w14:textId="7EC066C5" w:rsidR="000B4BD4" w:rsidRPr="0035187E" w:rsidRDefault="00970286" w:rsidP="0035187E">
            <w:pPr>
              <w:jc w:val="both"/>
              <w:rPr>
                <w:rFonts w:ascii="Times New Roman" w:hAnsi="Times New Roman" w:cs="Times New Roman"/>
                <w:sz w:val="20"/>
                <w:szCs w:val="20"/>
              </w:rPr>
            </w:pPr>
            <w:r w:rsidRPr="00C34648">
              <w:rPr>
                <w:rFonts w:ascii="Times New Roman" w:hAnsi="Times New Roman" w:cs="Times New Roman"/>
                <w:sz w:val="20"/>
                <w:szCs w:val="20"/>
              </w:rPr>
              <w:t xml:space="preserve">Odlišné nastavení oproti volnočasovým benefitům vychází z rozdílné povahy těchto plnění. </w:t>
            </w:r>
          </w:p>
        </w:tc>
      </w:tr>
      <w:tr w:rsidR="0035187E" w:rsidRPr="0035187E" w14:paraId="389117C9"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88B58DE" w14:textId="0564E82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40.</w:t>
            </w:r>
          </w:p>
        </w:tc>
        <w:tc>
          <w:tcPr>
            <w:tcW w:w="583" w:type="pct"/>
            <w:tcBorders>
              <w:top w:val="single" w:sz="4" w:space="0" w:color="auto"/>
              <w:left w:val="single" w:sz="4" w:space="0" w:color="auto"/>
              <w:right w:val="single" w:sz="4" w:space="0" w:color="auto"/>
            </w:tcBorders>
            <w:shd w:val="clear" w:color="auto" w:fill="auto"/>
          </w:tcPr>
          <w:p w14:paraId="14DD2EC4" w14:textId="0B2B9EA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0457E142" w14:textId="4E8EB0B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34.</w:t>
            </w:r>
          </w:p>
        </w:tc>
        <w:tc>
          <w:tcPr>
            <w:tcW w:w="169" w:type="pct"/>
            <w:tcBorders>
              <w:top w:val="single" w:sz="4" w:space="0" w:color="auto"/>
              <w:left w:val="single" w:sz="4" w:space="0" w:color="auto"/>
              <w:right w:val="single" w:sz="4" w:space="0" w:color="auto"/>
            </w:tcBorders>
            <w:shd w:val="clear" w:color="auto" w:fill="auto"/>
          </w:tcPr>
          <w:p w14:paraId="3A696277" w14:textId="531E9F4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A46D5C8" w14:textId="77777777" w:rsidR="000B4BD4" w:rsidRPr="0035187E" w:rsidRDefault="000B4BD4" w:rsidP="0035187E">
            <w:pPr>
              <w:numPr>
                <w:ilvl w:val="0"/>
                <w:numId w:val="70"/>
              </w:numPr>
              <w:tabs>
                <w:tab w:val="left" w:pos="567"/>
              </w:tabs>
              <w:ind w:left="0" w:firstLine="0"/>
              <w:jc w:val="both"/>
              <w:rPr>
                <w:rFonts w:ascii="Times New Roman" w:eastAsia="Calibri" w:hAnsi="Times New Roman" w:cs="Times New Roman"/>
                <w:b/>
                <w:sz w:val="20"/>
                <w:szCs w:val="20"/>
              </w:rPr>
            </w:pPr>
            <w:r w:rsidRPr="0035187E">
              <w:rPr>
                <w:rFonts w:ascii="Times New Roman" w:eastAsia="Calibri" w:hAnsi="Times New Roman" w:cs="Times New Roman"/>
                <w:b/>
                <w:sz w:val="20"/>
                <w:szCs w:val="20"/>
              </w:rPr>
              <w:t>Připomínka k části druhé, změna zákona o daních z příjmů, novelizační bod 4</w:t>
            </w:r>
          </w:p>
          <w:p w14:paraId="5D235B00" w14:textId="77777777" w:rsidR="000B4BD4" w:rsidRPr="0035187E" w:rsidRDefault="000B4BD4" w:rsidP="0035187E">
            <w:pPr>
              <w:tabs>
                <w:tab w:val="left" w:pos="567"/>
              </w:tabs>
              <w:jc w:val="both"/>
              <w:rPr>
                <w:rFonts w:ascii="Times New Roman" w:eastAsia="Calibri" w:hAnsi="Times New Roman" w:cs="Times New Roman"/>
                <w:bCs/>
                <w:sz w:val="20"/>
                <w:szCs w:val="20"/>
              </w:rPr>
            </w:pPr>
          </w:p>
          <w:p w14:paraId="7A8411A0" w14:textId="2C6FEEA8" w:rsidR="000B4BD4" w:rsidRPr="0035187E" w:rsidRDefault="000B4BD4" w:rsidP="0035187E">
            <w:p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Požadujeme v novelizačním bodu 4 změn zákona o daních z příjmů vypustit podmínku obvyklosti při poskytování volnočasových benefitů.</w:t>
            </w:r>
          </w:p>
          <w:p w14:paraId="37A51B44" w14:textId="77777777" w:rsidR="000B4BD4" w:rsidRPr="0035187E" w:rsidRDefault="000B4BD4" w:rsidP="0035187E">
            <w:p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Tedy v § 6 odst. 9 písm. d) bodě 2 vypustit „</w:t>
            </w:r>
            <w:r w:rsidRPr="0035187E">
              <w:rPr>
                <w:rFonts w:ascii="Times New Roman" w:eastAsia="Calibri" w:hAnsi="Times New Roman" w:cs="Times New Roman"/>
                <w:bCs/>
                <w:i/>
                <w:iCs/>
                <w:sz w:val="20"/>
                <w:szCs w:val="20"/>
              </w:rPr>
              <w:t>je jejich poskytování zaměstnavateli obvyklé a</w:t>
            </w:r>
            <w:r w:rsidRPr="0035187E">
              <w:rPr>
                <w:rFonts w:ascii="Times New Roman" w:eastAsia="Calibri" w:hAnsi="Times New Roman" w:cs="Times New Roman"/>
                <w:bCs/>
                <w:sz w:val="20"/>
                <w:szCs w:val="20"/>
              </w:rPr>
              <w:t>“ a provést jazykovou korekci zbytku textu:</w:t>
            </w:r>
          </w:p>
          <w:p w14:paraId="5413C828" w14:textId="77777777" w:rsidR="000B4BD4" w:rsidRPr="0035187E" w:rsidRDefault="000B4BD4" w:rsidP="0035187E">
            <w:pPr>
              <w:tabs>
                <w:tab w:val="left" w:pos="567"/>
              </w:tabs>
              <w:jc w:val="both"/>
              <w:rPr>
                <w:rFonts w:ascii="Times New Roman" w:eastAsia="Calibri" w:hAnsi="Times New Roman" w:cs="Times New Roman"/>
                <w:bCs/>
                <w:i/>
                <w:iCs/>
                <w:sz w:val="20"/>
                <w:szCs w:val="20"/>
              </w:rPr>
            </w:pPr>
            <w:r w:rsidRPr="0035187E">
              <w:rPr>
                <w:rFonts w:ascii="Times New Roman" w:eastAsia="Calibri" w:hAnsi="Times New Roman" w:cs="Times New Roman"/>
                <w:bCs/>
                <w:i/>
                <w:iCs/>
                <w:sz w:val="20"/>
                <w:szCs w:val="20"/>
              </w:rPr>
              <w:t xml:space="preserve">„4. V § 6 odst. 9 písm. d) bodě 2 se slova „poskytnutí rekreace nebo zájezdu,“ zrušují, za slova „sportovních zařízení“ se vkládají slova „, účasti na společenské akci, včetně té s </w:t>
            </w:r>
            <w:r w:rsidRPr="0035187E">
              <w:rPr>
                <w:rFonts w:ascii="Times New Roman" w:eastAsia="Calibri" w:hAnsi="Times New Roman" w:cs="Times New Roman"/>
                <w:bCs/>
                <w:i/>
                <w:iCs/>
                <w:sz w:val="20"/>
                <w:szCs w:val="20"/>
              </w:rPr>
              <w:lastRenderedPageBreak/>
              <w:t xml:space="preserve">kulturním nebo sportovním prvkem, pořádané zaměstnavatelem pro omezený okruh účastníků“ a slova „tato plnění jsou osvobozena v úhrnu do výše poloviny průměrné mzdy za zdaňovací období“ se nahrazují slovy „plnění ve formě účasti na společenské akci, včetně té s kulturním nebo sportovním prvkem, pořádané zaměstnavatelem pro omezený okruh účastníků nebo poskytnutí příspěvku na kulturní nebo sportovní akce jsou osvobozena pouze tehdy, pokud vzhledem k jejich povaze </w:t>
            </w:r>
            <w:r w:rsidRPr="0035187E">
              <w:rPr>
                <w:rFonts w:ascii="Times New Roman" w:eastAsia="Calibri" w:hAnsi="Times New Roman" w:cs="Times New Roman"/>
                <w:bCs/>
                <w:i/>
                <w:iCs/>
                <w:strike/>
                <w:sz w:val="20"/>
                <w:szCs w:val="20"/>
              </w:rPr>
              <w:t>je jejich poskytování zaměstnavateli obvyklé a</w:t>
            </w:r>
            <w:r w:rsidRPr="0035187E">
              <w:rPr>
                <w:rFonts w:ascii="Times New Roman" w:eastAsia="Calibri" w:hAnsi="Times New Roman" w:cs="Times New Roman"/>
                <w:bCs/>
                <w:i/>
                <w:iCs/>
                <w:sz w:val="20"/>
                <w:szCs w:val="20"/>
              </w:rPr>
              <w:t xml:space="preserve"> jejich forma a rozsah jsou přiměřené“.</w:t>
            </w:r>
          </w:p>
          <w:p w14:paraId="7AF04461" w14:textId="77777777" w:rsidR="000B4BD4" w:rsidRPr="0035187E" w:rsidRDefault="000B4BD4" w:rsidP="0035187E">
            <w:pPr>
              <w:jc w:val="both"/>
              <w:rPr>
                <w:rFonts w:ascii="Times New Roman" w:hAnsi="Times New Roman" w:cs="Times New Roman"/>
                <w:sz w:val="20"/>
                <w:szCs w:val="20"/>
                <w:u w:val="single"/>
              </w:rPr>
            </w:pPr>
          </w:p>
          <w:p w14:paraId="15F2992D" w14:textId="30670324"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w:t>
            </w:r>
          </w:p>
          <w:p w14:paraId="16EB0361"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Kritérium obvyklosti je neurčité a postrádá jasně vymezitelný obsah. Pojem „</w:t>
            </w:r>
            <w:r w:rsidRPr="0035187E">
              <w:rPr>
                <w:rFonts w:ascii="Times New Roman" w:hAnsi="Times New Roman" w:cs="Times New Roman"/>
                <w:i/>
                <w:iCs/>
                <w:sz w:val="20"/>
                <w:szCs w:val="20"/>
              </w:rPr>
              <w:t>obvyklost</w:t>
            </w:r>
            <w:r w:rsidRPr="0035187E">
              <w:rPr>
                <w:rFonts w:ascii="Times New Roman" w:hAnsi="Times New Roman" w:cs="Times New Roman"/>
                <w:sz w:val="20"/>
                <w:szCs w:val="20"/>
              </w:rPr>
              <w:t>“ není zákonem definován a může být vykládán rozdílně podle velikosti zaměstnavatele, jeho předmětu činnosti či regionu, v němž působí. Taková neurčitost vytváří významnou právní nejistotu jak pro zaměstnavatele, tak pro správce daně.</w:t>
            </w:r>
          </w:p>
          <w:p w14:paraId="50ED6446"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V praxi může docházet k situacím, kdy u některých zaměstnavatelů nebude – s ohledem na jejich obor nebo velikost – považováno za obvyklé poskytovat volnočasové benefity vůbec. V takovém případě by institut osvobození těchto benefitů ztrácel svůj smysl, neboť by neumožňoval takovému zaměstnavateli benefity vůbec zavést nebo rozšířit, resp. by jejich zavedení nebo rozšíření bylo podmíněno splněním kritéria, které není objektivně uchopitelné a může být vykládáno restriktivně.</w:t>
            </w:r>
          </w:p>
          <w:p w14:paraId="3E2CA892"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Podle dosavadní výkladové praxe bývá „</w:t>
            </w:r>
            <w:r w:rsidRPr="0035187E">
              <w:rPr>
                <w:rFonts w:ascii="Times New Roman" w:hAnsi="Times New Roman" w:cs="Times New Roman"/>
                <w:i/>
                <w:iCs/>
                <w:sz w:val="20"/>
                <w:szCs w:val="20"/>
              </w:rPr>
              <w:t>obvyklost</w:t>
            </w:r>
            <w:r w:rsidRPr="0035187E">
              <w:rPr>
                <w:rFonts w:ascii="Times New Roman" w:hAnsi="Times New Roman" w:cs="Times New Roman"/>
                <w:sz w:val="20"/>
                <w:szCs w:val="20"/>
              </w:rPr>
              <w:t>“ posuzována ve vztahu k místu a času. To však znamená, že určitý benefit může být považován za obvyklý v jednom regionu, zatímco v jiném nikoli. Zaměstnavatelé přitom mohou mít legitimní zájem poskytovat zaměstnancům benefity, které v daném regionu dosud běžné nejsou, například s cílem zvýšit konkurenceschopnost na trhu práce nebo reagovat na specifické potřeby zaměstnanců.</w:t>
            </w:r>
          </w:p>
          <w:p w14:paraId="524BCC65"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Setrvání uvedené podmínky tak může působit jako překážka v odměňovací praxi, konkurenceschopnosti, při zavádění nových benefitů či při změně struktury stávajících. Současně zvyšuje riziko rozdílného výkladu a sporů při daňových kontrolách napříč Českou republikou. Pokud na jednu stranu podporujeme inovace, start-upy, nová řešení a nové služby a produkty, působí omezení benefitů pouze na neurčité „</w:t>
            </w:r>
            <w:r w:rsidRPr="0035187E">
              <w:rPr>
                <w:rFonts w:ascii="Times New Roman" w:hAnsi="Times New Roman" w:cs="Times New Roman"/>
                <w:i/>
                <w:iCs/>
                <w:sz w:val="20"/>
                <w:szCs w:val="20"/>
              </w:rPr>
              <w:t>obvyklé</w:t>
            </w:r>
            <w:r w:rsidRPr="0035187E">
              <w:rPr>
                <w:rFonts w:ascii="Times New Roman" w:hAnsi="Times New Roman" w:cs="Times New Roman"/>
                <w:sz w:val="20"/>
                <w:szCs w:val="20"/>
              </w:rPr>
              <w:t>“ jako relikt.</w:t>
            </w:r>
          </w:p>
          <w:p w14:paraId="77F33FA0" w14:textId="0941C953"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Vypuštění tohoto neurčitého kritéria by přispělo k vyšší právní jistotě, předvídatelnosti právní úpravy a snížení administrativní i interpretační zátěže, aniž by tím byl dotčen základní účel právní úpravy zaměstnaneckých benefitů. Již podle současného návrhu mají mít benefity podle § 6 odst. 9 písm. d) zákona o daních z příjmů nově celkem čtyři různé daňové režimy oproti dvěma současným. To v rozporu s deklarovanými cíli vlády, zejména s opatřeními na snižování byrokracie, zvyšuje administrativní zátěž pro zaměstnavatele. Obvyklost a přiměřenost je navíc navrhována pouze pro část zaměstnaneckých benefitů, pro příspěvky na kulturní nebo sportovní akce, a to nad rámec programového prohlášení vlády.</w:t>
            </w:r>
          </w:p>
        </w:tc>
        <w:tc>
          <w:tcPr>
            <w:tcW w:w="1453" w:type="pct"/>
            <w:tcBorders>
              <w:top w:val="single" w:sz="4" w:space="0" w:color="auto"/>
              <w:left w:val="single" w:sz="4" w:space="0" w:color="auto"/>
              <w:right w:val="single" w:sz="4" w:space="0" w:color="auto"/>
            </w:tcBorders>
            <w:shd w:val="clear" w:color="auto" w:fill="auto"/>
          </w:tcPr>
          <w:p w14:paraId="562E5CF8" w14:textId="77777777" w:rsidR="00970286" w:rsidRPr="0035187E" w:rsidRDefault="00970286"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Nevyhověno.</w:t>
            </w:r>
          </w:p>
          <w:p w14:paraId="4BB16DC2" w14:textId="77777777" w:rsidR="00970286" w:rsidRPr="0035187E" w:rsidRDefault="00970286"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Kritérium obvyklosti vychází z dosavadního § 6 odst. 9 písm. g) zákona o daních z příjmů, který upravuje daňové osvobození nepeněžních příjmů plynoucích z účasti zaměstnance nebo jeho rodinného příslušníka na společenské akci pořádané zaměstnavatelem pro omezený okruh účastníků, a to včetně akcí s kulturním či sportovním prvkem. Toto ustanovení </w:t>
            </w:r>
            <w:r w:rsidRPr="0035187E">
              <w:rPr>
                <w:rFonts w:ascii="Times New Roman" w:hAnsi="Times New Roman" w:cs="Times New Roman"/>
                <w:sz w:val="20"/>
                <w:szCs w:val="20"/>
              </w:rPr>
              <w:lastRenderedPageBreak/>
              <w:t xml:space="preserve">bude v návaznosti na zrušení příslušného stropu v § 6 odst. 9 písm. d) bodu 2 zákona o daních z příjmů zrušeno, přičemž dané akce budou nově podřazeny pod toto ustanovení. </w:t>
            </w:r>
          </w:p>
          <w:p w14:paraId="70CC993E" w14:textId="77777777" w:rsidR="00970286" w:rsidRPr="0035187E" w:rsidRDefault="00970286" w:rsidP="0035187E">
            <w:pPr>
              <w:jc w:val="both"/>
              <w:rPr>
                <w:rFonts w:ascii="Times New Roman" w:hAnsi="Times New Roman" w:cs="Times New Roman"/>
                <w:sz w:val="20"/>
                <w:szCs w:val="20"/>
              </w:rPr>
            </w:pPr>
            <w:r w:rsidRPr="0035187E">
              <w:rPr>
                <w:rFonts w:ascii="Times New Roman" w:hAnsi="Times New Roman" w:cs="Times New Roman"/>
                <w:sz w:val="20"/>
                <w:szCs w:val="20"/>
              </w:rPr>
              <w:t>Výklad jednotlivých kritérií uvedených v dosavadním § 6 odst. 9 písm. g) zákona o daních z příjmů, rozpracovává metodická informace GFŘ k zaměstnaneckým benefitům z roku 2024. Ta mimo jiné uvádí, že obvyklost pořádání akce se posuzuje zejména s ohledem na běžné standardy v podnikatelské praxi, a to ve vazbě na okruh účastníků (např. pouze zaměstnanci, zaměstnanci včetně rodinných příslušníků či obchodní partneři), charakter akce (např. sportovní den pro děti, zaměstnanecké sportovní hry apod.) a její pravidelnost.</w:t>
            </w:r>
          </w:p>
          <w:p w14:paraId="741FE3B2" w14:textId="77777777" w:rsidR="00970286" w:rsidRPr="0035187E" w:rsidRDefault="00970286" w:rsidP="0035187E">
            <w:pPr>
              <w:jc w:val="both"/>
              <w:rPr>
                <w:rFonts w:ascii="Times New Roman" w:hAnsi="Times New Roman" w:cs="Times New Roman"/>
                <w:sz w:val="20"/>
                <w:szCs w:val="20"/>
              </w:rPr>
            </w:pPr>
            <w:r w:rsidRPr="0035187E">
              <w:rPr>
                <w:rFonts w:ascii="Times New Roman" w:hAnsi="Times New Roman" w:cs="Times New Roman"/>
                <w:sz w:val="20"/>
                <w:szCs w:val="20"/>
              </w:rPr>
              <w:t>Současně je kritérium obvyklosti doplněno požadavkem přiměřenosti, který společně s ním vytváří funkční rámec pro posouzení, zda se jedná o plnění odpovídající účelu zaměstnaneckých benefitů. Přiměřenost rozsahu akce se posuzuje s ohledem na její povahu, okruh účastníků, místo konání i četnost opakování. Například celopodnikové akce nebo jednorázové či několikrát ročně pořádané aktivity zpravidla těmto kritériím odpovídají, zatímco pravidelné či nadstandardně nákladné akce, včetně akcí v exotických destinacích, již zpravidla nelze považovat za přiměřené.</w:t>
            </w:r>
          </w:p>
          <w:p w14:paraId="066F0D64" w14:textId="77777777" w:rsidR="00970286" w:rsidRPr="0035187E" w:rsidRDefault="00970286" w:rsidP="0035187E">
            <w:pPr>
              <w:jc w:val="both"/>
              <w:rPr>
                <w:rFonts w:ascii="Times New Roman" w:hAnsi="Times New Roman" w:cs="Times New Roman"/>
                <w:sz w:val="20"/>
                <w:szCs w:val="20"/>
              </w:rPr>
            </w:pPr>
            <w:r w:rsidRPr="0035187E">
              <w:rPr>
                <w:rFonts w:ascii="Times New Roman" w:hAnsi="Times New Roman" w:cs="Times New Roman"/>
                <w:sz w:val="20"/>
                <w:szCs w:val="20"/>
              </w:rPr>
              <w:t>Navrhuje se toto kritérium výslovně zakotvit nejen pro akce pořádané přímo zaměstnavatelem, ale i pro sportovní a kulturní akce zajišťované zaměstnavatelem prostřednictvím externích subjektů (např. cestovních kanceláří). Takové upřesnění poskytne potřebnou legislativní oporu pro posuzování případů, které mohou spíše nasvědčovat zneužívání daňové podpory než skutečné snaze o podporu a stabilizaci pracovního prostředí.</w:t>
            </w:r>
          </w:p>
          <w:p w14:paraId="49DCD981" w14:textId="4A1657AD" w:rsidR="000B4BD4" w:rsidRPr="0035187E" w:rsidRDefault="000B4BD4" w:rsidP="0035187E">
            <w:pPr>
              <w:jc w:val="both"/>
              <w:rPr>
                <w:rFonts w:ascii="Times New Roman" w:hAnsi="Times New Roman" w:cs="Times New Roman"/>
                <w:sz w:val="20"/>
                <w:szCs w:val="20"/>
              </w:rPr>
            </w:pPr>
          </w:p>
        </w:tc>
      </w:tr>
      <w:tr w:rsidR="0035187E" w:rsidRPr="0035187E" w14:paraId="00630E91"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14A3F68" w14:textId="2371344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40.</w:t>
            </w:r>
          </w:p>
        </w:tc>
        <w:tc>
          <w:tcPr>
            <w:tcW w:w="583" w:type="pct"/>
            <w:tcBorders>
              <w:top w:val="single" w:sz="4" w:space="0" w:color="auto"/>
              <w:left w:val="single" w:sz="4" w:space="0" w:color="auto"/>
              <w:right w:val="single" w:sz="4" w:space="0" w:color="auto"/>
            </w:tcBorders>
            <w:shd w:val="clear" w:color="auto" w:fill="auto"/>
          </w:tcPr>
          <w:p w14:paraId="086F33E7" w14:textId="48EF143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2D26E475" w14:textId="3A6D474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35.</w:t>
            </w:r>
          </w:p>
        </w:tc>
        <w:tc>
          <w:tcPr>
            <w:tcW w:w="169" w:type="pct"/>
            <w:tcBorders>
              <w:top w:val="single" w:sz="4" w:space="0" w:color="auto"/>
              <w:left w:val="single" w:sz="4" w:space="0" w:color="auto"/>
              <w:right w:val="single" w:sz="4" w:space="0" w:color="auto"/>
            </w:tcBorders>
            <w:shd w:val="clear" w:color="auto" w:fill="auto"/>
          </w:tcPr>
          <w:p w14:paraId="4817378B" w14:textId="0D54499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2F9379B" w14:textId="77777777" w:rsidR="000B4BD4" w:rsidRPr="0035187E" w:rsidRDefault="000B4BD4" w:rsidP="0035187E">
            <w:pPr>
              <w:numPr>
                <w:ilvl w:val="0"/>
                <w:numId w:val="70"/>
              </w:numPr>
              <w:tabs>
                <w:tab w:val="left" w:pos="567"/>
              </w:tabs>
              <w:ind w:left="0" w:firstLine="0"/>
              <w:jc w:val="both"/>
              <w:rPr>
                <w:rFonts w:ascii="Times New Roman" w:eastAsia="Calibri" w:hAnsi="Times New Roman" w:cs="Times New Roman"/>
                <w:b/>
                <w:sz w:val="20"/>
                <w:szCs w:val="20"/>
              </w:rPr>
            </w:pPr>
            <w:r w:rsidRPr="0035187E">
              <w:rPr>
                <w:rFonts w:ascii="Times New Roman" w:eastAsia="Calibri" w:hAnsi="Times New Roman" w:cs="Times New Roman"/>
                <w:b/>
                <w:sz w:val="20"/>
                <w:szCs w:val="20"/>
              </w:rPr>
              <w:t>Připomínka k části druhé, změna zákona o daních z příjmů, novelizační body 4 a 5</w:t>
            </w:r>
          </w:p>
          <w:p w14:paraId="3EA845F5" w14:textId="77777777" w:rsidR="000B4BD4" w:rsidRPr="0035187E" w:rsidRDefault="000B4BD4" w:rsidP="0035187E">
            <w:pPr>
              <w:tabs>
                <w:tab w:val="left" w:pos="567"/>
              </w:tabs>
              <w:jc w:val="both"/>
              <w:rPr>
                <w:rFonts w:ascii="Times New Roman" w:eastAsia="Calibri" w:hAnsi="Times New Roman" w:cs="Times New Roman"/>
                <w:bCs/>
                <w:sz w:val="20"/>
                <w:szCs w:val="20"/>
              </w:rPr>
            </w:pPr>
          </w:p>
          <w:p w14:paraId="5DD722DA" w14:textId="7F2EBA26" w:rsidR="000B4BD4" w:rsidRPr="0035187E" w:rsidRDefault="000B4BD4" w:rsidP="0035187E">
            <w:p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lastRenderedPageBreak/>
              <w:t xml:space="preserve">Požadujeme, aby poskytování rekreace a zájezdů nadále zůstalo součástí volnočasových benefitů. </w:t>
            </w:r>
          </w:p>
          <w:p w14:paraId="2160F49E" w14:textId="77777777" w:rsidR="000B4BD4" w:rsidRPr="0035187E" w:rsidRDefault="000B4BD4" w:rsidP="0035187E">
            <w:p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 xml:space="preserve">Tedy v § 6 odst. 9 písm. d) bodě 2 slova </w:t>
            </w:r>
            <w:r w:rsidRPr="0035187E">
              <w:rPr>
                <w:rFonts w:ascii="Times New Roman" w:eastAsia="Calibri" w:hAnsi="Times New Roman" w:cs="Times New Roman"/>
                <w:bCs/>
                <w:i/>
                <w:iCs/>
                <w:sz w:val="20"/>
                <w:szCs w:val="20"/>
              </w:rPr>
              <w:t xml:space="preserve">„poskytnutí rekreace nebo zájezdu,“ </w:t>
            </w:r>
            <w:r w:rsidRPr="0035187E">
              <w:rPr>
                <w:rFonts w:ascii="Times New Roman" w:eastAsia="Calibri" w:hAnsi="Times New Roman" w:cs="Times New Roman"/>
                <w:bCs/>
                <w:sz w:val="20"/>
                <w:szCs w:val="20"/>
              </w:rPr>
              <w:t>nezrušovat (novelizační bod 4 Změny zákona o daních z příjmů) a v § 6 odst. 9 písm. d) nedoplňovat nový bod 3 (novelizační bod 5 Změny zákona o daních z příjmů).</w:t>
            </w:r>
          </w:p>
          <w:p w14:paraId="3CCF0D79" w14:textId="77777777" w:rsidR="000B4BD4" w:rsidRPr="0035187E" w:rsidRDefault="000B4BD4" w:rsidP="0035187E">
            <w:pPr>
              <w:jc w:val="both"/>
              <w:rPr>
                <w:rFonts w:ascii="Times New Roman" w:hAnsi="Times New Roman" w:cs="Times New Roman"/>
                <w:sz w:val="20"/>
                <w:szCs w:val="20"/>
                <w:u w:val="single"/>
              </w:rPr>
            </w:pPr>
          </w:p>
          <w:p w14:paraId="1F9508B3" w14:textId="58908F1C"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w:t>
            </w:r>
          </w:p>
          <w:p w14:paraId="3DBA9D92" w14:textId="5BE2485E"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Oddělená úprava poskytování rekreace a zájezdů a ostatních volnočasových benefitů významně zvyšuje administrativní náročnost na straně zaměstnavatelů. V praxi by bylo nezbytné rozlišovat mezi rekreací jako takovou a využitím rekreačního zařízení, přičemž hranice mezi těmito kategoriemi není jednoznačná, což může činit interpretační obtíže. Problematické může být rovněž vymezení, kdy se jedná o dovolenou a kdy o jinou formu volnočasové aktivity (například v případě využití hotelového fitness centra, wellness služeb či dalších doplňkových plnění). Takové rozlišování povede k právní nejistotě a zvýšenému riziku sporů při daňových kontrolách. Zároveň představuje vydělení poskytnutí rekreace nebo zájezdu vznik dalšího samostatného limitu, což je v rozporu se zájmem zákonodárce o co nejjednodušší administrativu.</w:t>
            </w:r>
          </w:p>
        </w:tc>
        <w:tc>
          <w:tcPr>
            <w:tcW w:w="1453" w:type="pct"/>
            <w:tcBorders>
              <w:top w:val="single" w:sz="4" w:space="0" w:color="auto"/>
              <w:left w:val="single" w:sz="4" w:space="0" w:color="auto"/>
              <w:right w:val="single" w:sz="4" w:space="0" w:color="auto"/>
            </w:tcBorders>
            <w:shd w:val="clear" w:color="auto" w:fill="auto"/>
          </w:tcPr>
          <w:p w14:paraId="6452DAB3" w14:textId="77777777" w:rsidR="00970286" w:rsidRPr="0035187E" w:rsidRDefault="00970286" w:rsidP="0035187E">
            <w:pPr>
              <w:jc w:val="both"/>
              <w:rPr>
                <w:rFonts w:ascii="Times New Roman" w:hAnsi="Times New Roman" w:cs="Times New Roman"/>
                <w:sz w:val="20"/>
                <w:szCs w:val="20"/>
              </w:rPr>
            </w:pPr>
            <w:r w:rsidRPr="0035187E">
              <w:rPr>
                <w:rFonts w:ascii="Times New Roman" w:hAnsi="Times New Roman" w:cs="Times New Roman"/>
                <w:b/>
                <w:sz w:val="20"/>
                <w:szCs w:val="20"/>
              </w:rPr>
              <w:lastRenderedPageBreak/>
              <w:t>Nevyhověno.</w:t>
            </w:r>
          </w:p>
          <w:p w14:paraId="599CFDA9" w14:textId="77777777" w:rsidR="00970286" w:rsidRPr="0035187E" w:rsidRDefault="00970286"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Navrhovaná právní úprava zachovává poskytnutí rekreace a zájezdů jako součást volnočasových benefitů podle § 6 odst. 9 písm. d) zákona o daních z </w:t>
            </w:r>
            <w:r w:rsidRPr="0035187E">
              <w:rPr>
                <w:rFonts w:ascii="Times New Roman" w:hAnsi="Times New Roman" w:cs="Times New Roman"/>
                <w:sz w:val="20"/>
                <w:szCs w:val="20"/>
              </w:rPr>
              <w:lastRenderedPageBreak/>
              <w:t>příjmů, současně však stanoví jejich samostatný limit daňového osvobození. Tento přístup je zvolen záměrně, aby bylo možné lépe zohlednit specifickou povahu těchto plnění.</w:t>
            </w:r>
          </w:p>
          <w:p w14:paraId="76BC272A" w14:textId="2E20AA17" w:rsidR="00970286" w:rsidRPr="0035187E" w:rsidRDefault="00970286" w:rsidP="0035187E">
            <w:pPr>
              <w:jc w:val="both"/>
              <w:rPr>
                <w:rFonts w:ascii="Times New Roman" w:hAnsi="Times New Roman" w:cs="Times New Roman"/>
                <w:sz w:val="20"/>
                <w:szCs w:val="20"/>
              </w:rPr>
            </w:pPr>
            <w:proofErr w:type="spellStart"/>
            <w:r w:rsidRPr="0035187E">
              <w:rPr>
                <w:rFonts w:ascii="Times New Roman" w:hAnsi="Times New Roman" w:cs="Times New Roman"/>
                <w:sz w:val="20"/>
                <w:szCs w:val="20"/>
              </w:rPr>
              <w:t>Zastropování</w:t>
            </w:r>
            <w:proofErr w:type="spellEnd"/>
            <w:r w:rsidRPr="0035187E">
              <w:rPr>
                <w:rFonts w:ascii="Times New Roman" w:hAnsi="Times New Roman" w:cs="Times New Roman"/>
                <w:sz w:val="20"/>
                <w:szCs w:val="20"/>
              </w:rPr>
              <w:t xml:space="preserve"> daňového osvobození u rekreace a zájezdů omezuje negativní dopady na veřejné rozpočty a současně brání nepřímému zvýhodňování ekonomicky zdatnějších zaměstnavatelů, kteří by jinak mohli poskytovat nadstandardní benefity ve výrazně vyšším rozsahu. Současně zajišťuje, že daňové zvýhodnění plní svůj primární účel, tedy podporu běžné rekreace a regenerace pracovní síly, nikoli financování nadstandardních forem dovolené.</w:t>
            </w:r>
            <w:r w:rsidR="0004675A">
              <w:rPr>
                <w:rFonts w:ascii="Times New Roman" w:hAnsi="Times New Roman" w:cs="Times New Roman"/>
                <w:sz w:val="20"/>
                <w:szCs w:val="20"/>
              </w:rPr>
              <w:t xml:space="preserve"> </w:t>
            </w:r>
            <w:r w:rsidR="0004675A" w:rsidRPr="00377D44">
              <w:rPr>
                <w:rFonts w:ascii="Times New Roman" w:hAnsi="Times New Roman" w:cs="Times New Roman"/>
                <w:sz w:val="20"/>
                <w:szCs w:val="20"/>
              </w:rPr>
              <w:t>V tomto ohledu opatření míří zejména na zaměstnance s nižšími příjmy.</w:t>
            </w:r>
          </w:p>
          <w:p w14:paraId="2B37703E" w14:textId="77777777" w:rsidR="00970286" w:rsidRPr="0035187E" w:rsidRDefault="00970286" w:rsidP="0035187E">
            <w:pPr>
              <w:jc w:val="both"/>
              <w:rPr>
                <w:rFonts w:ascii="Times New Roman" w:hAnsi="Times New Roman" w:cs="Times New Roman"/>
                <w:sz w:val="20"/>
                <w:szCs w:val="20"/>
              </w:rPr>
            </w:pPr>
            <w:r w:rsidRPr="0035187E">
              <w:rPr>
                <w:rFonts w:ascii="Times New Roman" w:hAnsi="Times New Roman" w:cs="Times New Roman"/>
                <w:sz w:val="20"/>
                <w:szCs w:val="20"/>
              </w:rPr>
              <w:t>Navrhovaná úprava přitom vychází z právního stavu účinného do konce roku 2023, kdy byl tento typ plnění již samostatně limitován částkou 20 000 Kč za zdaňovací období. Nejedná se tedy o nový institut, ale o návrat k dříve aplikovanému a v praxi ověřenému řešení, které nepřinášelo systémové aplikační problémy.</w:t>
            </w:r>
          </w:p>
          <w:p w14:paraId="3B3BCE38" w14:textId="08D9C947" w:rsidR="000B4BD4" w:rsidRPr="0035187E" w:rsidRDefault="00970286" w:rsidP="0035187E">
            <w:pPr>
              <w:jc w:val="both"/>
              <w:rPr>
                <w:rFonts w:ascii="Times New Roman" w:hAnsi="Times New Roman" w:cs="Times New Roman"/>
                <w:sz w:val="20"/>
                <w:szCs w:val="20"/>
              </w:rPr>
            </w:pPr>
            <w:r w:rsidRPr="0035187E">
              <w:rPr>
                <w:rFonts w:ascii="Times New Roman" w:hAnsi="Times New Roman" w:cs="Times New Roman"/>
                <w:sz w:val="20"/>
                <w:szCs w:val="20"/>
              </w:rPr>
              <w:t>K námitce zvýšení administrativní náročnosti lze uvést, že rozlišení mezi jednotlivými formami benefitů odpovídá jejich odlišné povaze a účelu. Zachování samostatného režimu pro rekreaci a zájezdy proto nepředstavuje nepřiměřenou administrativní zátěž, ale naopak přispívá k transparentnímu a kontrolovatelnému nastavení daňového režimu.</w:t>
            </w:r>
          </w:p>
        </w:tc>
      </w:tr>
      <w:tr w:rsidR="0035187E" w:rsidRPr="0035187E" w14:paraId="12218415"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3328A71" w14:textId="16E7FB1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40.</w:t>
            </w:r>
          </w:p>
        </w:tc>
        <w:tc>
          <w:tcPr>
            <w:tcW w:w="583" w:type="pct"/>
            <w:tcBorders>
              <w:top w:val="single" w:sz="4" w:space="0" w:color="auto"/>
              <w:left w:val="single" w:sz="4" w:space="0" w:color="auto"/>
              <w:right w:val="single" w:sz="4" w:space="0" w:color="auto"/>
            </w:tcBorders>
            <w:shd w:val="clear" w:color="auto" w:fill="auto"/>
          </w:tcPr>
          <w:p w14:paraId="74F612FA" w14:textId="5C99860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1F42E7B3" w14:textId="11F7498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36.</w:t>
            </w:r>
          </w:p>
        </w:tc>
        <w:tc>
          <w:tcPr>
            <w:tcW w:w="169" w:type="pct"/>
            <w:tcBorders>
              <w:top w:val="single" w:sz="4" w:space="0" w:color="auto"/>
              <w:left w:val="single" w:sz="4" w:space="0" w:color="auto"/>
              <w:right w:val="single" w:sz="4" w:space="0" w:color="auto"/>
            </w:tcBorders>
            <w:shd w:val="clear" w:color="auto" w:fill="auto"/>
          </w:tcPr>
          <w:p w14:paraId="64BF80A3" w14:textId="56CD789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DE9306A" w14:textId="77777777" w:rsidR="000B4BD4" w:rsidRPr="0035187E" w:rsidRDefault="000B4BD4" w:rsidP="0035187E">
            <w:pPr>
              <w:numPr>
                <w:ilvl w:val="0"/>
                <w:numId w:val="70"/>
              </w:numPr>
              <w:tabs>
                <w:tab w:val="left" w:pos="567"/>
              </w:tabs>
              <w:ind w:left="0" w:firstLine="0"/>
              <w:jc w:val="both"/>
              <w:rPr>
                <w:rFonts w:ascii="Times New Roman" w:eastAsia="Calibri" w:hAnsi="Times New Roman" w:cs="Times New Roman"/>
                <w:b/>
                <w:sz w:val="20"/>
                <w:szCs w:val="20"/>
              </w:rPr>
            </w:pPr>
            <w:r w:rsidRPr="0035187E">
              <w:rPr>
                <w:rFonts w:ascii="Times New Roman" w:eastAsia="Calibri" w:hAnsi="Times New Roman" w:cs="Times New Roman"/>
                <w:b/>
                <w:sz w:val="20"/>
                <w:szCs w:val="20"/>
              </w:rPr>
              <w:t>Připomínka k důvodové zprávě a § 18</w:t>
            </w:r>
          </w:p>
          <w:p w14:paraId="77885D0D" w14:textId="77777777" w:rsidR="000B4BD4" w:rsidRPr="0035187E" w:rsidRDefault="000B4BD4" w:rsidP="0035187E">
            <w:pPr>
              <w:tabs>
                <w:tab w:val="left" w:pos="567"/>
              </w:tabs>
              <w:jc w:val="both"/>
              <w:rPr>
                <w:rFonts w:ascii="Times New Roman" w:eastAsia="Calibri" w:hAnsi="Times New Roman" w:cs="Times New Roman"/>
                <w:bCs/>
                <w:sz w:val="20"/>
                <w:szCs w:val="20"/>
              </w:rPr>
            </w:pPr>
          </w:p>
          <w:p w14:paraId="05F33EEF" w14:textId="4AD20EA3" w:rsidR="000B4BD4" w:rsidRPr="0035187E" w:rsidRDefault="000B4BD4" w:rsidP="0035187E">
            <w:p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Požadujeme v důvodové zprávě k § 18 explicitně potvrdit, že datové zprávy o evidovaných tržbách neobsahují osobní údaje zákazníků (jména, čísla platebních karet, nákupní koše).</w:t>
            </w:r>
          </w:p>
          <w:p w14:paraId="5FC203EE" w14:textId="77777777"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w:t>
            </w:r>
          </w:p>
          <w:p w14:paraId="21B6D96A" w14:textId="25193279"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Potvrzením se zajistí soulad s nařízením GDPR a principem minimalizace dat.</w:t>
            </w:r>
          </w:p>
        </w:tc>
        <w:tc>
          <w:tcPr>
            <w:tcW w:w="1453" w:type="pct"/>
            <w:tcBorders>
              <w:top w:val="single" w:sz="4" w:space="0" w:color="auto"/>
              <w:left w:val="single" w:sz="4" w:space="0" w:color="auto"/>
              <w:right w:val="single" w:sz="4" w:space="0" w:color="auto"/>
            </w:tcBorders>
            <w:shd w:val="clear" w:color="auto" w:fill="auto"/>
          </w:tcPr>
          <w:p w14:paraId="7D8AD9BE" w14:textId="77777777" w:rsidR="000B4BD4" w:rsidRPr="0035187E" w:rsidRDefault="00DF74ED" w:rsidP="0035187E">
            <w:pPr>
              <w:jc w:val="both"/>
              <w:rPr>
                <w:rFonts w:ascii="Times New Roman" w:hAnsi="Times New Roman" w:cs="Times New Roman"/>
                <w:b/>
                <w:sz w:val="20"/>
                <w:szCs w:val="20"/>
              </w:rPr>
            </w:pPr>
            <w:r w:rsidRPr="0035187E">
              <w:rPr>
                <w:rFonts w:ascii="Times New Roman" w:hAnsi="Times New Roman" w:cs="Times New Roman"/>
                <w:b/>
                <w:sz w:val="20"/>
                <w:szCs w:val="20"/>
              </w:rPr>
              <w:t>Vyhověno.</w:t>
            </w:r>
          </w:p>
          <w:p w14:paraId="7EBF7612" w14:textId="73CD1F3A" w:rsidR="00DF74ED" w:rsidRPr="0035187E" w:rsidRDefault="00DF74ED"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tc>
      </w:tr>
      <w:tr w:rsidR="0035187E" w:rsidRPr="0035187E" w14:paraId="682C074B"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AD4D0B4" w14:textId="08B7124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40.</w:t>
            </w:r>
          </w:p>
        </w:tc>
        <w:tc>
          <w:tcPr>
            <w:tcW w:w="583" w:type="pct"/>
            <w:tcBorders>
              <w:top w:val="single" w:sz="4" w:space="0" w:color="auto"/>
              <w:left w:val="single" w:sz="4" w:space="0" w:color="auto"/>
              <w:right w:val="single" w:sz="4" w:space="0" w:color="auto"/>
            </w:tcBorders>
            <w:shd w:val="clear" w:color="auto" w:fill="auto"/>
          </w:tcPr>
          <w:p w14:paraId="41575046" w14:textId="724625C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4DAF60D3" w14:textId="179DE7A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37.</w:t>
            </w:r>
          </w:p>
        </w:tc>
        <w:tc>
          <w:tcPr>
            <w:tcW w:w="169" w:type="pct"/>
            <w:tcBorders>
              <w:top w:val="single" w:sz="4" w:space="0" w:color="auto"/>
              <w:left w:val="single" w:sz="4" w:space="0" w:color="auto"/>
              <w:right w:val="single" w:sz="4" w:space="0" w:color="auto"/>
            </w:tcBorders>
            <w:shd w:val="clear" w:color="auto" w:fill="auto"/>
          </w:tcPr>
          <w:p w14:paraId="5C225EDC" w14:textId="1FCC2AD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E5833E6" w14:textId="77777777" w:rsidR="000B4BD4" w:rsidRPr="0035187E" w:rsidRDefault="000B4BD4" w:rsidP="0035187E">
            <w:pPr>
              <w:numPr>
                <w:ilvl w:val="0"/>
                <w:numId w:val="70"/>
              </w:numPr>
              <w:tabs>
                <w:tab w:val="left" w:pos="567"/>
              </w:tabs>
              <w:ind w:left="0" w:firstLine="0"/>
              <w:jc w:val="both"/>
              <w:rPr>
                <w:rFonts w:ascii="Times New Roman" w:eastAsia="Calibri" w:hAnsi="Times New Roman" w:cs="Times New Roman"/>
                <w:b/>
                <w:sz w:val="20"/>
                <w:szCs w:val="20"/>
              </w:rPr>
            </w:pPr>
            <w:r w:rsidRPr="0035187E">
              <w:rPr>
                <w:rFonts w:ascii="Times New Roman" w:eastAsia="Calibri" w:hAnsi="Times New Roman" w:cs="Times New Roman"/>
                <w:b/>
                <w:sz w:val="20"/>
                <w:szCs w:val="20"/>
              </w:rPr>
              <w:t>Připomínka k účinnosti a pilotnímu režimu</w:t>
            </w:r>
          </w:p>
          <w:p w14:paraId="46E08B0C" w14:textId="77777777" w:rsidR="000B4BD4" w:rsidRPr="0035187E" w:rsidRDefault="000B4BD4" w:rsidP="0035187E">
            <w:pPr>
              <w:tabs>
                <w:tab w:val="left" w:pos="567"/>
              </w:tabs>
              <w:jc w:val="both"/>
              <w:rPr>
                <w:rFonts w:ascii="Times New Roman" w:eastAsia="Calibri" w:hAnsi="Times New Roman" w:cs="Times New Roman"/>
                <w:bCs/>
                <w:sz w:val="20"/>
                <w:szCs w:val="20"/>
              </w:rPr>
            </w:pPr>
          </w:p>
          <w:p w14:paraId="38CBC391" w14:textId="17A8EEDE" w:rsidR="000B4BD4" w:rsidRPr="0035187E" w:rsidRDefault="000B4BD4" w:rsidP="0035187E">
            <w:p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Návrh stanoví obecnou účinnost k 1. 1. 2027 s prvním měsícem dobrovolným. Pro festivaly a jednorázové akce požadujeme prodloužit pilotní režim na celou sezónu 2027 (do 31. 12. 2027).</w:t>
            </w:r>
          </w:p>
          <w:p w14:paraId="7C1A5BD0" w14:textId="77777777"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w:t>
            </w:r>
          </w:p>
          <w:p w14:paraId="1A4143AF"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lastRenderedPageBreak/>
              <w:t>Festivalová sezóna probíhá od května do září – jednoměsíční pilotní režim (leden) je pro testování v reálných podmínkách nepoužitelný.</w:t>
            </w:r>
          </w:p>
          <w:p w14:paraId="54CE53A2" w14:textId="77777777" w:rsidR="000B4BD4" w:rsidRPr="0035187E" w:rsidRDefault="000B4BD4" w:rsidP="0035187E">
            <w:pPr>
              <w:numPr>
                <w:ilvl w:val="0"/>
                <w:numId w:val="69"/>
              </w:numPr>
              <w:jc w:val="both"/>
              <w:rPr>
                <w:rFonts w:ascii="Times New Roman" w:eastAsia="Calibri" w:hAnsi="Times New Roman" w:cs="Times New Roman"/>
                <w:bCs/>
                <w:sz w:val="20"/>
                <w:szCs w:val="20"/>
              </w:rPr>
            </w:pPr>
            <w:proofErr w:type="spellStart"/>
            <w:r w:rsidRPr="0035187E">
              <w:rPr>
                <w:rFonts w:ascii="Times New Roman" w:eastAsia="Calibri" w:hAnsi="Times New Roman" w:cs="Times New Roman"/>
                <w:bCs/>
                <w:sz w:val="20"/>
                <w:szCs w:val="20"/>
              </w:rPr>
              <w:t>Jednorázovost</w:t>
            </w:r>
            <w:proofErr w:type="spellEnd"/>
            <w:r w:rsidRPr="0035187E">
              <w:rPr>
                <w:rFonts w:ascii="Times New Roman" w:eastAsia="Calibri" w:hAnsi="Times New Roman" w:cs="Times New Roman"/>
                <w:bCs/>
                <w:sz w:val="20"/>
                <w:szCs w:val="20"/>
              </w:rPr>
              <w:t xml:space="preserve"> akce – festival nelze „zopakovat“, pokud se při první akci v novém režimu vyskytnou problémy.</w:t>
            </w:r>
          </w:p>
          <w:p w14:paraId="2D9E0074" w14:textId="54701021" w:rsidR="000B4BD4" w:rsidRPr="0035187E" w:rsidRDefault="000B4BD4" w:rsidP="0035187E">
            <w:pPr>
              <w:numPr>
                <w:ilvl w:val="0"/>
                <w:numId w:val="69"/>
              </w:numPr>
              <w:jc w:val="both"/>
              <w:rPr>
                <w:rFonts w:ascii="Times New Roman" w:hAnsi="Times New Roman" w:cs="Times New Roman"/>
                <w:sz w:val="20"/>
                <w:szCs w:val="20"/>
              </w:rPr>
            </w:pPr>
            <w:r w:rsidRPr="0035187E">
              <w:rPr>
                <w:rFonts w:ascii="Times New Roman" w:eastAsia="Calibri" w:hAnsi="Times New Roman" w:cs="Times New Roman"/>
                <w:bCs/>
                <w:sz w:val="20"/>
                <w:szCs w:val="20"/>
              </w:rPr>
              <w:t>Nutnost úpravy softwarových platforem (</w:t>
            </w:r>
            <w:proofErr w:type="spellStart"/>
            <w:r w:rsidRPr="0035187E">
              <w:rPr>
                <w:rFonts w:ascii="Times New Roman" w:eastAsia="Calibri" w:hAnsi="Times New Roman" w:cs="Times New Roman"/>
                <w:bCs/>
                <w:sz w:val="20"/>
                <w:szCs w:val="20"/>
              </w:rPr>
              <w:t>NFCtron</w:t>
            </w:r>
            <w:proofErr w:type="spellEnd"/>
            <w:r w:rsidRPr="0035187E">
              <w:rPr>
                <w:rFonts w:ascii="Times New Roman" w:eastAsia="Calibri" w:hAnsi="Times New Roman" w:cs="Times New Roman"/>
                <w:bCs/>
                <w:sz w:val="20"/>
                <w:szCs w:val="20"/>
              </w:rPr>
              <w:t xml:space="preserve"> a další) pro nový režim evidence.</w:t>
            </w:r>
          </w:p>
        </w:tc>
        <w:tc>
          <w:tcPr>
            <w:tcW w:w="1453" w:type="pct"/>
            <w:tcBorders>
              <w:top w:val="single" w:sz="4" w:space="0" w:color="auto"/>
              <w:left w:val="single" w:sz="4" w:space="0" w:color="auto"/>
              <w:right w:val="single" w:sz="4" w:space="0" w:color="auto"/>
            </w:tcBorders>
            <w:shd w:val="clear" w:color="auto" w:fill="auto"/>
          </w:tcPr>
          <w:p w14:paraId="77BA2428" w14:textId="77777777" w:rsidR="000B4BD4" w:rsidRPr="0035187E" w:rsidRDefault="003036A3"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Vysvětleno.</w:t>
            </w:r>
          </w:p>
          <w:p w14:paraId="21843683" w14:textId="66C40A0B" w:rsidR="003036A3" w:rsidRPr="0035187E" w:rsidRDefault="003036A3" w:rsidP="0035187E">
            <w:pPr>
              <w:jc w:val="both"/>
              <w:rPr>
                <w:rFonts w:ascii="Times New Roman" w:hAnsi="Times New Roman" w:cs="Times New Roman"/>
                <w:sz w:val="20"/>
                <w:szCs w:val="20"/>
              </w:rPr>
            </w:pPr>
            <w:r w:rsidRPr="0035187E">
              <w:rPr>
                <w:rFonts w:ascii="Times New Roman" w:hAnsi="Times New Roman" w:cs="Times New Roman"/>
                <w:sz w:val="20"/>
                <w:szCs w:val="20"/>
              </w:rPr>
              <w:t>je třeba uvést na pravou míru, že návrh zákona nestanovuje „první měsíc dobrovolný“, jak uvádí text připomínky. Účinnost zákona je navržena jednotně od 1. ledna 2027.</w:t>
            </w:r>
          </w:p>
        </w:tc>
      </w:tr>
      <w:tr w:rsidR="0035187E" w:rsidRPr="0035187E" w14:paraId="68369568" w14:textId="77777777" w:rsidTr="0035187E">
        <w:trPr>
          <w:trHeight w:val="44"/>
        </w:trPr>
        <w:tc>
          <w:tcPr>
            <w:tcW w:w="227" w:type="pct"/>
            <w:tcBorders>
              <w:top w:val="single" w:sz="4" w:space="0" w:color="auto"/>
              <w:left w:val="single" w:sz="4" w:space="0" w:color="auto"/>
              <w:right w:val="single" w:sz="4" w:space="0" w:color="auto"/>
            </w:tcBorders>
            <w:shd w:val="clear" w:color="auto" w:fill="auto"/>
          </w:tcPr>
          <w:p w14:paraId="7C20C1ED" w14:textId="082455A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40.</w:t>
            </w:r>
          </w:p>
        </w:tc>
        <w:tc>
          <w:tcPr>
            <w:tcW w:w="583" w:type="pct"/>
            <w:tcBorders>
              <w:top w:val="single" w:sz="4" w:space="0" w:color="auto"/>
              <w:left w:val="single" w:sz="4" w:space="0" w:color="auto"/>
              <w:right w:val="single" w:sz="4" w:space="0" w:color="auto"/>
            </w:tcBorders>
            <w:shd w:val="clear" w:color="auto" w:fill="auto"/>
          </w:tcPr>
          <w:p w14:paraId="0FBCA0B4" w14:textId="74F5D19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526DD9C1" w14:textId="2931127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38.</w:t>
            </w:r>
          </w:p>
        </w:tc>
        <w:tc>
          <w:tcPr>
            <w:tcW w:w="169" w:type="pct"/>
            <w:tcBorders>
              <w:top w:val="single" w:sz="4" w:space="0" w:color="auto"/>
              <w:left w:val="single" w:sz="4" w:space="0" w:color="auto"/>
              <w:right w:val="single" w:sz="4" w:space="0" w:color="auto"/>
            </w:tcBorders>
            <w:shd w:val="clear" w:color="auto" w:fill="auto"/>
          </w:tcPr>
          <w:p w14:paraId="5B479C13" w14:textId="5A9EEA9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3B54EEE1" w14:textId="77777777" w:rsidR="000B4BD4" w:rsidRPr="0035187E" w:rsidRDefault="000B4BD4" w:rsidP="0035187E">
            <w:pPr>
              <w:numPr>
                <w:ilvl w:val="0"/>
                <w:numId w:val="68"/>
              </w:numPr>
              <w:tabs>
                <w:tab w:val="left" w:pos="567"/>
              </w:tabs>
              <w:ind w:left="0" w:firstLine="4"/>
              <w:jc w:val="both"/>
              <w:rPr>
                <w:rFonts w:ascii="Times New Roman" w:hAnsi="Times New Roman" w:cs="Times New Roman"/>
                <w:b/>
                <w:sz w:val="20"/>
                <w:szCs w:val="20"/>
              </w:rPr>
            </w:pPr>
            <w:r w:rsidRPr="0035187E">
              <w:rPr>
                <w:rFonts w:ascii="Times New Roman" w:hAnsi="Times New Roman" w:cs="Times New Roman"/>
                <w:b/>
                <w:sz w:val="20"/>
                <w:szCs w:val="20"/>
              </w:rPr>
              <w:t>Zásadní připomínky nad rámec předloženého materiálu</w:t>
            </w:r>
          </w:p>
          <w:p w14:paraId="445CFFEF" w14:textId="77777777" w:rsidR="000B4BD4" w:rsidRPr="0035187E" w:rsidRDefault="000B4BD4" w:rsidP="0035187E">
            <w:pPr>
              <w:numPr>
                <w:ilvl w:val="0"/>
                <w:numId w:val="72"/>
              </w:numPr>
              <w:tabs>
                <w:tab w:val="left" w:pos="567"/>
              </w:tabs>
              <w:ind w:left="0" w:firstLine="4"/>
              <w:jc w:val="both"/>
              <w:rPr>
                <w:rFonts w:ascii="Times New Roman" w:eastAsia="Calibri" w:hAnsi="Times New Roman" w:cs="Times New Roman"/>
                <w:b/>
                <w:sz w:val="20"/>
                <w:szCs w:val="20"/>
              </w:rPr>
            </w:pPr>
            <w:r w:rsidRPr="0035187E">
              <w:rPr>
                <w:rFonts w:ascii="Times New Roman" w:eastAsia="Calibri" w:hAnsi="Times New Roman" w:cs="Times New Roman"/>
                <w:b/>
                <w:sz w:val="20"/>
                <w:szCs w:val="20"/>
              </w:rPr>
              <w:t>Připomínka k části druhé, změna zákona o daních z příjmů, nový novelizační bod X</w:t>
            </w:r>
          </w:p>
          <w:p w14:paraId="29A61D01" w14:textId="77777777" w:rsidR="000B4BD4" w:rsidRPr="0035187E" w:rsidRDefault="000B4BD4" w:rsidP="0035187E">
            <w:pPr>
              <w:tabs>
                <w:tab w:val="left" w:pos="567"/>
              </w:tabs>
              <w:jc w:val="both"/>
              <w:rPr>
                <w:rFonts w:ascii="Times New Roman" w:eastAsia="Calibri" w:hAnsi="Times New Roman" w:cs="Times New Roman"/>
                <w:bCs/>
                <w:sz w:val="20"/>
                <w:szCs w:val="20"/>
              </w:rPr>
            </w:pPr>
          </w:p>
          <w:p w14:paraId="3ED357A1" w14:textId="4AAEA96A" w:rsidR="000B4BD4" w:rsidRPr="0035187E" w:rsidRDefault="000B4BD4" w:rsidP="0035187E">
            <w:p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Požadujeme do změn zákona o daních z příjmů doplnit nový novelizační bod X a přečíslovat následující body. V novém bodě X požadujeme upravit výši příspěvku na stravování na hranici 100 % horní hranice stravného v případě tzv. nepeněžních plnění, které lze poskytnout zaměstnancům odměňovaným mzdou při pracovní cestě trvající 5 až 12 hodin. Výše příspěvku u peněžního plnění se nemění.</w:t>
            </w:r>
          </w:p>
          <w:p w14:paraId="4CD5933B" w14:textId="77777777" w:rsidR="000B4BD4" w:rsidRPr="0035187E" w:rsidRDefault="000B4BD4" w:rsidP="0035187E">
            <w:pPr>
              <w:jc w:val="both"/>
              <w:rPr>
                <w:rFonts w:ascii="Times New Roman" w:eastAsia="Calibri" w:hAnsi="Times New Roman" w:cs="Times New Roman"/>
                <w:bCs/>
                <w:sz w:val="20"/>
                <w:szCs w:val="20"/>
              </w:rPr>
            </w:pPr>
          </w:p>
          <w:p w14:paraId="387E0CCF" w14:textId="77777777" w:rsidR="000B4BD4" w:rsidRPr="0035187E" w:rsidRDefault="000B4BD4" w:rsidP="0035187E">
            <w:pPr>
              <w:jc w:val="both"/>
              <w:rPr>
                <w:rFonts w:ascii="Times New Roman" w:eastAsia="Calibri" w:hAnsi="Times New Roman" w:cs="Times New Roman"/>
                <w:bCs/>
                <w:sz w:val="20"/>
                <w:szCs w:val="20"/>
              </w:rPr>
            </w:pPr>
          </w:p>
          <w:p w14:paraId="56BE3AE3"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Konkrétně tedy požadujeme upravit § 6 odst. 9 písm. b) zákona o daních z příjmů následovně:</w:t>
            </w:r>
          </w:p>
          <w:p w14:paraId="5AE60090" w14:textId="77777777" w:rsidR="000B4BD4" w:rsidRPr="0035187E" w:rsidRDefault="000B4BD4" w:rsidP="0035187E">
            <w:pPr>
              <w:jc w:val="both"/>
              <w:rPr>
                <w:rFonts w:ascii="Times New Roman" w:eastAsia="Calibri" w:hAnsi="Times New Roman" w:cs="Times New Roman"/>
                <w:bCs/>
                <w:i/>
                <w:iCs/>
                <w:sz w:val="20"/>
                <w:szCs w:val="20"/>
              </w:rPr>
            </w:pPr>
            <w:r w:rsidRPr="0035187E">
              <w:rPr>
                <w:rFonts w:ascii="Times New Roman" w:eastAsia="Calibri" w:hAnsi="Times New Roman" w:cs="Times New Roman"/>
                <w:bCs/>
                <w:i/>
                <w:iCs/>
                <w:sz w:val="20"/>
                <w:szCs w:val="20"/>
              </w:rPr>
              <w:t xml:space="preserve">„b) příjem zaměstnance ve formě příspěvku na stravování poskytnutého zaměstnavatelem za jednu směnu podle jiného právního předpisu, pokud během této směny zaměstnanec vykonával práci alespoň 3 hodiny a nevznikl mu během této směny nárok na stravné v rámci cestovních náhrad podle jiného právního předpisu, a to v úhrnu do výše 70 % horní hranice stravného </w:t>
            </w:r>
            <w:r w:rsidRPr="0035187E">
              <w:rPr>
                <w:rFonts w:ascii="Times New Roman" w:eastAsia="Calibri" w:hAnsi="Times New Roman" w:cs="Times New Roman"/>
                <w:b/>
                <w:i/>
                <w:iCs/>
                <w:sz w:val="20"/>
                <w:szCs w:val="20"/>
              </w:rPr>
              <w:t>v případě</w:t>
            </w:r>
            <w:r w:rsidRPr="0035187E">
              <w:rPr>
                <w:rFonts w:ascii="Times New Roman" w:eastAsia="Calibri" w:hAnsi="Times New Roman" w:cs="Times New Roman"/>
                <w:bCs/>
                <w:i/>
                <w:iCs/>
                <w:sz w:val="20"/>
                <w:szCs w:val="20"/>
              </w:rPr>
              <w:t xml:space="preserve"> </w:t>
            </w:r>
            <w:r w:rsidRPr="0035187E">
              <w:rPr>
                <w:rFonts w:ascii="Times New Roman" w:eastAsia="Calibri" w:hAnsi="Times New Roman" w:cs="Times New Roman"/>
                <w:b/>
                <w:i/>
                <w:iCs/>
                <w:sz w:val="20"/>
                <w:szCs w:val="20"/>
              </w:rPr>
              <w:t>peněžitého příspěvku na stravování nebo úhrnu do výše 100 % horní hranice stravného v případě stravování poskytovaného jako nepeněžní plnění ke spotřebě na pracovišti zaměstnance nebo v rámci stravování zajišťovaného prostřednictvím jiného subjektu než zaměstnavatele</w:t>
            </w:r>
            <w:r w:rsidRPr="0035187E">
              <w:rPr>
                <w:rFonts w:ascii="Times New Roman" w:eastAsia="Calibri" w:hAnsi="Times New Roman" w:cs="Times New Roman"/>
                <w:bCs/>
                <w:i/>
                <w:iCs/>
                <w:sz w:val="20"/>
                <w:szCs w:val="20"/>
              </w:rPr>
              <w:t xml:space="preserve">, které lze poskytnout zaměstnancům odměňovaným platem při pracovní cestě trvající 5 až 12 hodin, a v úhrnu do výše 70 % této hranice </w:t>
            </w:r>
            <w:r w:rsidRPr="0035187E">
              <w:rPr>
                <w:rFonts w:ascii="Times New Roman" w:eastAsia="Calibri" w:hAnsi="Times New Roman" w:cs="Times New Roman"/>
                <w:b/>
                <w:i/>
                <w:iCs/>
                <w:sz w:val="20"/>
                <w:szCs w:val="20"/>
              </w:rPr>
              <w:t>v případě peněžitého příspěvku na stravování nebo úhrnu do výše 100 % horní hranice stravného v případě stravování poskytované jako nepeněžní plnění ke spotřebě na pracovišti zaměstnance nebo v rámci stravování zajišťovaného prostřednictvím jiného subjektu než zaměstnavatele</w:t>
            </w:r>
            <w:r w:rsidRPr="0035187E">
              <w:rPr>
                <w:rFonts w:ascii="Times New Roman" w:eastAsia="Calibri" w:hAnsi="Times New Roman" w:cs="Times New Roman"/>
                <w:bCs/>
                <w:i/>
                <w:iCs/>
                <w:sz w:val="20"/>
                <w:szCs w:val="20"/>
              </w:rPr>
              <w:t xml:space="preserve">, je-li příspěvek poskytnut jako další příspěvek v rámci stejné směny, pokud její délka v úhrnu s přestávkou v práci povinně poskytovanou zaměstnavatelem podle jiného právního předpisu je delší než 11 hodin; v případě zaměstnance vykonávajícího činnost, ze které plyne příjem ze závislé činnosti, jejíž výkon není rozvržen na směny podle jiného právního předpisu, je příjem ve formě příspěvku na stravování poskytnutého zaměstnavatelem od daně osvobozen, pokud během kalendářního dne zaměstnanec vykonával práci alespoň 3 hodiny a nevznikl mu během tohoto dne nárok na stravné v rámci cestovních náhrad podle jiného právního předpisu ani na stravné v rámci cestovních náhrad na základě smlouvy, a to v úhrnu do výše 70 % horní hranice stravného </w:t>
            </w:r>
            <w:r w:rsidRPr="0035187E">
              <w:rPr>
                <w:rFonts w:ascii="Times New Roman" w:eastAsia="Calibri" w:hAnsi="Times New Roman" w:cs="Times New Roman"/>
                <w:b/>
                <w:i/>
                <w:iCs/>
                <w:sz w:val="20"/>
                <w:szCs w:val="20"/>
              </w:rPr>
              <w:t xml:space="preserve">v případě peněžitého příspěvku na stravování nebo úhrnu do výše 100 % horní hranice stravného v případě stravování poskytovaného jako nepeněžní plnění ke spotřebě na pracovišti zaměstnance nebo v rámci stravování zajišťovaného </w:t>
            </w:r>
            <w:r w:rsidRPr="0035187E">
              <w:rPr>
                <w:rFonts w:ascii="Times New Roman" w:eastAsia="Calibri" w:hAnsi="Times New Roman" w:cs="Times New Roman"/>
                <w:b/>
                <w:i/>
                <w:iCs/>
                <w:sz w:val="20"/>
                <w:szCs w:val="20"/>
              </w:rPr>
              <w:lastRenderedPageBreak/>
              <w:t>prostřednictvím jiného subjektu než zaměstnavatele</w:t>
            </w:r>
            <w:r w:rsidRPr="0035187E">
              <w:rPr>
                <w:rFonts w:ascii="Times New Roman" w:eastAsia="Calibri" w:hAnsi="Times New Roman" w:cs="Times New Roman"/>
                <w:bCs/>
                <w:i/>
                <w:iCs/>
                <w:sz w:val="20"/>
                <w:szCs w:val="20"/>
              </w:rPr>
              <w:t xml:space="preserve">, které lze poskytnout zaměstnancům odměňovaným platem při pracovní cestě trvající 5 až 12 hodin, a v úhrnu do výše 70 % této hranice </w:t>
            </w:r>
            <w:r w:rsidRPr="0035187E">
              <w:rPr>
                <w:rFonts w:ascii="Times New Roman" w:eastAsia="Calibri" w:hAnsi="Times New Roman" w:cs="Times New Roman"/>
                <w:b/>
                <w:i/>
                <w:iCs/>
                <w:sz w:val="20"/>
                <w:szCs w:val="20"/>
              </w:rPr>
              <w:t>v případě peněžitého příspěvku na stravování nebo úhrnu do výše 100 % horní hranice stravného v případě stravování poskytovaného jako nepeněžní plnění ke spotřebě na pracovišti zaměstnance nebo v rámci stravování zajišťovaného prostřednictvím jiného subjektu než zaměstnavatele</w:t>
            </w:r>
            <w:r w:rsidRPr="0035187E">
              <w:rPr>
                <w:rFonts w:ascii="Times New Roman" w:eastAsia="Calibri" w:hAnsi="Times New Roman" w:cs="Times New Roman"/>
                <w:bCs/>
                <w:i/>
                <w:iCs/>
                <w:sz w:val="20"/>
                <w:szCs w:val="20"/>
              </w:rPr>
              <w:t>, je-li příspěvek poskytnut jako další příspěvek v rámci stejného kalendářního dne, pokud během tohoto dne zaměstnanec vykonával práci alespoň 11 hodin (…)“</w:t>
            </w:r>
          </w:p>
          <w:p w14:paraId="52567318" w14:textId="77777777" w:rsidR="000B4BD4" w:rsidRPr="0035187E" w:rsidRDefault="000B4BD4" w:rsidP="0035187E">
            <w:pPr>
              <w:jc w:val="both"/>
              <w:rPr>
                <w:rFonts w:ascii="Times New Roman" w:hAnsi="Times New Roman" w:cs="Times New Roman"/>
                <w:sz w:val="20"/>
                <w:szCs w:val="20"/>
                <w:u w:val="single"/>
              </w:rPr>
            </w:pPr>
          </w:p>
          <w:p w14:paraId="44B075F2" w14:textId="64B36C81"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w:t>
            </w:r>
          </w:p>
          <w:p w14:paraId="40A99264"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HK ČR před lety podpořila zavedení tzv. </w:t>
            </w:r>
            <w:proofErr w:type="spellStart"/>
            <w:r w:rsidRPr="0035187E">
              <w:rPr>
                <w:rFonts w:ascii="Times New Roman" w:hAnsi="Times New Roman" w:cs="Times New Roman"/>
                <w:sz w:val="20"/>
                <w:szCs w:val="20"/>
              </w:rPr>
              <w:t>stravenkových</w:t>
            </w:r>
            <w:proofErr w:type="spellEnd"/>
            <w:r w:rsidRPr="0035187E">
              <w:rPr>
                <w:rFonts w:ascii="Times New Roman" w:hAnsi="Times New Roman" w:cs="Times New Roman"/>
                <w:sz w:val="20"/>
                <w:szCs w:val="20"/>
              </w:rPr>
              <w:t xml:space="preserve"> paušálů jako nástroje k masivnějšímu rozšíření stravovacích benefitů zejména mezi zaměstnanci malých a středních firem a prostředku k „rozpuštění“ selektivní daňové úlevy. Zkušenosti s aktuálně nastaveným variantním systémem nicméně ukazují, že by bylo racionální postupovat při poskytování stravovacích benefitů diferencovaněji, a sice podpořit zaměstnanecké stravování tak, aby více reflektovalo své cíle a vedlo k pravidelnějšímu a kvalitnějšímu stravování zaměstnanců. Proto navrhujeme parametrickou úpravu příspěvku na stravování, která posiluje tzv. nepeněžní formy podpory. Změna přibližuje výši příspěvku skutečné ceně obědů, čímž podpoří častější stravování v kantýnách a restauracích, přispěje k dostupnosti a pravidelnosti stravy s očekávanými pozitivními zdravotními dopady, a zároveň především u stravování v závodních jídelnách sníží administrativní zátěž zaměstnavatelů. Zároveň navržená úprava směřuje k přesnějšímu rozlišení mezi peněžitou a účelově vázanou podporou zaměstnaneckého stravování. Jejím cílem je nastavit daňovou podporu tak, aby více zohledňovala míru účelovosti jednotlivých forem. Vyšší limit u nepeněžních forem odpovídá tomu, že tyto nástroje jsou bezprostředně spojeny s pořízením jídla, a lépe tak naplňují smysl podpory zaměstnaneckého stravování.</w:t>
            </w:r>
          </w:p>
          <w:p w14:paraId="4461D920"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Ceny obědů kontinuálně stoupají (většinou se již pohybují nad psychologickou hranicí 200 Kč za oběd) a zároveň počet lidí, kteří navštěvují v době oběda restaurace a závodní jídelny, klesá. Navržené zvýšení limitu u nepeněžních forem na 100 % horní hranice stravného tak lépe odpovídá dnešní reálné ceně oběda. Praktickým dopadem je, že podpora přestává být odtržená od cenové reality na trhu a může účinněji plnit svůj účel. Z některých průzkumů přitom vyplývá, že nepeněžní příspěvek na oběd (2x častěji a více) zvyšuje motivaci na oběd chodit. Jiný průzkum pak ukazuje, že až 51 procent zaměstnanců říká, že se díky tomuto příspěvku na stravování stravují vyváženěji a zdravěji.</w:t>
            </w:r>
          </w:p>
          <w:p w14:paraId="78D36F72"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V České republice je strava přitom dlouhodobě z pohledu veřejného zdraví velmi problematická. Způsobuje nejvíce </w:t>
            </w:r>
            <w:proofErr w:type="spellStart"/>
            <w:r w:rsidRPr="0035187E">
              <w:rPr>
                <w:rFonts w:ascii="Times New Roman" w:hAnsi="Times New Roman" w:cs="Times New Roman"/>
                <w:sz w:val="20"/>
                <w:szCs w:val="20"/>
              </w:rPr>
              <w:t>nadúmrtí</w:t>
            </w:r>
            <w:proofErr w:type="spellEnd"/>
            <w:r w:rsidRPr="0035187E">
              <w:rPr>
                <w:rFonts w:ascii="Times New Roman" w:hAnsi="Times New Roman" w:cs="Times New Roman"/>
                <w:sz w:val="20"/>
                <w:szCs w:val="20"/>
              </w:rPr>
              <w:t xml:space="preserve"> (více než cigarety nebo alkohol), významně přispívá k civilizačním chorobám (kardiovaskulární onemocnění, diabetes druhého typu a další) a celkově nižšímu věku dožití ve zdraví. To pak představuje znatelnou zátěž na veřejné rozpočty – ať již přímo skrze zdravotní náklady, tak nepřímo skrze absence, nižší produktivitu práce, či kratší dobu aktivního života. Navrhovaná změna tak znamená podporu modelu, který by byl účelnější, lépe zacílený a přínosný z podnikatelského hlediska nejen subjektivně pro sektor stravovacích služeb, ale objektivně pro všechny </w:t>
            </w:r>
            <w:r w:rsidRPr="0035187E">
              <w:rPr>
                <w:rFonts w:ascii="Times New Roman" w:hAnsi="Times New Roman" w:cs="Times New Roman"/>
                <w:sz w:val="20"/>
                <w:szCs w:val="20"/>
              </w:rPr>
              <w:lastRenderedPageBreak/>
              <w:t>zaměstnavatele zapojené do modelu, přičemž HK ČR je přesvědčena i o užitku pro samotné zaměstnance jako beneficienty.</w:t>
            </w:r>
          </w:p>
          <w:p w14:paraId="62676BE9"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Navrhovaná změna navazuje na Programové prohlášení vlády ( “</w:t>
            </w:r>
            <w:r w:rsidRPr="0035187E">
              <w:rPr>
                <w:rFonts w:ascii="Times New Roman" w:hAnsi="Times New Roman" w:cs="Times New Roman"/>
                <w:i/>
                <w:iCs/>
                <w:sz w:val="20"/>
                <w:szCs w:val="20"/>
              </w:rPr>
              <w:t>Zaměříme se na prevenci, včasnou diagnostiku a podporu zdravého životního stylu, abychom předcházeli nemocem a zlepšili kvalitu života lidí všech generací</w:t>
            </w:r>
            <w:r w:rsidRPr="0035187E">
              <w:rPr>
                <w:rFonts w:ascii="Times New Roman" w:hAnsi="Times New Roman" w:cs="Times New Roman"/>
                <w:sz w:val="20"/>
                <w:szCs w:val="20"/>
              </w:rPr>
              <w:t>.”) a Národní kardiovaskulární plán ČR na období 2025-2035 (Specifický cíl 1.1 - Zvýšení pozitivní motivace ke změně životního stylu obyvatel, zvýšení zdravotní gramotnosti a zlepšení prevence kardiovaskulárních onemocnění -  „</w:t>
            </w:r>
            <w:r w:rsidRPr="0035187E">
              <w:rPr>
                <w:rFonts w:ascii="Times New Roman" w:hAnsi="Times New Roman" w:cs="Times New Roman"/>
                <w:i/>
                <w:iCs/>
                <w:sz w:val="20"/>
                <w:szCs w:val="20"/>
              </w:rPr>
              <w:t>Systémová podpora zdravého pracovního prostředí a spolupráce se zaměstnavateli na jeho rozvoji</w:t>
            </w:r>
            <w:r w:rsidRPr="0035187E">
              <w:rPr>
                <w:rFonts w:ascii="Times New Roman" w:hAnsi="Times New Roman" w:cs="Times New Roman"/>
                <w:sz w:val="20"/>
                <w:szCs w:val="20"/>
              </w:rPr>
              <w:t xml:space="preserve">…“) a pomáhá s naplněním jejich cílů. </w:t>
            </w:r>
          </w:p>
          <w:p w14:paraId="34A3C175"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Dále návrh představuje znatelné snížení administrativy pro zaměstnavatele, jelikož částka 100 % horní hranice stravného přibližně odpovídá průměrné ceně oběda v závodních jídelnách. Mzdové účtárny tak nebudou muset ve většině případů vypočítávat rozdíl mezi hodnotou jídla a daňovým limitem a tento rozdíl zahrnovat na mzdové listy ke zdanění nebo zajišťovat doplácení hodnoty jídla.</w:t>
            </w:r>
          </w:p>
          <w:p w14:paraId="094169FE"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Navrhované řešení současně reflektuje vývoj v oblasti digitalizace zaměstnaneckých benefitů. Účelové nepeněžní formy stravování jsou dnes často poskytovány elektronicky, například prostřednictvím digitálních stravenek, mobilních aplikací nebo jiných bezhotovostních nástrojů. Tyto formy přinášejí nižší administrativní zátěž, vyšší uživatelský komfort i lepší přehled o využití prostředků. Právní úprava by proto měla podporovat technologicky neutrální prostředí, ve kterém mohou vedle tradičních forem fungovat i moderní digitální řešení, pokud jsou vázána na skutečné čerpání stravování, čemuž předložený návrh změny zákona o daních z příjmů plně odpovídá.</w:t>
            </w:r>
          </w:p>
          <w:p w14:paraId="2D8BE980"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Návrh má vedle toho i širší hospodářský význam. Účelové formy zaměstnaneckého stravování podporují pravidelnou denní spotřebu ve službách, které byly v uplynulých letech výrazně zatíženy změnami spotřebitelského chování i růstem nákladů. Posílení těchto forem proto přispívá ke stabilitě gastronomického sektoru a souvisejících provozů, aniž by rušilo stávající možnost využívat stravovací paušál, a umožňuje udržovat obslužnost i mimo velká ekonomická centra, jako jsou města, centra cestovního ruchu apod.</w:t>
            </w:r>
          </w:p>
          <w:p w14:paraId="653B725F" w14:textId="7D78F669"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Rozpočtové dopady návrhu by mohly být neutrální. Navýšení limitu pro účelovou podporu stravování na 100 % horní hranice stravného sice povede k nižšímu výběru na dani z příjmů fyzických osob, který ale bude kompenzován vyšším výběrem daní u stravovacích služeb.</w:t>
            </w:r>
          </w:p>
        </w:tc>
        <w:tc>
          <w:tcPr>
            <w:tcW w:w="1453" w:type="pct"/>
            <w:tcBorders>
              <w:top w:val="single" w:sz="4" w:space="0" w:color="auto"/>
              <w:left w:val="single" w:sz="4" w:space="0" w:color="auto"/>
              <w:right w:val="single" w:sz="4" w:space="0" w:color="auto"/>
            </w:tcBorders>
            <w:shd w:val="clear" w:color="auto" w:fill="auto"/>
          </w:tcPr>
          <w:p w14:paraId="73C3773F" w14:textId="77777777" w:rsidR="00970286" w:rsidRPr="0035187E" w:rsidRDefault="00970286"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Nevyhověno.</w:t>
            </w:r>
          </w:p>
          <w:p w14:paraId="2CC293AA" w14:textId="77777777" w:rsidR="00970286" w:rsidRPr="0035187E" w:rsidRDefault="00970286" w:rsidP="0035187E">
            <w:pPr>
              <w:jc w:val="both"/>
              <w:rPr>
                <w:rFonts w:ascii="Times New Roman" w:hAnsi="Times New Roman" w:cs="Times New Roman"/>
                <w:sz w:val="20"/>
                <w:szCs w:val="20"/>
              </w:rPr>
            </w:pPr>
            <w:r w:rsidRPr="0035187E">
              <w:rPr>
                <w:rFonts w:ascii="Times New Roman" w:hAnsi="Times New Roman" w:cs="Times New Roman"/>
                <w:sz w:val="20"/>
                <w:szCs w:val="20"/>
              </w:rPr>
              <w:t>Podnět přesahuje rámec navrhované úpravy zákona o evidenci tržeb.</w:t>
            </w:r>
          </w:p>
          <w:p w14:paraId="3FA7AA43" w14:textId="77777777" w:rsidR="00970286" w:rsidRPr="0035187E" w:rsidRDefault="00970286" w:rsidP="0035187E">
            <w:pPr>
              <w:jc w:val="both"/>
              <w:rPr>
                <w:rFonts w:ascii="Times New Roman" w:hAnsi="Times New Roman" w:cs="Times New Roman"/>
                <w:sz w:val="20"/>
                <w:szCs w:val="20"/>
              </w:rPr>
            </w:pPr>
            <w:r w:rsidRPr="0035187E">
              <w:rPr>
                <w:rFonts w:ascii="Times New Roman" w:hAnsi="Times New Roman" w:cs="Times New Roman"/>
                <w:sz w:val="20"/>
                <w:szCs w:val="20"/>
              </w:rPr>
              <w:t>Z pohledu zdravotní politiky a prevence nelze garantovat, že zvýšení limitu příspěvku na stravování skutečně povede k lepší stravovací kultuře nebo ke snížení civilizačních onemocnění. Podpora zdravého životního stylu vyžaduje komplexní a systematický přístup zahrnující vzdělávání, osvětu, regulaci nabídky potravin a celkovou strategii veřejného zdraví, nikoli pouze parametrické zvyšování daňového osvobození u jedné formy zaměstnaneckého příspěvku. Navrhované opatření je navíc nesystémové, protože zvýšení daňového osvobození se vztahuje pouze na nepeněžní formu příspěvku (např. stravenek), zatímco peněžitý příspěvek zůstává omezen na nižší hranici.</w:t>
            </w:r>
            <w:r w:rsidRPr="0035187E">
              <w:t xml:space="preserve"> </w:t>
            </w:r>
            <w:r w:rsidRPr="0035187E">
              <w:rPr>
                <w:rFonts w:ascii="Times New Roman" w:hAnsi="Times New Roman" w:cs="Times New Roman"/>
                <w:sz w:val="20"/>
                <w:szCs w:val="20"/>
              </w:rPr>
              <w:t>Zaměstnanec, který by platil oběd v restauračním zařízení v hotovosti, by byl znevýhodněn oproti zaměstnanci, který by stejný oběd odebíral za stravenku.</w:t>
            </w:r>
          </w:p>
          <w:p w14:paraId="349F8ED0" w14:textId="22640FEB" w:rsidR="000B4BD4" w:rsidRPr="0035187E" w:rsidRDefault="000B4BD4" w:rsidP="0035187E">
            <w:pPr>
              <w:jc w:val="both"/>
              <w:rPr>
                <w:rFonts w:ascii="Times New Roman" w:hAnsi="Times New Roman" w:cs="Times New Roman"/>
                <w:sz w:val="20"/>
                <w:szCs w:val="20"/>
              </w:rPr>
            </w:pPr>
          </w:p>
        </w:tc>
      </w:tr>
      <w:tr w:rsidR="0035187E" w:rsidRPr="0035187E" w14:paraId="7DF9AC01"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10E9A70" w14:textId="1576480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40.</w:t>
            </w:r>
          </w:p>
        </w:tc>
        <w:tc>
          <w:tcPr>
            <w:tcW w:w="583" w:type="pct"/>
            <w:tcBorders>
              <w:top w:val="single" w:sz="4" w:space="0" w:color="auto"/>
              <w:left w:val="single" w:sz="4" w:space="0" w:color="auto"/>
              <w:right w:val="single" w:sz="4" w:space="0" w:color="auto"/>
            </w:tcBorders>
            <w:shd w:val="clear" w:color="auto" w:fill="auto"/>
          </w:tcPr>
          <w:p w14:paraId="7847847D" w14:textId="75B5000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6AB2AC63" w14:textId="1EE2994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39.</w:t>
            </w:r>
          </w:p>
        </w:tc>
        <w:tc>
          <w:tcPr>
            <w:tcW w:w="169" w:type="pct"/>
            <w:tcBorders>
              <w:top w:val="single" w:sz="4" w:space="0" w:color="auto"/>
              <w:left w:val="single" w:sz="4" w:space="0" w:color="auto"/>
              <w:right w:val="single" w:sz="4" w:space="0" w:color="auto"/>
            </w:tcBorders>
            <w:shd w:val="clear" w:color="auto" w:fill="auto"/>
          </w:tcPr>
          <w:p w14:paraId="638C5144" w14:textId="7620258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65DB9B8" w14:textId="77777777" w:rsidR="000B4BD4" w:rsidRPr="0035187E" w:rsidRDefault="000B4BD4" w:rsidP="0035187E">
            <w:pPr>
              <w:numPr>
                <w:ilvl w:val="0"/>
                <w:numId w:val="72"/>
              </w:numPr>
              <w:tabs>
                <w:tab w:val="left" w:pos="567"/>
              </w:tabs>
              <w:ind w:left="0" w:firstLine="4"/>
              <w:jc w:val="both"/>
              <w:rPr>
                <w:rFonts w:ascii="Times New Roman" w:eastAsia="Calibri" w:hAnsi="Times New Roman" w:cs="Times New Roman"/>
                <w:b/>
                <w:sz w:val="20"/>
                <w:szCs w:val="20"/>
              </w:rPr>
            </w:pPr>
            <w:r w:rsidRPr="0035187E">
              <w:rPr>
                <w:rFonts w:ascii="Times New Roman" w:eastAsia="Calibri" w:hAnsi="Times New Roman" w:cs="Times New Roman"/>
                <w:b/>
                <w:sz w:val="20"/>
                <w:szCs w:val="20"/>
              </w:rPr>
              <w:t>Připomínka k části druhé, změna zákona o daních z příjmů, nové novelizační body</w:t>
            </w:r>
          </w:p>
          <w:p w14:paraId="3672E46A" w14:textId="77777777" w:rsidR="000B4BD4" w:rsidRPr="0035187E" w:rsidRDefault="000B4BD4" w:rsidP="0035187E">
            <w:pPr>
              <w:tabs>
                <w:tab w:val="left" w:pos="567"/>
              </w:tabs>
              <w:jc w:val="both"/>
              <w:rPr>
                <w:rFonts w:ascii="Times New Roman" w:eastAsia="Calibri" w:hAnsi="Times New Roman" w:cs="Times New Roman"/>
                <w:bCs/>
                <w:sz w:val="20"/>
                <w:szCs w:val="20"/>
              </w:rPr>
            </w:pPr>
          </w:p>
          <w:p w14:paraId="74AA9A0A" w14:textId="3A219C38" w:rsidR="000B4BD4" w:rsidRPr="0035187E" w:rsidRDefault="000B4BD4" w:rsidP="0035187E">
            <w:p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Požadujeme do změn zákona o daních z příjmů doplnit nové novelizační body a přečíslovat následující body. V novém novelizačním bodě Y požadujeme zavést, aby zdravotní benefity byly poskytovány jako osvobozený zaměstnanecký benefit bez hodnotového limitu, a současně bylo do limitu umožněno převádět mzdu nebo plat do zdravotních benefitů, které by byly osvobozeny od daně z příjmů fyzických osob (například do výše jedné průměrné mzdy).</w:t>
            </w:r>
          </w:p>
          <w:p w14:paraId="4FE45570" w14:textId="77777777" w:rsidR="000B4BD4" w:rsidRPr="0035187E" w:rsidRDefault="000B4BD4" w:rsidP="0035187E">
            <w:p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lastRenderedPageBreak/>
              <w:t>V souvislosti s výše uvedeným požadujeme upravit současné znění § 6 odst. 9 písm. d) zákona o daních z příjmů následovně:</w:t>
            </w:r>
          </w:p>
          <w:p w14:paraId="05AE816F" w14:textId="77777777" w:rsidR="000B4BD4" w:rsidRPr="0035187E" w:rsidRDefault="000B4BD4" w:rsidP="0035187E">
            <w:pPr>
              <w:tabs>
                <w:tab w:val="left" w:pos="567"/>
              </w:tabs>
              <w:jc w:val="both"/>
              <w:rPr>
                <w:rFonts w:ascii="Times New Roman" w:eastAsia="Calibri" w:hAnsi="Times New Roman" w:cs="Times New Roman"/>
                <w:bCs/>
                <w:i/>
                <w:iCs/>
                <w:sz w:val="20"/>
                <w:szCs w:val="20"/>
              </w:rPr>
            </w:pPr>
            <w:r w:rsidRPr="0035187E">
              <w:rPr>
                <w:rFonts w:ascii="Times New Roman" w:eastAsia="Calibri" w:hAnsi="Times New Roman" w:cs="Times New Roman"/>
                <w:bCs/>
                <w:i/>
                <w:iCs/>
                <w:sz w:val="20"/>
                <w:szCs w:val="20"/>
              </w:rPr>
              <w:t>„d) nepeněžní plnění</w:t>
            </w:r>
            <w:r w:rsidRPr="0035187E">
              <w:rPr>
                <w:rFonts w:ascii="Times New Roman" w:eastAsia="Calibri" w:hAnsi="Times New Roman" w:cs="Times New Roman"/>
                <w:bCs/>
                <w:i/>
                <w:iCs/>
                <w:strike/>
                <w:sz w:val="20"/>
                <w:szCs w:val="20"/>
              </w:rPr>
              <w:t>, která nejsou mzdou, platem, odměnou ani náhradou za ušlý příjem,</w:t>
            </w:r>
            <w:r w:rsidRPr="0035187E">
              <w:rPr>
                <w:rFonts w:ascii="Times New Roman" w:eastAsia="Calibri" w:hAnsi="Times New Roman" w:cs="Times New Roman"/>
                <w:bCs/>
                <w:i/>
                <w:iCs/>
                <w:sz w:val="20"/>
                <w:szCs w:val="20"/>
              </w:rPr>
              <w:t xml:space="preserve"> poskytovaná zaměstnavatelem zaměstnanci nebo jeho rodinnému příslušníkovi z fondu kulturních a sociálních potřeb, ze sociálního fondu, ze zisku (příjmu) po jeho zdanění anebo na vrub výdajů (nákladů), které nejsou výdaji (náklady) na dosažení, zajištění a udržení příjmů, ve formě“</w:t>
            </w:r>
          </w:p>
          <w:p w14:paraId="12A82757" w14:textId="77777777" w:rsidR="000B4BD4" w:rsidRPr="0035187E" w:rsidRDefault="000B4BD4" w:rsidP="0035187E">
            <w:p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Zároveň (novelizační bod Y +1) požadujeme upravit současné znění ustanovení § 6 odst. 9 písm. d) bodu 1 zákona o daních z příjmů následovně:</w:t>
            </w:r>
          </w:p>
          <w:p w14:paraId="57F9E7EE" w14:textId="77777777" w:rsidR="000B4BD4" w:rsidRPr="0035187E" w:rsidRDefault="000B4BD4" w:rsidP="0035187E">
            <w:pPr>
              <w:tabs>
                <w:tab w:val="left" w:pos="567"/>
              </w:tabs>
              <w:jc w:val="both"/>
              <w:rPr>
                <w:rFonts w:ascii="Times New Roman" w:eastAsia="Calibri" w:hAnsi="Times New Roman" w:cs="Times New Roman"/>
                <w:bCs/>
                <w:i/>
                <w:iCs/>
                <w:sz w:val="20"/>
                <w:szCs w:val="20"/>
              </w:rPr>
            </w:pPr>
            <w:r w:rsidRPr="0035187E">
              <w:rPr>
                <w:rFonts w:ascii="Times New Roman" w:eastAsia="Calibri" w:hAnsi="Times New Roman" w:cs="Times New Roman"/>
                <w:bCs/>
                <w:i/>
                <w:iCs/>
                <w:sz w:val="20"/>
                <w:szCs w:val="20"/>
              </w:rPr>
              <w:t>„1. pořízení zboží nebo služeb zdravotního, léčebného, hygienického a obdobného charakteru od zdravotnických zařízení nebo pořízení zdravotnických prostředků na lékařský předpis; tato plnění jsou osvobozena v úhrnu do výše průměrné mzdy za zdaňovací období</w:t>
            </w:r>
            <w:r w:rsidRPr="0035187E">
              <w:rPr>
                <w:rFonts w:ascii="Times New Roman" w:eastAsia="Calibri" w:hAnsi="Times New Roman" w:cs="Times New Roman"/>
                <w:b/>
                <w:i/>
                <w:iCs/>
                <w:sz w:val="20"/>
                <w:szCs w:val="20"/>
              </w:rPr>
              <w:t>, pokud jsou poskytována jako součást mzdy, platu nebo odměny; jsou-li poskytována jinak než jako mzda, plat, odměna nebo náhrada za ušlý příjem, může být jejich osvobození uplatněno i nad tuto výši</w:t>
            </w:r>
            <w:r w:rsidRPr="0035187E">
              <w:rPr>
                <w:rFonts w:ascii="Times New Roman" w:eastAsia="Calibri" w:hAnsi="Times New Roman" w:cs="Times New Roman"/>
                <w:bCs/>
                <w:i/>
                <w:iCs/>
                <w:sz w:val="20"/>
                <w:szCs w:val="20"/>
              </w:rPr>
              <w:t>,“</w:t>
            </w:r>
          </w:p>
          <w:p w14:paraId="29437F90" w14:textId="77777777" w:rsidR="000B4BD4" w:rsidRPr="0035187E" w:rsidRDefault="000B4BD4" w:rsidP="0035187E">
            <w:p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Zároveň (novelizační bod Z) požadujeme v § 6 odst. 9 písm. d) zákona o daních z příjmů za předkladatelem nově navrhovaný bod 4 doplnit následující ustanovení:</w:t>
            </w:r>
          </w:p>
          <w:p w14:paraId="1D817295" w14:textId="77777777" w:rsidR="000B4BD4" w:rsidRPr="0035187E" w:rsidRDefault="000B4BD4" w:rsidP="0035187E">
            <w:pPr>
              <w:tabs>
                <w:tab w:val="left" w:pos="567"/>
              </w:tabs>
              <w:jc w:val="both"/>
              <w:rPr>
                <w:rFonts w:ascii="Times New Roman" w:eastAsia="Calibri" w:hAnsi="Times New Roman" w:cs="Times New Roman"/>
                <w:bCs/>
                <w:i/>
                <w:iCs/>
                <w:sz w:val="20"/>
                <w:szCs w:val="20"/>
              </w:rPr>
            </w:pPr>
            <w:r w:rsidRPr="0035187E">
              <w:rPr>
                <w:rFonts w:ascii="Times New Roman" w:eastAsia="Calibri" w:hAnsi="Times New Roman" w:cs="Times New Roman"/>
                <w:bCs/>
                <w:i/>
                <w:iCs/>
                <w:sz w:val="20"/>
                <w:szCs w:val="20"/>
              </w:rPr>
              <w:t>„</w:t>
            </w:r>
            <w:r w:rsidRPr="0035187E">
              <w:rPr>
                <w:rFonts w:ascii="Times New Roman" w:eastAsia="Calibri" w:hAnsi="Times New Roman" w:cs="Times New Roman"/>
                <w:b/>
                <w:i/>
                <w:iCs/>
                <w:sz w:val="20"/>
                <w:szCs w:val="20"/>
              </w:rPr>
              <w:t>Plnění podle bodů 2 až 4 jsou osvobozena pouze tehdy, pokud nejsou poskytována jako mzda, plat, odměna ani náhrada za ušlý příjem</w:t>
            </w:r>
            <w:r w:rsidRPr="0035187E">
              <w:rPr>
                <w:rFonts w:ascii="Times New Roman" w:eastAsia="Calibri" w:hAnsi="Times New Roman" w:cs="Times New Roman"/>
                <w:bCs/>
                <w:i/>
                <w:iCs/>
                <w:sz w:val="20"/>
                <w:szCs w:val="20"/>
              </w:rPr>
              <w:t>.“</w:t>
            </w:r>
          </w:p>
          <w:p w14:paraId="65D64531" w14:textId="77777777" w:rsidR="000B4BD4" w:rsidRPr="0035187E" w:rsidRDefault="000B4BD4" w:rsidP="0035187E">
            <w:pPr>
              <w:jc w:val="both"/>
              <w:rPr>
                <w:rFonts w:ascii="Times New Roman" w:hAnsi="Times New Roman" w:cs="Times New Roman"/>
                <w:sz w:val="20"/>
                <w:szCs w:val="20"/>
                <w:u w:val="single"/>
              </w:rPr>
            </w:pPr>
          </w:p>
          <w:p w14:paraId="0A158B9C" w14:textId="70B188B4"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w:t>
            </w:r>
          </w:p>
          <w:p w14:paraId="77998C1A"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Navrhuje se, aby zdravotní limity byly obecně zrovnoprávněny s navrhovaným osvobozením volnočasových benefitů a zároveň podpořeny možností jejich financování z mezd, jak tomu bylo před rokem 2026, nyní však pouze v omezené míře, například do výše jedné průměrné mzdy pro daňové účely ročně. Podstata návrhu spočívá v tom, že zaměstnanec by se mohl dobrovolně vzdát části své peněžní mzdy, platu nebo bonusu ve prospěch nepeněžního zdravotního benefitu, který by byl za splnění zákonných podmínek osvobozen od daně z příjmů. Limit by současně sloužil jako pojistka proti možnému zneužívání tohoto institutu k větší substituci zvyšování mzdy.</w:t>
            </w:r>
          </w:p>
          <w:p w14:paraId="58A0B6A2"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Navrhovaná úprava reaguje na skutečnost, že ochrana a podpora zdraví zaměstnanců představuje významný veřejný i ekonomický zájem. Zdravý zaměstnanec je dlouhodobě produktivnější, méně absentuje a méně zatěžuje systém veřejného zdravotního pojištění. Umožnění dobrovolné spoluúčasti zaměstnance na financování vlastního zdraví prostřednictvím daňově zvýhodněného režimu může pozitivně ovlivnit jeho chování a motivovat jej k investicím do prevence a péče o svůj zdravotní stav.</w:t>
            </w:r>
          </w:p>
          <w:p w14:paraId="288B41FD"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Současně se jedná o formu sdílené odpovědnosti – zaměstnanec se vědomě vzdává části své mzdy ve prospěch zdravotního plnění. Nejde tedy o jednostranné zvýhodnění, ale o dobrovolné rozhodnutí zaměstnance podpořit vlastní zdravotní prevenci.</w:t>
            </w:r>
          </w:p>
          <w:p w14:paraId="016F5849"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Aby zaměstnanci mohli v maximálně efektivní míře zdravotní benefity využívat, je potřeba dát jim a zaměstnavatelům do rukou větší svobodu rozhodování. Zatímco některé výdaje v oblasti prevence mohou být konstantní a vyplatí se do nich investovat pravidelně, jiné se naplánovat často nedají (typicky nákladné zubní zákroky, částečně nebo plně nehrazené zdravotní prostředky a materiály, preventivní očkování apod.). Proto by měli </w:t>
            </w:r>
            <w:r w:rsidRPr="0035187E">
              <w:rPr>
                <w:rFonts w:ascii="Times New Roman" w:hAnsi="Times New Roman" w:cs="Times New Roman"/>
                <w:sz w:val="20"/>
                <w:szCs w:val="20"/>
              </w:rPr>
              <w:lastRenderedPageBreak/>
              <w:t>mít zaměstnanci možnost domluvit se svými zaměstnavateli na tom, že v případě zájmu může být část jejich finanční odměny, mzdy nebo platu nahrazena právě daňově zvýhodněným zdravotním benefitem. To jim umožní potřebné prostředky snáze získat a zároveň často řešit zdravotní problémy dříve, než když je to již jak pro ně, tak především pro veřejné finance dražší.</w:t>
            </w:r>
          </w:p>
          <w:p w14:paraId="279AA60A"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Dopad na veřejné rozpočty by byl vzhledem ke stanovenému limitu omezený. Přeměna části mzdy na osvobozený benefit by sice znamenala nižší inkaso daně z příjmů a pojistného, na druhé straně by představovala daňově neuznatelný náklad na straně zaměstnavatele, což by tento výpadek částečně kompenzovalo. Především však lze předpokládat, že dlouhodobý efekt v podobě nižší nemocnosti a nižšího čerpání zdravotní péče může vést ke snížení výdajů systému veřejného zdravotního pojištění.</w:t>
            </w:r>
          </w:p>
          <w:p w14:paraId="19168ED9" w14:textId="0AD4B03A"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Navrhované řešení tak vytváří vyvážený model, který podporuje prevenci a individuální odpovědnost za zdraví, umožňuje flexibilitu v odměňování zaměstnanců a současně díky stanovenému limitu minimalizuje riziko fiskálních dopadů a systémového zneužívání.</w:t>
            </w:r>
          </w:p>
        </w:tc>
        <w:tc>
          <w:tcPr>
            <w:tcW w:w="1453" w:type="pct"/>
            <w:tcBorders>
              <w:top w:val="single" w:sz="4" w:space="0" w:color="auto"/>
              <w:left w:val="single" w:sz="4" w:space="0" w:color="auto"/>
              <w:right w:val="single" w:sz="4" w:space="0" w:color="auto"/>
            </w:tcBorders>
            <w:shd w:val="clear" w:color="auto" w:fill="auto"/>
          </w:tcPr>
          <w:p w14:paraId="5379DCC8" w14:textId="77777777" w:rsidR="00970286" w:rsidRPr="0035187E" w:rsidRDefault="00970286" w:rsidP="0035187E">
            <w:pPr>
              <w:jc w:val="both"/>
              <w:rPr>
                <w:rFonts w:ascii="Times New Roman" w:hAnsi="Times New Roman" w:cs="Times New Roman"/>
                <w:sz w:val="20"/>
                <w:szCs w:val="20"/>
              </w:rPr>
            </w:pPr>
            <w:r w:rsidRPr="0035187E">
              <w:rPr>
                <w:rFonts w:ascii="Times New Roman" w:hAnsi="Times New Roman" w:cs="Times New Roman"/>
                <w:b/>
                <w:sz w:val="20"/>
                <w:szCs w:val="20"/>
              </w:rPr>
              <w:lastRenderedPageBreak/>
              <w:t>Nevyhověno.</w:t>
            </w:r>
          </w:p>
          <w:p w14:paraId="0517C325" w14:textId="77777777" w:rsidR="00970286" w:rsidRPr="0035187E" w:rsidRDefault="00970286" w:rsidP="0035187E">
            <w:pPr>
              <w:jc w:val="both"/>
              <w:rPr>
                <w:rFonts w:ascii="Times New Roman" w:hAnsi="Times New Roman" w:cs="Times New Roman"/>
                <w:sz w:val="20"/>
                <w:szCs w:val="20"/>
              </w:rPr>
            </w:pPr>
            <w:r w:rsidRPr="0035187E">
              <w:rPr>
                <w:rFonts w:ascii="Times New Roman" w:hAnsi="Times New Roman" w:cs="Times New Roman"/>
                <w:sz w:val="20"/>
                <w:szCs w:val="20"/>
              </w:rPr>
              <w:t>Podnět přesahuje rámec navrhované úpravy zákona o evidenci tržeb a současně směřuje k zásadní změně koncepce zaměstnaneckých benefitů i jejich vztahu ke mzdě. Navržený mechanismus by vedl k výpadku daňových a pojistných příjmů veřejných rozpočtů a zároveň by významně zvýšil administrativní náročnost jak na straně zaměstnavatelů, tak správce daně.</w:t>
            </w:r>
          </w:p>
          <w:p w14:paraId="7BA617C9" w14:textId="77777777" w:rsidR="00970286" w:rsidRPr="0035187E" w:rsidRDefault="00970286" w:rsidP="0035187E">
            <w:pPr>
              <w:jc w:val="both"/>
              <w:rPr>
                <w:rFonts w:ascii="Times New Roman" w:hAnsi="Times New Roman" w:cs="Times New Roman"/>
                <w:sz w:val="20"/>
                <w:szCs w:val="20"/>
              </w:rPr>
            </w:pPr>
            <w:r w:rsidRPr="0035187E">
              <w:rPr>
                <w:rFonts w:ascii="Times New Roman" w:hAnsi="Times New Roman" w:cs="Times New Roman"/>
                <w:sz w:val="20"/>
                <w:szCs w:val="20"/>
              </w:rPr>
              <w:lastRenderedPageBreak/>
              <w:t>Zachování limitu pro zdravotní benefity považujeme za věcně opodstatněné. Přestože zdravotní benefity mají přímou vazbu na ochranu zdraví, prevenci nemocí a udržení pracovní schopnosti zaměstnanců, je žádoucí, aby jejich daňová podpora byla nastavena cíleně a přiměřeně. Zrušení limitu by mohlo vést k jejich využívání nad rámec skutečných zdravotních potřeb a k nežádoucí daňové optimalizaci, kdy by i plnění bez reálného zdravotního přínosu byla osvobozena od daně a odvodů. Zachování limitu tak představuje nástroj, který omezuje negativní dopady na veřejné rozpočty a podporuje účelné využití této formy podpory.</w:t>
            </w:r>
          </w:p>
          <w:p w14:paraId="2DEB86D0" w14:textId="77777777" w:rsidR="00970286" w:rsidRPr="0035187E" w:rsidRDefault="00970286" w:rsidP="0035187E">
            <w:pPr>
              <w:jc w:val="both"/>
              <w:rPr>
                <w:rFonts w:ascii="Times New Roman" w:hAnsi="Times New Roman" w:cs="Times New Roman"/>
                <w:sz w:val="20"/>
                <w:szCs w:val="20"/>
              </w:rPr>
            </w:pPr>
            <w:r w:rsidRPr="0035187E">
              <w:rPr>
                <w:rFonts w:ascii="Times New Roman" w:hAnsi="Times New Roman" w:cs="Times New Roman"/>
                <w:sz w:val="20"/>
                <w:szCs w:val="20"/>
              </w:rPr>
              <w:t>Současně návrh zavádí možnost systematického převodu části mzdy do daňově zvýhodněných benefitů. Tento přístup však narušuje základní princip odměňování za práci, podle něhož zaměstnanci náleží za vykonanou práci mzda, plat nebo odměna podléhající zdanění a odvodům pojistného, zatímco zaměstnanecké benefity představují plnění poskytovaná nad rámec mzdy, jako nenároková a bez přímé vazby na výkon práce. Připouštění jejich vzájemné substituce by tento rozdíl stíralo a mohlo by vést k nežádoucím dopadům i v dalších oblastech, zejména ke snížení započitatelných příjmů pro účely důchodového zabezpečení či nemocenského pojištění.</w:t>
            </w:r>
          </w:p>
          <w:p w14:paraId="3F9F98BA" w14:textId="77777777" w:rsidR="00970286" w:rsidRPr="0035187E" w:rsidRDefault="00970286" w:rsidP="0035187E">
            <w:pPr>
              <w:jc w:val="both"/>
              <w:rPr>
                <w:rFonts w:ascii="Times New Roman" w:hAnsi="Times New Roman" w:cs="Times New Roman"/>
                <w:sz w:val="20"/>
                <w:szCs w:val="20"/>
              </w:rPr>
            </w:pPr>
            <w:r w:rsidRPr="0035187E">
              <w:rPr>
                <w:rFonts w:ascii="Times New Roman" w:hAnsi="Times New Roman" w:cs="Times New Roman"/>
                <w:sz w:val="20"/>
                <w:szCs w:val="20"/>
              </w:rPr>
              <w:t>Navržené řešení navíc vytváří riziko nerovností mezi zaměstnanci, neboť zaměstnanci s vyššími příjmy by mohli tento režim využít ve větším rozsahu a získat tak výraznější daňové zvýhodnění než zaměstnanci s nižšími příjmy. Nelze rovněž vyloučit nepřímý tlak na zaměstnance k převodu části mzdy, což by oslabovalo deklarovaný princip dobrovolnosti.</w:t>
            </w:r>
          </w:p>
          <w:p w14:paraId="68B2F621" w14:textId="77777777" w:rsidR="00970286" w:rsidRPr="0035187E" w:rsidRDefault="00970286"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Současná úprava daňového osvobození benefitů v § 6 odst. 9 písm. d) zákona o daních z příjmů přitom vychází z jasného principu, že osvobození se vztahuje pouze na tzv. </w:t>
            </w:r>
            <w:proofErr w:type="spellStart"/>
            <w:r w:rsidRPr="0035187E">
              <w:rPr>
                <w:rFonts w:ascii="Times New Roman" w:hAnsi="Times New Roman" w:cs="Times New Roman"/>
                <w:sz w:val="20"/>
                <w:szCs w:val="20"/>
              </w:rPr>
              <w:t>mimomzdová</w:t>
            </w:r>
            <w:proofErr w:type="spellEnd"/>
            <w:r w:rsidRPr="0035187E">
              <w:rPr>
                <w:rFonts w:ascii="Times New Roman" w:hAnsi="Times New Roman" w:cs="Times New Roman"/>
                <w:sz w:val="20"/>
                <w:szCs w:val="20"/>
              </w:rPr>
              <w:t xml:space="preserve"> plnění poskytovaná nad rámec odměny za práci, nikoli na plnění, která mzdu či její část nahrazují. S ohledem na uvedené by přijetí návrhu vedlo k narušení spravedlivého a vyváženého systému zdanění příjmů ze závislé činnosti, k </w:t>
            </w:r>
            <w:r w:rsidRPr="0035187E">
              <w:rPr>
                <w:rFonts w:ascii="Times New Roman" w:hAnsi="Times New Roman" w:cs="Times New Roman"/>
                <w:sz w:val="20"/>
                <w:szCs w:val="20"/>
              </w:rPr>
              <w:lastRenderedPageBreak/>
              <w:t>nežádoucí optimalizaci a k oslabení transparentnosti odměňování.</w:t>
            </w:r>
          </w:p>
          <w:p w14:paraId="1172D8F3" w14:textId="51B2CD46" w:rsidR="000B4BD4" w:rsidRPr="0035187E" w:rsidRDefault="000B4BD4" w:rsidP="0035187E">
            <w:pPr>
              <w:jc w:val="both"/>
              <w:rPr>
                <w:rFonts w:ascii="Times New Roman" w:hAnsi="Times New Roman" w:cs="Times New Roman"/>
                <w:sz w:val="20"/>
                <w:szCs w:val="20"/>
              </w:rPr>
            </w:pPr>
          </w:p>
        </w:tc>
      </w:tr>
      <w:tr w:rsidR="0035187E" w:rsidRPr="0035187E" w14:paraId="65A30DE1"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E48985F" w14:textId="3BCF69E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40.</w:t>
            </w:r>
          </w:p>
        </w:tc>
        <w:tc>
          <w:tcPr>
            <w:tcW w:w="583" w:type="pct"/>
            <w:tcBorders>
              <w:top w:val="single" w:sz="4" w:space="0" w:color="auto"/>
              <w:left w:val="single" w:sz="4" w:space="0" w:color="auto"/>
              <w:right w:val="single" w:sz="4" w:space="0" w:color="auto"/>
            </w:tcBorders>
            <w:shd w:val="clear" w:color="auto" w:fill="auto"/>
          </w:tcPr>
          <w:p w14:paraId="720A7802" w14:textId="1F1DCC7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16AADC8A" w14:textId="2399809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40.</w:t>
            </w:r>
          </w:p>
        </w:tc>
        <w:tc>
          <w:tcPr>
            <w:tcW w:w="169" w:type="pct"/>
            <w:tcBorders>
              <w:top w:val="single" w:sz="4" w:space="0" w:color="auto"/>
              <w:left w:val="single" w:sz="4" w:space="0" w:color="auto"/>
              <w:right w:val="single" w:sz="4" w:space="0" w:color="auto"/>
            </w:tcBorders>
            <w:shd w:val="clear" w:color="auto" w:fill="auto"/>
          </w:tcPr>
          <w:p w14:paraId="33DB5EB1" w14:textId="52E6C9B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AC105B5" w14:textId="77777777" w:rsidR="000B4BD4" w:rsidRPr="0035187E" w:rsidRDefault="000B4BD4" w:rsidP="0035187E">
            <w:pPr>
              <w:numPr>
                <w:ilvl w:val="0"/>
                <w:numId w:val="72"/>
              </w:numPr>
              <w:tabs>
                <w:tab w:val="left" w:pos="567"/>
              </w:tabs>
              <w:ind w:left="0" w:firstLine="0"/>
              <w:jc w:val="both"/>
              <w:rPr>
                <w:rFonts w:ascii="Times New Roman" w:eastAsia="Calibri" w:hAnsi="Times New Roman" w:cs="Times New Roman"/>
                <w:b/>
                <w:sz w:val="20"/>
                <w:szCs w:val="20"/>
              </w:rPr>
            </w:pPr>
            <w:r w:rsidRPr="0035187E">
              <w:rPr>
                <w:rFonts w:ascii="Times New Roman" w:eastAsia="Calibri" w:hAnsi="Times New Roman" w:cs="Times New Roman"/>
                <w:b/>
                <w:sz w:val="20"/>
                <w:szCs w:val="20"/>
              </w:rPr>
              <w:t>Připomínka k části třetí, Změna zákona o dani z přidané hodnoty, nový novelizační bod</w:t>
            </w:r>
          </w:p>
          <w:p w14:paraId="69C477D1" w14:textId="77777777" w:rsidR="000B4BD4" w:rsidRPr="0035187E" w:rsidRDefault="000B4BD4" w:rsidP="0035187E">
            <w:pPr>
              <w:tabs>
                <w:tab w:val="left" w:pos="567"/>
              </w:tabs>
              <w:jc w:val="both"/>
              <w:rPr>
                <w:rFonts w:ascii="Times New Roman" w:eastAsia="Calibri" w:hAnsi="Times New Roman" w:cs="Times New Roman"/>
                <w:bCs/>
                <w:sz w:val="20"/>
                <w:szCs w:val="20"/>
              </w:rPr>
            </w:pPr>
          </w:p>
          <w:p w14:paraId="3A04E8A4" w14:textId="189A1280" w:rsidR="000B4BD4" w:rsidRPr="0035187E" w:rsidRDefault="000B4BD4" w:rsidP="0035187E">
            <w:pPr>
              <w:tabs>
                <w:tab w:val="left" w:pos="567"/>
              </w:tabs>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Požadujeme část třetí, Změna zákona o dani z přidané hodnoty doplnit dle níže uvedeného odůvodnění.</w:t>
            </w:r>
          </w:p>
          <w:p w14:paraId="7F6226FF" w14:textId="77777777" w:rsidR="000B4BD4" w:rsidRPr="0035187E" w:rsidRDefault="000B4BD4" w:rsidP="0035187E">
            <w:pPr>
              <w:jc w:val="both"/>
              <w:rPr>
                <w:rFonts w:ascii="Times New Roman" w:hAnsi="Times New Roman" w:cs="Times New Roman"/>
                <w:sz w:val="20"/>
                <w:szCs w:val="20"/>
                <w:u w:val="single"/>
              </w:rPr>
            </w:pPr>
          </w:p>
          <w:p w14:paraId="695DA707" w14:textId="262F4B22"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w:t>
            </w:r>
          </w:p>
          <w:p w14:paraId="48DDB460"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Snížená sazba DPH se vztahuje na přepravu osob, která je linkovou osobní dopravou nebo příležitostnou osobní silniční dopravou podle zákona č. 111/1994 Sb., o silniční dopravě, ve znění pozdějších předpisů.</w:t>
            </w:r>
          </w:p>
          <w:p w14:paraId="01CC8DDD" w14:textId="4720CED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V případě železniční dopravy se snížená sazba týká hromadné dopravy osob, kterou se pro účely daně z přidané hodnoty rozumí přeprava osob po stanovených trasách, kdy cestující nastupují a vystupují na předem určených zastávkách nebo místech podle předem stanovených jízdních řádů schválených podle zákona č. 266/1994 Sb., o dráhách. Z tohoto textu jednoznačně nevyplývá, zda lze sníženou sazbu DPH uplatnit i na zvláštní (historické a zážitkové vlaky, tedy příležitostné vlaky), pro které Správa železnic (SŽ) přiděluje kapacitu dráhy dodatečně a vytváří se jízdní řád dodatečně, a tyto jízdní řády tedy nejsou součástí jízdního řádu s roční platností jako pravidelné vlaky. Pokud by tyto vlaky podléhaly základní sazbě DPH, jedná se dle našeho názoru o diskriminaci, protože v případě autobusové dopravy příležitostná doprava snížené sazbě DPH podléhá. Doporučujeme tedy v zákonu o dani z přidané hodnoty tuto problematiku jednoznačně upravit.</w:t>
            </w:r>
          </w:p>
        </w:tc>
        <w:tc>
          <w:tcPr>
            <w:tcW w:w="1453" w:type="pct"/>
            <w:tcBorders>
              <w:top w:val="single" w:sz="4" w:space="0" w:color="auto"/>
              <w:left w:val="single" w:sz="4" w:space="0" w:color="auto"/>
              <w:right w:val="single" w:sz="4" w:space="0" w:color="auto"/>
            </w:tcBorders>
            <w:shd w:val="clear" w:color="auto" w:fill="auto"/>
          </w:tcPr>
          <w:p w14:paraId="789FED0E"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Nevyhověno.</w:t>
            </w:r>
          </w:p>
          <w:p w14:paraId="51E1A40C"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Podnět přesahuje rámec navrhované úpravy zákona o evidenci tržeb.</w:t>
            </w:r>
          </w:p>
          <w:p w14:paraId="7499F890" w14:textId="77777777" w:rsidR="000B4BD4" w:rsidRPr="0035187E" w:rsidRDefault="000B4BD4" w:rsidP="0035187E">
            <w:pPr>
              <w:jc w:val="both"/>
              <w:rPr>
                <w:rFonts w:ascii="Times New Roman" w:hAnsi="Times New Roman" w:cs="Times New Roman"/>
                <w:b/>
                <w:bCs/>
                <w:sz w:val="20"/>
                <w:szCs w:val="20"/>
              </w:rPr>
            </w:pPr>
          </w:p>
          <w:p w14:paraId="1F6AF76F" w14:textId="18A306B6"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Je třeba uvést, že zásada daňové neutrality platné v oblasti unijní DPH nebrání určit podmínky, za kterých lze aplikovat sníženou sazbu daně na přepravu osob a jejich zavazadel. Příkladně pravidelná tuzemská letecká doprava osob podléhá základní sazbě daně a nelze hovořit o diskriminaci. Pokud plátci není zřejmé, jakou sazbu v daném případně uplatnit, lze jednak využit institut závazného posouzení dle § 47a zákona o DPH a požádat GFŘ o sazební zařazení. Rovněž tak z dikce zákona o DPH plyne, že předmětný jízdní řád musí být schválen dle zákona o drahách, a tedy předmětný plátce musí vědět, zda byl tento dodatečný jízdní řád schválen v souladu s tímto zákonem, aby bylo možné aplikovat sníženou sazbu daně.</w:t>
            </w:r>
          </w:p>
        </w:tc>
      </w:tr>
      <w:tr w:rsidR="0035187E" w:rsidRPr="0035187E" w14:paraId="687EE8A3"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B585631" w14:textId="553977A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40.</w:t>
            </w:r>
          </w:p>
        </w:tc>
        <w:tc>
          <w:tcPr>
            <w:tcW w:w="583" w:type="pct"/>
            <w:tcBorders>
              <w:top w:val="single" w:sz="4" w:space="0" w:color="auto"/>
              <w:left w:val="single" w:sz="4" w:space="0" w:color="auto"/>
              <w:right w:val="single" w:sz="4" w:space="0" w:color="auto"/>
            </w:tcBorders>
            <w:shd w:val="clear" w:color="auto" w:fill="auto"/>
          </w:tcPr>
          <w:p w14:paraId="46EF6D64" w14:textId="18B0F32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6A447C21" w14:textId="744C4C8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41.</w:t>
            </w:r>
          </w:p>
        </w:tc>
        <w:tc>
          <w:tcPr>
            <w:tcW w:w="169" w:type="pct"/>
            <w:tcBorders>
              <w:top w:val="single" w:sz="4" w:space="0" w:color="auto"/>
              <w:left w:val="single" w:sz="4" w:space="0" w:color="auto"/>
              <w:right w:val="single" w:sz="4" w:space="0" w:color="auto"/>
            </w:tcBorders>
            <w:shd w:val="clear" w:color="auto" w:fill="auto"/>
          </w:tcPr>
          <w:p w14:paraId="605ADFEB" w14:textId="2E21449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796C98F" w14:textId="77777777" w:rsidR="000B4BD4" w:rsidRPr="0035187E" w:rsidRDefault="000B4BD4" w:rsidP="0035187E">
            <w:pPr>
              <w:numPr>
                <w:ilvl w:val="0"/>
                <w:numId w:val="72"/>
              </w:numPr>
              <w:tabs>
                <w:tab w:val="left" w:pos="567"/>
              </w:tabs>
              <w:ind w:left="0" w:firstLine="4"/>
              <w:jc w:val="both"/>
              <w:rPr>
                <w:rFonts w:ascii="Times New Roman" w:eastAsia="Calibri" w:hAnsi="Times New Roman" w:cs="Times New Roman"/>
                <w:b/>
                <w:sz w:val="20"/>
                <w:szCs w:val="20"/>
              </w:rPr>
            </w:pPr>
            <w:r w:rsidRPr="0035187E">
              <w:rPr>
                <w:rFonts w:ascii="Times New Roman" w:eastAsia="Calibri" w:hAnsi="Times New Roman" w:cs="Times New Roman"/>
                <w:b/>
                <w:sz w:val="20"/>
                <w:szCs w:val="20"/>
              </w:rPr>
              <w:t>Připomínka k vystoupení z povinnosti vést tzv. knihu jízd</w:t>
            </w:r>
          </w:p>
          <w:p w14:paraId="6932B92F" w14:textId="77777777" w:rsidR="000B4BD4" w:rsidRPr="0035187E" w:rsidRDefault="000B4BD4" w:rsidP="0035187E">
            <w:pPr>
              <w:jc w:val="both"/>
              <w:rPr>
                <w:rFonts w:ascii="Times New Roman" w:hAnsi="Times New Roman" w:cs="Times New Roman"/>
                <w:sz w:val="20"/>
                <w:szCs w:val="20"/>
              </w:rPr>
            </w:pPr>
          </w:p>
          <w:p w14:paraId="0EBF3F87" w14:textId="31356A10"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Navrhujeme změnit zákon o daních z příjmů a zákon o dani z přidané hodnoty ve smyslu níže uvedeného odůvodnění. </w:t>
            </w:r>
          </w:p>
          <w:p w14:paraId="792B2659" w14:textId="77777777" w:rsidR="000B4BD4" w:rsidRPr="0035187E" w:rsidRDefault="000B4BD4" w:rsidP="0035187E">
            <w:pPr>
              <w:jc w:val="both"/>
              <w:rPr>
                <w:rFonts w:ascii="Times New Roman" w:hAnsi="Times New Roman" w:cs="Times New Roman"/>
                <w:sz w:val="20"/>
                <w:szCs w:val="20"/>
                <w:u w:val="single"/>
              </w:rPr>
            </w:pPr>
          </w:p>
          <w:p w14:paraId="59F4E9F2" w14:textId="59F723F4"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w:t>
            </w:r>
          </w:p>
          <w:p w14:paraId="23BFC2D4"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lastRenderedPageBreak/>
              <w:t>V souvislosti s administrativní zátěží, kterou vyvolává vedení tzv. knihy jízd, zejména v souvislosti se smíšeným využíváním vozidla jak pro podnikatelské, tak pro soukromé účely, se navrhuje řešení obdobné konstrukci přirážky zprošťující povinnosti evidovat tržby, totiž možnost podnikatele (daňového subjektu) dobrovolně vystoupit z povinnosti vést tzv. knihu jízd s tím, že tato administrativní úleva bude přiměřeně kompenzována vyššími platebními daňovými povinnostmi.</w:t>
            </w:r>
          </w:p>
          <w:p w14:paraId="0EA217A9"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Principy:</w:t>
            </w:r>
          </w:p>
          <w:p w14:paraId="7B725D4C"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Maximální využití již platných daňových nástrojů</w:t>
            </w:r>
          </w:p>
          <w:p w14:paraId="6D722192"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Fiskální neutralita – nastavení parametrů (procentuálních i absolutních) tak, aby řešení neohrozilo konsolidaci veřejných rozpočtů</w:t>
            </w:r>
          </w:p>
          <w:p w14:paraId="4E7ECCB5"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Inspirace v zahraničí odzkoušenými modely – vzorem může být řešení polské nebo slovenské</w:t>
            </w:r>
          </w:p>
          <w:p w14:paraId="71802088"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Dotčené daně:</w:t>
            </w:r>
          </w:p>
          <w:p w14:paraId="5B6CE702"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Daň z příjmů podnikatelů – bude zachována volba mezi (i) vedením knihy jízd a uplatňováním vykazovaných nákladů/výdajů a mezi (</w:t>
            </w:r>
            <w:proofErr w:type="spellStart"/>
            <w:r w:rsidRPr="0035187E">
              <w:rPr>
                <w:rFonts w:ascii="Times New Roman" w:eastAsia="Calibri" w:hAnsi="Times New Roman" w:cs="Times New Roman"/>
                <w:bCs/>
                <w:sz w:val="20"/>
                <w:szCs w:val="20"/>
              </w:rPr>
              <w:t>ii</w:t>
            </w:r>
            <w:proofErr w:type="spellEnd"/>
            <w:r w:rsidRPr="0035187E">
              <w:rPr>
                <w:rFonts w:ascii="Times New Roman" w:eastAsia="Calibri" w:hAnsi="Times New Roman" w:cs="Times New Roman"/>
                <w:bCs/>
                <w:sz w:val="20"/>
                <w:szCs w:val="20"/>
              </w:rPr>
              <w:t>) uplatňováním paušálních výdajů dle § 24 odst. 2 písm. </w:t>
            </w:r>
            <w:proofErr w:type="spellStart"/>
            <w:r w:rsidRPr="0035187E">
              <w:rPr>
                <w:rFonts w:ascii="Times New Roman" w:eastAsia="Calibri" w:hAnsi="Times New Roman" w:cs="Times New Roman"/>
                <w:bCs/>
                <w:sz w:val="20"/>
                <w:szCs w:val="20"/>
              </w:rPr>
              <w:t>zt</w:t>
            </w:r>
            <w:proofErr w:type="spellEnd"/>
            <w:r w:rsidRPr="0035187E">
              <w:rPr>
                <w:rFonts w:ascii="Times New Roman" w:eastAsia="Calibri" w:hAnsi="Times New Roman" w:cs="Times New Roman"/>
                <w:bCs/>
                <w:sz w:val="20"/>
                <w:szCs w:val="20"/>
              </w:rPr>
              <w:t>) zákona o daních z příjmů bez povinnosti vést knihu jízd; stávající výše paušálních výdajů bude případně upravena s ohledem princip fiskální neutrality; limit pro daňové odpisy automobilu zůstane zachován.</w:t>
            </w:r>
          </w:p>
          <w:p w14:paraId="7BE71D40"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Daň z příjmů ze závislé činnosti – bude zachována konstrukce nepeněžního příjmu ve formě užívání automobilu zaměstnancem pro služební i soukromé účely jako určené procento vstupní ceny automobilu (včetně DPH; bez cenového limitu); výše určeného procenta dle § 6 odst. 6 zákona o daních z příjmů bude zvýšena, takže vyšší paušální benefit zaměstnance bude „zahrnovat“ i úhradu nákladů zaměstnavatele souvisejících s provozem automobilu (zejména PHM).</w:t>
            </w:r>
          </w:p>
          <w:p w14:paraId="6C5A252C"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 xml:space="preserve">Daň z přidané hodnoty – bude zavedena možnost uplatnění paušálního </w:t>
            </w:r>
            <w:proofErr w:type="gramStart"/>
            <w:r w:rsidRPr="0035187E">
              <w:rPr>
                <w:rFonts w:ascii="Times New Roman" w:eastAsia="Calibri" w:hAnsi="Times New Roman" w:cs="Times New Roman"/>
                <w:bCs/>
                <w:sz w:val="20"/>
                <w:szCs w:val="20"/>
              </w:rPr>
              <w:t>50%</w:t>
            </w:r>
            <w:proofErr w:type="gramEnd"/>
            <w:r w:rsidRPr="0035187E">
              <w:rPr>
                <w:rFonts w:ascii="Times New Roman" w:eastAsia="Calibri" w:hAnsi="Times New Roman" w:cs="Times New Roman"/>
                <w:bCs/>
                <w:sz w:val="20"/>
                <w:szCs w:val="20"/>
              </w:rPr>
              <w:t xml:space="preserve"> odpočtu při pořízení automobilu používaného plátcem DPH jak pro účely svých uskutečněných plnění, tak pro jiné účely, a zároveň paušálního 50% odpočtu u veškerých přijatých zdanitelných plnění souvisejících s provozem automobilu (PHM, servis, pneumatiky, pojištění atd.); plátce uplatňující paušální odpočet nebude povinen vést tzv. knihu jízd.</w:t>
            </w:r>
          </w:p>
          <w:p w14:paraId="5950EBD0"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 xml:space="preserve">Dále připadají v úvahu </w:t>
            </w:r>
            <w:proofErr w:type="spellStart"/>
            <w:r w:rsidRPr="0035187E">
              <w:rPr>
                <w:rFonts w:ascii="Times New Roman" w:eastAsia="Calibri" w:hAnsi="Times New Roman" w:cs="Times New Roman"/>
                <w:bCs/>
                <w:sz w:val="20"/>
                <w:szCs w:val="20"/>
              </w:rPr>
              <w:t>podvarianty</w:t>
            </w:r>
            <w:proofErr w:type="spellEnd"/>
            <w:r w:rsidRPr="0035187E">
              <w:rPr>
                <w:rFonts w:ascii="Times New Roman" w:eastAsia="Calibri" w:hAnsi="Times New Roman" w:cs="Times New Roman"/>
                <w:bCs/>
                <w:sz w:val="20"/>
                <w:szCs w:val="20"/>
              </w:rPr>
              <w:t xml:space="preserve"> řešení DPH – (i) buď plátci vedoucímu knihu jízd u automobilu používaného i pro soukromé účely zůstanou k dispozici také stávající možnosti odpočtu v poměrné výši (férovější, ale méně přehledná </w:t>
            </w:r>
            <w:proofErr w:type="spellStart"/>
            <w:r w:rsidRPr="0035187E">
              <w:rPr>
                <w:rFonts w:ascii="Times New Roman" w:eastAsia="Calibri" w:hAnsi="Times New Roman" w:cs="Times New Roman"/>
                <w:bCs/>
                <w:sz w:val="20"/>
                <w:szCs w:val="20"/>
              </w:rPr>
              <w:t>podvarianta</w:t>
            </w:r>
            <w:proofErr w:type="spellEnd"/>
            <w:r w:rsidRPr="0035187E">
              <w:rPr>
                <w:rFonts w:ascii="Times New Roman" w:eastAsia="Calibri" w:hAnsi="Times New Roman" w:cs="Times New Roman"/>
                <w:bCs/>
                <w:sz w:val="20"/>
                <w:szCs w:val="20"/>
              </w:rPr>
              <w:t xml:space="preserve">), anebo bude povinen aplikovat výhradně 50% odpočet (zjednodušující, ale méně férová </w:t>
            </w:r>
            <w:proofErr w:type="spellStart"/>
            <w:r w:rsidRPr="0035187E">
              <w:rPr>
                <w:rFonts w:ascii="Times New Roman" w:eastAsia="Calibri" w:hAnsi="Times New Roman" w:cs="Times New Roman"/>
                <w:bCs/>
                <w:sz w:val="20"/>
                <w:szCs w:val="20"/>
              </w:rPr>
              <w:t>podvarianta</w:t>
            </w:r>
            <w:proofErr w:type="spellEnd"/>
            <w:r w:rsidRPr="0035187E">
              <w:rPr>
                <w:rFonts w:ascii="Times New Roman" w:eastAsia="Calibri" w:hAnsi="Times New Roman" w:cs="Times New Roman"/>
                <w:bCs/>
                <w:sz w:val="20"/>
                <w:szCs w:val="20"/>
              </w:rPr>
              <w:t>), a dále (</w:t>
            </w:r>
            <w:proofErr w:type="spellStart"/>
            <w:r w:rsidRPr="0035187E">
              <w:rPr>
                <w:rFonts w:ascii="Times New Roman" w:eastAsia="Calibri" w:hAnsi="Times New Roman" w:cs="Times New Roman"/>
                <w:bCs/>
                <w:sz w:val="20"/>
                <w:szCs w:val="20"/>
              </w:rPr>
              <w:t>ii</w:t>
            </w:r>
            <w:proofErr w:type="spellEnd"/>
            <w:r w:rsidRPr="0035187E">
              <w:rPr>
                <w:rFonts w:ascii="Times New Roman" w:eastAsia="Calibri" w:hAnsi="Times New Roman" w:cs="Times New Roman"/>
                <w:bCs/>
                <w:sz w:val="20"/>
                <w:szCs w:val="20"/>
              </w:rPr>
              <w:t xml:space="preserve">) buď bude zcela zrušeno ustanovení limitní částky daně na vstupu u vybraného osobního automobilu dle § 72 zákona o dani z přidané hodnoty (Hospodářskou komorou preferovaná zjednodušující </w:t>
            </w:r>
            <w:proofErr w:type="spellStart"/>
            <w:r w:rsidRPr="0035187E">
              <w:rPr>
                <w:rFonts w:ascii="Times New Roman" w:eastAsia="Calibri" w:hAnsi="Times New Roman" w:cs="Times New Roman"/>
                <w:bCs/>
                <w:sz w:val="20"/>
                <w:szCs w:val="20"/>
              </w:rPr>
              <w:t>podvarianta</w:t>
            </w:r>
            <w:proofErr w:type="spellEnd"/>
            <w:r w:rsidRPr="0035187E">
              <w:rPr>
                <w:rFonts w:ascii="Times New Roman" w:eastAsia="Calibri" w:hAnsi="Times New Roman" w:cs="Times New Roman"/>
                <w:bCs/>
                <w:sz w:val="20"/>
                <w:szCs w:val="20"/>
              </w:rPr>
              <w:t xml:space="preserve">, jejíž fiskální dopady se ošetří výše zmíněnou úpravou parametrů daní z příjmů), anebo bude limitní částka podstatně zvýšena. </w:t>
            </w:r>
          </w:p>
          <w:p w14:paraId="194D23B9" w14:textId="53333718"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Vzhledem k tomu, že navrhovanému řešení by mělo v případě harmonizované DPH předcházet schválení výjimky dle čl. 395 směrnice 2006/112/ES, rozumí HK ČR tomu, že se alternativa vedení tzv. knihy jízd nestane součástí vládního návrhu zákona o evidenci tržeb a o změně některých dalších zákonů, a že tak jde o námět </w:t>
            </w:r>
            <w:r w:rsidRPr="0035187E">
              <w:rPr>
                <w:rFonts w:ascii="Times New Roman" w:hAnsi="Times New Roman" w:cs="Times New Roman"/>
                <w:i/>
                <w:iCs/>
                <w:sz w:val="20"/>
                <w:szCs w:val="20"/>
              </w:rPr>
              <w:t xml:space="preserve">de lege </w:t>
            </w:r>
            <w:proofErr w:type="spellStart"/>
            <w:r w:rsidRPr="0035187E">
              <w:rPr>
                <w:rFonts w:ascii="Times New Roman" w:hAnsi="Times New Roman" w:cs="Times New Roman"/>
                <w:i/>
                <w:iCs/>
                <w:sz w:val="20"/>
                <w:szCs w:val="20"/>
              </w:rPr>
              <w:t>ferenda</w:t>
            </w:r>
            <w:proofErr w:type="spellEnd"/>
            <w:r w:rsidRPr="0035187E">
              <w:rPr>
                <w:rFonts w:ascii="Times New Roman" w:hAnsi="Times New Roman" w:cs="Times New Roman"/>
                <w:sz w:val="20"/>
                <w:szCs w:val="20"/>
              </w:rPr>
              <w:t xml:space="preserve">. HK ČR </w:t>
            </w:r>
            <w:r w:rsidRPr="0035187E">
              <w:rPr>
                <w:rFonts w:ascii="Times New Roman" w:hAnsi="Times New Roman" w:cs="Times New Roman"/>
                <w:sz w:val="20"/>
                <w:szCs w:val="20"/>
              </w:rPr>
              <w:lastRenderedPageBreak/>
              <w:t>nicméně uvítá, pokud bude předkladatelem přislíbeno zařazení této problematiky do budoucí novely daňových předpisů (např. jako součásti legislativního balíku opatření ke snížení administrativní zátěže).</w:t>
            </w:r>
          </w:p>
        </w:tc>
        <w:tc>
          <w:tcPr>
            <w:tcW w:w="1453" w:type="pct"/>
            <w:tcBorders>
              <w:top w:val="single" w:sz="4" w:space="0" w:color="auto"/>
              <w:left w:val="single" w:sz="4" w:space="0" w:color="auto"/>
              <w:right w:val="single" w:sz="4" w:space="0" w:color="auto"/>
            </w:tcBorders>
            <w:shd w:val="clear" w:color="auto" w:fill="auto"/>
          </w:tcPr>
          <w:p w14:paraId="6C28160F" w14:textId="336ACFBD" w:rsidR="000B4BD4" w:rsidRPr="0035187E" w:rsidRDefault="003A066E"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Vysvětleno</w:t>
            </w:r>
            <w:r w:rsidR="000B4BD4" w:rsidRPr="0035187E">
              <w:rPr>
                <w:rFonts w:ascii="Times New Roman" w:hAnsi="Times New Roman" w:cs="Times New Roman"/>
                <w:b/>
                <w:bCs/>
                <w:sz w:val="20"/>
                <w:szCs w:val="20"/>
              </w:rPr>
              <w:t>.</w:t>
            </w:r>
          </w:p>
          <w:p w14:paraId="3B049586" w14:textId="77777777" w:rsidR="00970286" w:rsidRPr="0035187E" w:rsidRDefault="00970286"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K ZDP:</w:t>
            </w:r>
          </w:p>
          <w:p w14:paraId="39E913A4" w14:textId="77777777" w:rsidR="00970286" w:rsidRPr="0035187E" w:rsidRDefault="00970286" w:rsidP="0035187E">
            <w:pPr>
              <w:jc w:val="both"/>
              <w:rPr>
                <w:rFonts w:ascii="Times New Roman" w:hAnsi="Times New Roman" w:cs="Times New Roman"/>
                <w:sz w:val="20"/>
                <w:szCs w:val="20"/>
              </w:rPr>
            </w:pPr>
            <w:r w:rsidRPr="0035187E">
              <w:rPr>
                <w:rFonts w:ascii="Times New Roman" w:hAnsi="Times New Roman" w:cs="Times New Roman"/>
                <w:sz w:val="20"/>
                <w:szCs w:val="20"/>
              </w:rPr>
              <w:t>Podnět přesahuje rámec navrhované úpravy zákona o evidenci tržeb.</w:t>
            </w:r>
          </w:p>
          <w:p w14:paraId="3DA34BE0" w14:textId="77777777" w:rsidR="00970286" w:rsidRPr="0035187E" w:rsidRDefault="00970286"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Ve vztahu k dani z příjmů fyzických osob podnikatelů byla administrativní zátěž, kterou v konkrétním případě může vyvolat vedení tzv. knihy </w:t>
            </w:r>
            <w:r w:rsidRPr="0035187E">
              <w:rPr>
                <w:rFonts w:ascii="Times New Roman" w:hAnsi="Times New Roman" w:cs="Times New Roman"/>
                <w:sz w:val="20"/>
                <w:szCs w:val="20"/>
              </w:rPr>
              <w:lastRenderedPageBreak/>
              <w:t xml:space="preserve">jízd k prokázání skutečných výdajů u daného vozidla, již v minulosti zmírněna zavedením možnosti využití „paušálního výdaje na dopravu“ bez povinnosti prokazovat u daného vozidla výdaje ve skutečné výši (§ 24 odst. 2 písm. </w:t>
            </w:r>
            <w:proofErr w:type="spellStart"/>
            <w:r w:rsidRPr="0035187E">
              <w:rPr>
                <w:rFonts w:ascii="Times New Roman" w:hAnsi="Times New Roman" w:cs="Times New Roman"/>
                <w:sz w:val="20"/>
                <w:szCs w:val="20"/>
              </w:rPr>
              <w:t>zt</w:t>
            </w:r>
            <w:proofErr w:type="spellEnd"/>
            <w:r w:rsidRPr="0035187E">
              <w:rPr>
                <w:rFonts w:ascii="Times New Roman" w:hAnsi="Times New Roman" w:cs="Times New Roman"/>
                <w:sz w:val="20"/>
                <w:szCs w:val="20"/>
              </w:rPr>
              <w:t>) zákona o daních z příjmů). Poplatník tedy již v současné době může v tomto smyslu optimalizovat svou daňovou povinnost a rozhodnout se, zda využije u daného vozidla paušální výdaj na dopravu nebo uplatní skutečné výdaje v prokázané výši formou tzv. „knihy jízd“. Navrhovaná úprava by v podstatě suplovala stejnou funkci „paušálního výdaje na dopravu“ a pouze znepřehlednila daňový režim.</w:t>
            </w:r>
          </w:p>
          <w:p w14:paraId="3CA2AD49" w14:textId="77777777" w:rsidR="00970286" w:rsidRPr="0035187E" w:rsidRDefault="00970286" w:rsidP="0035187E">
            <w:pPr>
              <w:jc w:val="both"/>
              <w:rPr>
                <w:rFonts w:ascii="Times New Roman" w:hAnsi="Times New Roman" w:cs="Times New Roman"/>
                <w:sz w:val="20"/>
                <w:szCs w:val="20"/>
              </w:rPr>
            </w:pPr>
            <w:r w:rsidRPr="0035187E">
              <w:rPr>
                <w:rFonts w:ascii="Times New Roman" w:hAnsi="Times New Roman" w:cs="Times New Roman"/>
                <w:sz w:val="20"/>
                <w:szCs w:val="20"/>
              </w:rPr>
              <w:t>Ve vztahu k dani z příjmů ze závislé činnosti nelze souhlasit s navrženým rozšířením paušalizace prostřednictvím zvýšení nepeněžního příjmu zaměstnance za poskytnutí služebního vozidla i na krytí provozních nákladů. Stávající konstrukce podle § 6 odst. 6 zákona o daních z příjmů vychází z jasného a dlouhodobě ustáleného principu, kdy je nepeněžní příjem stanoven jako procento vstupní ceny vozidla, přičemž ostatní náklady jsou řešeny odděleně. Navrhovaná změna by tento princip narušila a vedla by k nepřehlednosti a snížení transparentnosti zdanění.</w:t>
            </w:r>
          </w:p>
          <w:p w14:paraId="47DEAC5A" w14:textId="77777777" w:rsidR="00970286" w:rsidRPr="0035187E" w:rsidRDefault="00970286" w:rsidP="0035187E">
            <w:pPr>
              <w:jc w:val="both"/>
              <w:rPr>
                <w:rFonts w:ascii="Times New Roman" w:hAnsi="Times New Roman" w:cs="Times New Roman"/>
                <w:sz w:val="20"/>
                <w:szCs w:val="20"/>
              </w:rPr>
            </w:pPr>
            <w:r w:rsidRPr="0035187E">
              <w:rPr>
                <w:rFonts w:ascii="Times New Roman" w:hAnsi="Times New Roman" w:cs="Times New Roman"/>
                <w:sz w:val="20"/>
                <w:szCs w:val="20"/>
              </w:rPr>
              <w:t>Současně by navržené řešení mohlo vést k nepřiměřené paušalizaci, která by neodpovídala skutečnému rozsahu soukromého využití vozidla jednotlivými zaměstnanci. To by v praxi mohlo způsobit jak nadhodnocení, tak i podhodnocení nepeněžního příjmu, a tím narušení daňové spravedlnosti mezi poplatníky.</w:t>
            </w:r>
          </w:p>
          <w:p w14:paraId="4486C293" w14:textId="77777777" w:rsidR="00970286" w:rsidRPr="0035187E" w:rsidRDefault="00970286" w:rsidP="0035187E">
            <w:pPr>
              <w:jc w:val="both"/>
              <w:rPr>
                <w:rFonts w:ascii="Times New Roman" w:hAnsi="Times New Roman" w:cs="Times New Roman"/>
                <w:sz w:val="20"/>
                <w:szCs w:val="20"/>
              </w:rPr>
            </w:pPr>
            <w:r w:rsidRPr="0035187E">
              <w:rPr>
                <w:rFonts w:ascii="Times New Roman" w:hAnsi="Times New Roman" w:cs="Times New Roman"/>
                <w:sz w:val="20"/>
                <w:szCs w:val="20"/>
              </w:rPr>
              <w:t>Navržený model dále vytváří riziko fiskálních dopadů a prostor pro nežádoucí optimalizaci, a to i přes deklarovaný cíl fiskální neutrality, kterou nelze bez detailních analytických podkladů a širší systémové úpravy spolehlivě zajistit.</w:t>
            </w:r>
          </w:p>
          <w:p w14:paraId="4A13D4A0" w14:textId="77777777" w:rsidR="00970286" w:rsidRPr="0035187E" w:rsidRDefault="00970286" w:rsidP="0035187E">
            <w:pPr>
              <w:jc w:val="both"/>
              <w:rPr>
                <w:rFonts w:ascii="Times New Roman" w:hAnsi="Times New Roman" w:cs="Times New Roman"/>
                <w:sz w:val="20"/>
                <w:szCs w:val="20"/>
                <w:u w:val="single"/>
              </w:rPr>
            </w:pPr>
          </w:p>
          <w:p w14:paraId="12648DF3" w14:textId="6F5FD24D"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K DPH:</w:t>
            </w:r>
          </w:p>
          <w:p w14:paraId="0706270D"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Podnět přesahuje rámec navrhované úpravy zákona o evidenci tržeb.</w:t>
            </w:r>
          </w:p>
          <w:p w14:paraId="592F41B6"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Na základě rozhodnutí koaliční rady bylo rozhodnuto, že od roku 2027 se bude aplikovat úprava </w:t>
            </w:r>
            <w:r w:rsidRPr="0035187E">
              <w:rPr>
                <w:rFonts w:ascii="Times New Roman" w:hAnsi="Times New Roman" w:cs="Times New Roman"/>
                <w:sz w:val="20"/>
                <w:szCs w:val="20"/>
              </w:rPr>
              <w:lastRenderedPageBreak/>
              <w:t>bez omezení daně na vstupu, tedy úprava před rokem 2024. Z tohoto důvodu také byla zamítnuta varianta povinného uplatnění odpočtu daně v paušální výši 50 % pro smíšené použití automobilu. Zrušení stávajícího omezení daně na vstupu pro vybrané osobní automobily bylo do návrhu doplněno.</w:t>
            </w:r>
          </w:p>
          <w:p w14:paraId="7FD15F34" w14:textId="77777777" w:rsidR="00D13808" w:rsidRPr="0035187E" w:rsidRDefault="00D13808" w:rsidP="0035187E">
            <w:pPr>
              <w:jc w:val="both"/>
              <w:rPr>
                <w:rFonts w:ascii="Times New Roman" w:hAnsi="Times New Roman" w:cs="Times New Roman"/>
                <w:sz w:val="20"/>
                <w:szCs w:val="20"/>
              </w:rPr>
            </w:pPr>
          </w:p>
          <w:p w14:paraId="3F603285" w14:textId="680E5FBA" w:rsidR="00D13808" w:rsidRPr="0035187E" w:rsidRDefault="00D13808" w:rsidP="0035187E">
            <w:pPr>
              <w:jc w:val="both"/>
              <w:rPr>
                <w:rFonts w:ascii="Times New Roman" w:hAnsi="Times New Roman" w:cs="Times New Roman"/>
                <w:i/>
                <w:sz w:val="20"/>
                <w:szCs w:val="20"/>
              </w:rPr>
            </w:pPr>
            <w:r w:rsidRPr="0035187E">
              <w:rPr>
                <w:rFonts w:ascii="Times New Roman" w:hAnsi="Times New Roman" w:cs="Times New Roman"/>
                <w:bCs/>
                <w:i/>
                <w:sz w:val="20"/>
                <w:szCs w:val="20"/>
              </w:rPr>
              <w:t>V rámci vypořádání bylo sděleno, že navrhovaným zákonem dané téma nebude řešeno, což odpovídá i předpokladům, které připomínkové místo uvedlo ve své připomínce. Současně však bylo přislíbeno pokračování diskuse na toto téma, s cílem identifikovat možná řešení nastíněného problému.</w:t>
            </w:r>
          </w:p>
        </w:tc>
      </w:tr>
      <w:tr w:rsidR="0035187E" w:rsidRPr="0035187E" w14:paraId="584D9974"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7AFAAA0" w14:textId="576CE7B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40.</w:t>
            </w:r>
          </w:p>
        </w:tc>
        <w:tc>
          <w:tcPr>
            <w:tcW w:w="583" w:type="pct"/>
            <w:tcBorders>
              <w:top w:val="single" w:sz="4" w:space="0" w:color="auto"/>
              <w:left w:val="single" w:sz="4" w:space="0" w:color="auto"/>
              <w:right w:val="single" w:sz="4" w:space="0" w:color="auto"/>
            </w:tcBorders>
            <w:shd w:val="clear" w:color="auto" w:fill="auto"/>
          </w:tcPr>
          <w:p w14:paraId="5931AE2A" w14:textId="0801914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61F36CA1" w14:textId="6A61937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42.</w:t>
            </w:r>
          </w:p>
        </w:tc>
        <w:tc>
          <w:tcPr>
            <w:tcW w:w="169" w:type="pct"/>
            <w:tcBorders>
              <w:top w:val="single" w:sz="4" w:space="0" w:color="auto"/>
              <w:left w:val="single" w:sz="4" w:space="0" w:color="auto"/>
              <w:right w:val="single" w:sz="4" w:space="0" w:color="auto"/>
            </w:tcBorders>
            <w:shd w:val="clear" w:color="auto" w:fill="auto"/>
          </w:tcPr>
          <w:p w14:paraId="529B417E" w14:textId="485CFED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5D227CA" w14:textId="77777777" w:rsidR="000B4BD4" w:rsidRPr="0035187E" w:rsidRDefault="000B4BD4" w:rsidP="0035187E">
            <w:pPr>
              <w:numPr>
                <w:ilvl w:val="0"/>
                <w:numId w:val="68"/>
              </w:numPr>
              <w:tabs>
                <w:tab w:val="left" w:pos="567"/>
              </w:tabs>
              <w:ind w:left="0" w:firstLine="0"/>
              <w:jc w:val="both"/>
              <w:rPr>
                <w:rFonts w:ascii="Times New Roman" w:hAnsi="Times New Roman" w:cs="Times New Roman"/>
                <w:b/>
                <w:sz w:val="20"/>
                <w:szCs w:val="20"/>
              </w:rPr>
            </w:pPr>
            <w:r w:rsidRPr="0035187E">
              <w:rPr>
                <w:rFonts w:ascii="Times New Roman" w:hAnsi="Times New Roman" w:cs="Times New Roman"/>
                <w:b/>
                <w:sz w:val="20"/>
                <w:szCs w:val="20"/>
              </w:rPr>
              <w:t>Doporučující připomínky k předloženému materiálu</w:t>
            </w:r>
          </w:p>
          <w:p w14:paraId="1A4D7515" w14:textId="77777777" w:rsidR="000B4BD4" w:rsidRPr="0035187E" w:rsidRDefault="000B4BD4" w:rsidP="0035187E">
            <w:pPr>
              <w:numPr>
                <w:ilvl w:val="0"/>
                <w:numId w:val="73"/>
              </w:numPr>
              <w:tabs>
                <w:tab w:val="left" w:pos="567"/>
              </w:tabs>
              <w:ind w:left="0" w:firstLine="0"/>
              <w:jc w:val="both"/>
              <w:rPr>
                <w:rFonts w:ascii="Times New Roman" w:eastAsia="Calibri" w:hAnsi="Times New Roman" w:cs="Times New Roman"/>
                <w:b/>
                <w:sz w:val="20"/>
                <w:szCs w:val="20"/>
              </w:rPr>
            </w:pPr>
            <w:r w:rsidRPr="0035187E">
              <w:rPr>
                <w:rFonts w:ascii="Times New Roman" w:eastAsia="Calibri" w:hAnsi="Times New Roman" w:cs="Times New Roman"/>
                <w:b/>
                <w:sz w:val="20"/>
                <w:szCs w:val="20"/>
              </w:rPr>
              <w:t>Připomínka k minimálnímu standardu digitálního dokladu</w:t>
            </w:r>
          </w:p>
          <w:p w14:paraId="002789D1" w14:textId="77777777" w:rsidR="000B4BD4" w:rsidRPr="0035187E" w:rsidRDefault="000B4BD4" w:rsidP="0035187E">
            <w:pPr>
              <w:jc w:val="both"/>
              <w:rPr>
                <w:rFonts w:ascii="Times New Roman" w:hAnsi="Times New Roman" w:cs="Times New Roman"/>
                <w:sz w:val="20"/>
                <w:szCs w:val="20"/>
              </w:rPr>
            </w:pPr>
          </w:p>
          <w:p w14:paraId="2891747B" w14:textId="40C27C4E"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Doporučujeme v předloženém materiálu stanovit minimální požadavky na digitální doklad:</w:t>
            </w:r>
          </w:p>
          <w:p w14:paraId="6F2E61F5"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 xml:space="preserve">Obsahové náležitosti: Shodné s požadavky § 16 zákona o ochraně spotřebitele (identifikace prodejce, datum, popis zboží/služby, cena). </w:t>
            </w:r>
          </w:p>
          <w:p w14:paraId="6170D496"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 xml:space="preserve">Doba dostupnosti: Minimálně 12 měsíců od vytvoření objednávky/po dobu záruční doby, možnost stažení v dále zpracovatelném formátu pro potřebu zákazníka. </w:t>
            </w:r>
          </w:p>
          <w:p w14:paraId="40985D94"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 xml:space="preserve">Formát: PDF/JPEG, záznam na webu nebo v aplikaci, jiný běžně čitelný formát </w:t>
            </w:r>
          </w:p>
          <w:p w14:paraId="304ABD80" w14:textId="77777777"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w:t>
            </w:r>
          </w:p>
          <w:p w14:paraId="292C52EB" w14:textId="0E89CF33"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Stanovení minimálních požadavků na digitální doklad povede k zajištění právní jistoty.</w:t>
            </w:r>
          </w:p>
        </w:tc>
        <w:tc>
          <w:tcPr>
            <w:tcW w:w="1453" w:type="pct"/>
            <w:tcBorders>
              <w:top w:val="single" w:sz="4" w:space="0" w:color="auto"/>
              <w:left w:val="single" w:sz="4" w:space="0" w:color="auto"/>
              <w:right w:val="single" w:sz="4" w:space="0" w:color="auto"/>
            </w:tcBorders>
            <w:shd w:val="clear" w:color="auto" w:fill="auto"/>
          </w:tcPr>
          <w:p w14:paraId="4D2B3E99" w14:textId="77777777" w:rsidR="00D64FCC" w:rsidRPr="0035187E" w:rsidRDefault="00D64FCC" w:rsidP="0035187E">
            <w:pPr>
              <w:jc w:val="both"/>
              <w:rPr>
                <w:rFonts w:ascii="Times New Roman" w:hAnsi="Times New Roman" w:cs="Times New Roman"/>
                <w:b/>
                <w:sz w:val="20"/>
                <w:szCs w:val="20"/>
              </w:rPr>
            </w:pPr>
            <w:r w:rsidRPr="0035187E">
              <w:rPr>
                <w:rFonts w:ascii="Times New Roman" w:hAnsi="Times New Roman" w:cs="Times New Roman"/>
                <w:b/>
                <w:sz w:val="20"/>
                <w:szCs w:val="20"/>
              </w:rPr>
              <w:t>Nevyhověno.</w:t>
            </w:r>
          </w:p>
          <w:p w14:paraId="0F0D47F4" w14:textId="77777777" w:rsidR="00D64FCC" w:rsidRPr="0035187E" w:rsidRDefault="00D64FCC" w:rsidP="0035187E">
            <w:pPr>
              <w:jc w:val="both"/>
              <w:rPr>
                <w:rFonts w:ascii="Times New Roman" w:hAnsi="Times New Roman" w:cs="Times New Roman"/>
                <w:sz w:val="20"/>
                <w:szCs w:val="20"/>
              </w:rPr>
            </w:pPr>
            <w:r w:rsidRPr="0035187E">
              <w:rPr>
                <w:rFonts w:ascii="Times New Roman" w:hAnsi="Times New Roman" w:cs="Times New Roman"/>
                <w:sz w:val="20"/>
                <w:szCs w:val="20"/>
              </w:rPr>
              <w:t>Požadavek se netýká navrhované úpravy a nemůže být touto úpravou řešen. Podnět je proto třeba směřovat do právních předpisů, které vystavení příslušného dokladu normují. Ministerstvo financí není gestorem těchto právních předpisů a nemůže se tedy relevantně vyjádřit k tomu, jak je v aplikační praxi právní úprava v této oblasti vykládána.</w:t>
            </w:r>
          </w:p>
          <w:p w14:paraId="2475DA8A" w14:textId="1A79C946" w:rsidR="000B4BD4" w:rsidRPr="0035187E" w:rsidRDefault="000B4BD4" w:rsidP="0035187E">
            <w:pPr>
              <w:jc w:val="both"/>
              <w:rPr>
                <w:rFonts w:ascii="Times New Roman" w:hAnsi="Times New Roman" w:cs="Times New Roman"/>
                <w:sz w:val="20"/>
                <w:szCs w:val="20"/>
              </w:rPr>
            </w:pPr>
          </w:p>
        </w:tc>
      </w:tr>
      <w:tr w:rsidR="0035187E" w:rsidRPr="0035187E" w14:paraId="44961DAC"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3D024CB" w14:textId="3F2EFCB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40.</w:t>
            </w:r>
          </w:p>
        </w:tc>
        <w:tc>
          <w:tcPr>
            <w:tcW w:w="583" w:type="pct"/>
            <w:tcBorders>
              <w:top w:val="single" w:sz="4" w:space="0" w:color="auto"/>
              <w:left w:val="single" w:sz="4" w:space="0" w:color="auto"/>
              <w:right w:val="single" w:sz="4" w:space="0" w:color="auto"/>
            </w:tcBorders>
            <w:shd w:val="clear" w:color="auto" w:fill="auto"/>
          </w:tcPr>
          <w:p w14:paraId="3320371F" w14:textId="08A149C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75EF5CA7" w14:textId="6BB5E49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43.</w:t>
            </w:r>
          </w:p>
        </w:tc>
        <w:tc>
          <w:tcPr>
            <w:tcW w:w="169" w:type="pct"/>
            <w:tcBorders>
              <w:top w:val="single" w:sz="4" w:space="0" w:color="auto"/>
              <w:left w:val="single" w:sz="4" w:space="0" w:color="auto"/>
              <w:right w:val="single" w:sz="4" w:space="0" w:color="auto"/>
            </w:tcBorders>
            <w:shd w:val="clear" w:color="auto" w:fill="auto"/>
          </w:tcPr>
          <w:p w14:paraId="7AC25BF0" w14:textId="3C0E4DB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33C0EBA4" w14:textId="77777777" w:rsidR="000B4BD4" w:rsidRPr="0035187E" w:rsidRDefault="000B4BD4" w:rsidP="0035187E">
            <w:pPr>
              <w:numPr>
                <w:ilvl w:val="0"/>
                <w:numId w:val="73"/>
              </w:numPr>
              <w:tabs>
                <w:tab w:val="left" w:pos="567"/>
              </w:tabs>
              <w:ind w:left="0" w:firstLine="4"/>
              <w:jc w:val="both"/>
              <w:rPr>
                <w:rFonts w:ascii="Times New Roman" w:eastAsia="Calibri" w:hAnsi="Times New Roman" w:cs="Times New Roman"/>
                <w:b/>
                <w:sz w:val="20"/>
                <w:szCs w:val="20"/>
              </w:rPr>
            </w:pPr>
            <w:r w:rsidRPr="0035187E">
              <w:rPr>
                <w:rFonts w:ascii="Times New Roman" w:eastAsia="Calibri" w:hAnsi="Times New Roman" w:cs="Times New Roman"/>
                <w:b/>
                <w:sz w:val="20"/>
                <w:szCs w:val="20"/>
              </w:rPr>
              <w:t>Připomínka k § 4</w:t>
            </w:r>
          </w:p>
          <w:p w14:paraId="17F85C95" w14:textId="77777777" w:rsidR="000B4BD4" w:rsidRPr="0035187E" w:rsidRDefault="000B4BD4" w:rsidP="0035187E">
            <w:pPr>
              <w:jc w:val="both"/>
              <w:rPr>
                <w:rFonts w:ascii="Times New Roman" w:hAnsi="Times New Roman" w:cs="Times New Roman"/>
                <w:sz w:val="20"/>
                <w:szCs w:val="20"/>
              </w:rPr>
            </w:pPr>
          </w:p>
          <w:p w14:paraId="0B1CCE25" w14:textId="5DD037C5"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Doporučujeme v § 4 definovat stánkový prodej na jednorázových akcích. Doporučujeme přijetí následující definice:</w:t>
            </w:r>
          </w:p>
          <w:p w14:paraId="6B1D1391" w14:textId="77777777" w:rsidR="000B4BD4" w:rsidRPr="0035187E" w:rsidRDefault="000B4BD4"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w:t>
            </w:r>
            <w:r w:rsidRPr="0035187E">
              <w:rPr>
                <w:rFonts w:ascii="Times New Roman" w:hAnsi="Times New Roman" w:cs="Times New Roman"/>
                <w:b/>
                <w:bCs/>
                <w:i/>
                <w:iCs/>
                <w:sz w:val="20"/>
                <w:szCs w:val="20"/>
              </w:rPr>
              <w:t>Stánkovým prodejem na jednorázové akci se rozumí prodej zboží nebo služeb z dočasného prodejního místa zřízeného na dobu nejvýše 14 dnů v rámci kulturní, sportovní, vzdělávací nebo komerční akce konané mimo stálou provozovnu</w:t>
            </w:r>
            <w:r w:rsidRPr="0035187E">
              <w:rPr>
                <w:rFonts w:ascii="Times New Roman" w:hAnsi="Times New Roman" w:cs="Times New Roman"/>
                <w:i/>
                <w:iCs/>
                <w:sz w:val="20"/>
                <w:szCs w:val="20"/>
              </w:rPr>
              <w:t>“</w:t>
            </w:r>
          </w:p>
          <w:p w14:paraId="7C244F5B" w14:textId="77777777" w:rsidR="000B4BD4" w:rsidRPr="0035187E" w:rsidRDefault="000B4BD4" w:rsidP="0035187E">
            <w:pPr>
              <w:jc w:val="both"/>
              <w:rPr>
                <w:rFonts w:ascii="Times New Roman" w:hAnsi="Times New Roman" w:cs="Times New Roman"/>
                <w:sz w:val="20"/>
                <w:szCs w:val="20"/>
                <w:u w:val="single"/>
              </w:rPr>
            </w:pPr>
          </w:p>
          <w:p w14:paraId="55848F5F" w14:textId="2E0475B4"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w:t>
            </w:r>
          </w:p>
          <w:p w14:paraId="0D4E0E56" w14:textId="3A363A64"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Stánkový prodej na akcích často probíhá v modelu, kdy pořadatel akce je za část prodejů přímo odpovědný a jím nepokrytou nabídku doplňuje externími prodejci. Přijetí připomínky posílí právní jistotu.</w:t>
            </w:r>
          </w:p>
        </w:tc>
        <w:tc>
          <w:tcPr>
            <w:tcW w:w="1453" w:type="pct"/>
            <w:tcBorders>
              <w:top w:val="single" w:sz="4" w:space="0" w:color="auto"/>
              <w:left w:val="single" w:sz="4" w:space="0" w:color="auto"/>
              <w:right w:val="single" w:sz="4" w:space="0" w:color="auto"/>
            </w:tcBorders>
            <w:shd w:val="clear" w:color="auto" w:fill="auto"/>
          </w:tcPr>
          <w:p w14:paraId="70B76F30" w14:textId="77777777" w:rsidR="000B4BD4" w:rsidRPr="0035187E" w:rsidRDefault="00D64FCC" w:rsidP="0035187E">
            <w:pPr>
              <w:jc w:val="both"/>
              <w:rPr>
                <w:rFonts w:ascii="Times New Roman" w:hAnsi="Times New Roman" w:cs="Times New Roman"/>
                <w:b/>
                <w:sz w:val="20"/>
                <w:szCs w:val="20"/>
              </w:rPr>
            </w:pPr>
            <w:r w:rsidRPr="0035187E">
              <w:rPr>
                <w:rFonts w:ascii="Times New Roman" w:hAnsi="Times New Roman" w:cs="Times New Roman"/>
                <w:b/>
                <w:sz w:val="20"/>
                <w:szCs w:val="20"/>
              </w:rPr>
              <w:t>Nevyhověno.</w:t>
            </w:r>
          </w:p>
          <w:p w14:paraId="0688AE5F" w14:textId="7A367B60" w:rsidR="00D64FCC" w:rsidRPr="0035187E" w:rsidRDefault="00D64FCC" w:rsidP="0035187E">
            <w:pPr>
              <w:jc w:val="both"/>
              <w:rPr>
                <w:rFonts w:ascii="Times New Roman" w:hAnsi="Times New Roman" w:cs="Times New Roman"/>
                <w:sz w:val="20"/>
                <w:szCs w:val="20"/>
              </w:rPr>
            </w:pPr>
            <w:r w:rsidRPr="0035187E">
              <w:rPr>
                <w:rFonts w:ascii="Times New Roman" w:hAnsi="Times New Roman" w:cs="Times New Roman"/>
                <w:sz w:val="20"/>
                <w:szCs w:val="20"/>
              </w:rPr>
              <w:t>Účelem navrženého zákona není definovat stánkový prodej. Pro potřeby § 4 je dostačující pojem provozovna podle živnostenského zákona.</w:t>
            </w:r>
          </w:p>
        </w:tc>
      </w:tr>
      <w:tr w:rsidR="0035187E" w:rsidRPr="0035187E" w14:paraId="061F6022"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4DFD1AF0" w14:textId="2E99111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40.</w:t>
            </w:r>
          </w:p>
        </w:tc>
        <w:tc>
          <w:tcPr>
            <w:tcW w:w="583" w:type="pct"/>
            <w:tcBorders>
              <w:top w:val="single" w:sz="4" w:space="0" w:color="auto"/>
              <w:left w:val="single" w:sz="4" w:space="0" w:color="auto"/>
              <w:right w:val="single" w:sz="4" w:space="0" w:color="auto"/>
            </w:tcBorders>
            <w:shd w:val="clear" w:color="auto" w:fill="auto"/>
          </w:tcPr>
          <w:p w14:paraId="01FF3FA9" w14:textId="4131947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3839DB09" w14:textId="6A76A77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44.</w:t>
            </w:r>
          </w:p>
        </w:tc>
        <w:tc>
          <w:tcPr>
            <w:tcW w:w="169" w:type="pct"/>
            <w:tcBorders>
              <w:top w:val="single" w:sz="4" w:space="0" w:color="auto"/>
              <w:left w:val="single" w:sz="4" w:space="0" w:color="auto"/>
              <w:right w:val="single" w:sz="4" w:space="0" w:color="auto"/>
            </w:tcBorders>
            <w:shd w:val="clear" w:color="auto" w:fill="auto"/>
          </w:tcPr>
          <w:p w14:paraId="1E94BB4B" w14:textId="6503E0A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51B5C91" w14:textId="77777777" w:rsidR="000B4BD4" w:rsidRPr="0035187E" w:rsidRDefault="000B4BD4" w:rsidP="0035187E">
            <w:pPr>
              <w:numPr>
                <w:ilvl w:val="0"/>
                <w:numId w:val="73"/>
              </w:numPr>
              <w:tabs>
                <w:tab w:val="left" w:pos="567"/>
              </w:tabs>
              <w:ind w:left="0" w:firstLine="0"/>
              <w:jc w:val="both"/>
              <w:rPr>
                <w:rFonts w:ascii="Times New Roman" w:eastAsia="Calibri" w:hAnsi="Times New Roman" w:cs="Times New Roman"/>
                <w:b/>
                <w:sz w:val="20"/>
                <w:szCs w:val="20"/>
              </w:rPr>
            </w:pPr>
            <w:r w:rsidRPr="0035187E">
              <w:rPr>
                <w:rFonts w:ascii="Times New Roman" w:eastAsia="Calibri" w:hAnsi="Times New Roman" w:cs="Times New Roman"/>
                <w:b/>
                <w:sz w:val="20"/>
                <w:szCs w:val="20"/>
              </w:rPr>
              <w:t>Připomínka k § 11 odst. 4 a důvodové zprávě</w:t>
            </w:r>
          </w:p>
          <w:p w14:paraId="7FA03718" w14:textId="77777777" w:rsidR="000B4BD4" w:rsidRPr="0035187E" w:rsidRDefault="000B4BD4" w:rsidP="0035187E">
            <w:pPr>
              <w:jc w:val="both"/>
              <w:rPr>
                <w:rFonts w:ascii="Times New Roman" w:hAnsi="Times New Roman" w:cs="Times New Roman"/>
                <w:sz w:val="20"/>
                <w:szCs w:val="20"/>
              </w:rPr>
            </w:pPr>
          </w:p>
          <w:p w14:paraId="35BB0ADB" w14:textId="7F948431"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Doporučujeme v důvodové zprávě k § 11 odst. 4 upřesnit rozdělení odpovědnosti v tomto smyslu:</w:t>
            </w:r>
          </w:p>
          <w:p w14:paraId="639C47DA"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lastRenderedPageBreak/>
              <w:t>Pověřený (platforma): odpovídá za technické provedení evidence, tj. včasné a správné odeslání údajů správci daně v rozsahu dat, které mu prodejce předá prostřednictvím platebního systému.</w:t>
            </w:r>
          </w:p>
          <w:p w14:paraId="7D7D5D4B"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Pověřující (prodejce): odpovídá za správnost a úplnost hlášených tržeb, tj. že veškeré tržby jsou realizovány prostřednictvím platebního systému a nejsou prováděny mimo něj.</w:t>
            </w:r>
          </w:p>
          <w:p w14:paraId="4D71040D" w14:textId="77777777"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w:t>
            </w:r>
          </w:p>
          <w:p w14:paraId="4AE2009D" w14:textId="359AE5B8"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Toto upřesnění je nezbytné pro spravedlivé rozdělení rizik, aby platformy nenesly odpovědnost za případné neevidované postupy jednotlivých prodejců realizované mimo platební systém.</w:t>
            </w:r>
          </w:p>
        </w:tc>
        <w:tc>
          <w:tcPr>
            <w:tcW w:w="1453" w:type="pct"/>
            <w:tcBorders>
              <w:top w:val="single" w:sz="4" w:space="0" w:color="auto"/>
              <w:left w:val="single" w:sz="4" w:space="0" w:color="auto"/>
              <w:right w:val="single" w:sz="4" w:space="0" w:color="auto"/>
            </w:tcBorders>
            <w:shd w:val="clear" w:color="auto" w:fill="auto"/>
          </w:tcPr>
          <w:p w14:paraId="376A3A81" w14:textId="77777777" w:rsidR="000B4BD4" w:rsidRPr="0035187E" w:rsidRDefault="00D64FCC"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Vyhověno.</w:t>
            </w:r>
          </w:p>
          <w:p w14:paraId="5B3E751A" w14:textId="3626DF56" w:rsidR="00D64FCC" w:rsidRPr="0035187E" w:rsidRDefault="00D64FCC"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tc>
      </w:tr>
      <w:tr w:rsidR="0035187E" w:rsidRPr="0035187E" w14:paraId="7F1EBD73"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CB7AB39" w14:textId="261995C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40.</w:t>
            </w:r>
          </w:p>
        </w:tc>
        <w:tc>
          <w:tcPr>
            <w:tcW w:w="583" w:type="pct"/>
            <w:tcBorders>
              <w:top w:val="single" w:sz="4" w:space="0" w:color="auto"/>
              <w:left w:val="single" w:sz="4" w:space="0" w:color="auto"/>
              <w:right w:val="single" w:sz="4" w:space="0" w:color="auto"/>
            </w:tcBorders>
            <w:shd w:val="clear" w:color="auto" w:fill="auto"/>
          </w:tcPr>
          <w:p w14:paraId="2D30B6B9" w14:textId="3E932F5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40DEAB5A" w14:textId="25D4BA1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45.</w:t>
            </w:r>
          </w:p>
        </w:tc>
        <w:tc>
          <w:tcPr>
            <w:tcW w:w="169" w:type="pct"/>
            <w:tcBorders>
              <w:top w:val="single" w:sz="4" w:space="0" w:color="auto"/>
              <w:left w:val="single" w:sz="4" w:space="0" w:color="auto"/>
              <w:right w:val="single" w:sz="4" w:space="0" w:color="auto"/>
            </w:tcBorders>
            <w:shd w:val="clear" w:color="auto" w:fill="auto"/>
          </w:tcPr>
          <w:p w14:paraId="396074DC" w14:textId="6CF5081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0DF1D54" w14:textId="77777777" w:rsidR="000B4BD4" w:rsidRPr="0035187E" w:rsidRDefault="000B4BD4" w:rsidP="0035187E">
            <w:pPr>
              <w:numPr>
                <w:ilvl w:val="0"/>
                <w:numId w:val="73"/>
              </w:numPr>
              <w:tabs>
                <w:tab w:val="left" w:pos="567"/>
              </w:tabs>
              <w:ind w:left="0" w:firstLine="0"/>
              <w:jc w:val="both"/>
              <w:rPr>
                <w:rFonts w:ascii="Times New Roman" w:eastAsia="Calibri" w:hAnsi="Times New Roman" w:cs="Times New Roman"/>
                <w:b/>
                <w:sz w:val="20"/>
                <w:szCs w:val="20"/>
              </w:rPr>
            </w:pPr>
            <w:r w:rsidRPr="0035187E">
              <w:rPr>
                <w:rFonts w:ascii="Times New Roman" w:eastAsia="Calibri" w:hAnsi="Times New Roman" w:cs="Times New Roman"/>
                <w:b/>
                <w:sz w:val="20"/>
                <w:szCs w:val="20"/>
              </w:rPr>
              <w:t>Připomínka k přechodným ustanovením</w:t>
            </w:r>
          </w:p>
          <w:p w14:paraId="442A068F" w14:textId="77777777" w:rsidR="000B4BD4" w:rsidRPr="0035187E" w:rsidRDefault="000B4BD4" w:rsidP="0035187E">
            <w:pPr>
              <w:jc w:val="both"/>
              <w:rPr>
                <w:rFonts w:ascii="Times New Roman" w:hAnsi="Times New Roman" w:cs="Times New Roman"/>
                <w:sz w:val="20"/>
                <w:szCs w:val="20"/>
              </w:rPr>
            </w:pPr>
          </w:p>
          <w:p w14:paraId="3A7514A1" w14:textId="2CCCB434" w:rsidR="000B4BD4" w:rsidRPr="0035187E" w:rsidRDefault="000B4BD4" w:rsidP="0035187E">
            <w:pPr>
              <w:jc w:val="both"/>
              <w:rPr>
                <w:rFonts w:ascii="Times New Roman" w:eastAsia="Calibri" w:hAnsi="Times New Roman" w:cs="Times New Roman"/>
                <w:bCs/>
                <w:sz w:val="20"/>
                <w:szCs w:val="20"/>
              </w:rPr>
            </w:pPr>
            <w:r w:rsidRPr="0035187E">
              <w:rPr>
                <w:rFonts w:ascii="Times New Roman" w:hAnsi="Times New Roman" w:cs="Times New Roman"/>
                <w:sz w:val="20"/>
                <w:szCs w:val="20"/>
              </w:rPr>
              <w:t>Doporučujeme do přechodných ustanovení doplnit závazek vlády vydat nařízení specifikující režim evidence tržeb pro jednorázové kulturní a sportovní akce, a to do 6 měsíců od účinnosti zákona.</w:t>
            </w:r>
          </w:p>
          <w:p w14:paraId="0FD277DF" w14:textId="77777777" w:rsidR="000B4BD4" w:rsidRPr="0035187E" w:rsidRDefault="000B4BD4" w:rsidP="0035187E">
            <w:pPr>
              <w:jc w:val="both"/>
              <w:rPr>
                <w:rFonts w:ascii="Times New Roman" w:hAnsi="Times New Roman" w:cs="Times New Roman"/>
                <w:sz w:val="20"/>
                <w:szCs w:val="20"/>
                <w:u w:val="single"/>
              </w:rPr>
            </w:pPr>
          </w:p>
          <w:p w14:paraId="38A53ABB" w14:textId="1B4A635C"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w:t>
            </w:r>
          </w:p>
          <w:p w14:paraId="446FFB9B" w14:textId="497B6911"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Vydáním vládního nařízení pro festivaly se předejde opakování situace z původního EET 1.0, kdy festivalový sektor zůstal v právní nejistotě.</w:t>
            </w:r>
          </w:p>
        </w:tc>
        <w:tc>
          <w:tcPr>
            <w:tcW w:w="1453" w:type="pct"/>
            <w:tcBorders>
              <w:top w:val="single" w:sz="4" w:space="0" w:color="auto"/>
              <w:left w:val="single" w:sz="4" w:space="0" w:color="auto"/>
              <w:right w:val="single" w:sz="4" w:space="0" w:color="auto"/>
            </w:tcBorders>
            <w:shd w:val="clear" w:color="auto" w:fill="auto"/>
          </w:tcPr>
          <w:p w14:paraId="651AC02A" w14:textId="77777777" w:rsidR="000B4BD4" w:rsidRPr="0035187E" w:rsidRDefault="00575C4C" w:rsidP="0035187E">
            <w:pPr>
              <w:jc w:val="both"/>
              <w:rPr>
                <w:rFonts w:ascii="Times New Roman" w:hAnsi="Times New Roman" w:cs="Times New Roman"/>
                <w:b/>
                <w:sz w:val="20"/>
                <w:szCs w:val="20"/>
              </w:rPr>
            </w:pPr>
            <w:r w:rsidRPr="0035187E">
              <w:rPr>
                <w:rFonts w:ascii="Times New Roman" w:hAnsi="Times New Roman" w:cs="Times New Roman"/>
                <w:b/>
                <w:sz w:val="20"/>
                <w:szCs w:val="20"/>
              </w:rPr>
              <w:t>Nevyhověno.</w:t>
            </w:r>
          </w:p>
          <w:p w14:paraId="1714416D" w14:textId="771E3204" w:rsidR="00575C4C" w:rsidRPr="0035187E" w:rsidRDefault="00575C4C" w:rsidP="0035187E">
            <w:pPr>
              <w:jc w:val="both"/>
              <w:rPr>
                <w:rFonts w:ascii="Times New Roman" w:hAnsi="Times New Roman" w:cs="Times New Roman"/>
                <w:sz w:val="20"/>
                <w:szCs w:val="20"/>
              </w:rPr>
            </w:pPr>
            <w:r w:rsidRPr="0035187E">
              <w:rPr>
                <w:rFonts w:ascii="Times New Roman" w:hAnsi="Times New Roman" w:cs="Times New Roman"/>
                <w:sz w:val="20"/>
                <w:szCs w:val="20"/>
              </w:rPr>
              <w:t>Vydání prováděcího předpisu se nepředpokládá.</w:t>
            </w:r>
          </w:p>
        </w:tc>
      </w:tr>
      <w:tr w:rsidR="0035187E" w:rsidRPr="0035187E" w14:paraId="63B39030"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956D039" w14:textId="2F8BB36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40.</w:t>
            </w:r>
          </w:p>
        </w:tc>
        <w:tc>
          <w:tcPr>
            <w:tcW w:w="583" w:type="pct"/>
            <w:tcBorders>
              <w:top w:val="single" w:sz="4" w:space="0" w:color="auto"/>
              <w:left w:val="single" w:sz="4" w:space="0" w:color="auto"/>
              <w:right w:val="single" w:sz="4" w:space="0" w:color="auto"/>
            </w:tcBorders>
            <w:shd w:val="clear" w:color="auto" w:fill="auto"/>
          </w:tcPr>
          <w:p w14:paraId="727F06D3" w14:textId="1D6D98D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0E35D0FB" w14:textId="3101088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46.</w:t>
            </w:r>
          </w:p>
        </w:tc>
        <w:tc>
          <w:tcPr>
            <w:tcW w:w="169" w:type="pct"/>
            <w:tcBorders>
              <w:top w:val="single" w:sz="4" w:space="0" w:color="auto"/>
              <w:left w:val="single" w:sz="4" w:space="0" w:color="auto"/>
              <w:right w:val="single" w:sz="4" w:space="0" w:color="auto"/>
            </w:tcBorders>
            <w:shd w:val="clear" w:color="auto" w:fill="auto"/>
          </w:tcPr>
          <w:p w14:paraId="419ED845" w14:textId="0FB09A6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FDCCE2D" w14:textId="77777777" w:rsidR="000B4BD4" w:rsidRPr="0035187E" w:rsidRDefault="000B4BD4" w:rsidP="0035187E">
            <w:pPr>
              <w:numPr>
                <w:ilvl w:val="0"/>
                <w:numId w:val="73"/>
              </w:numPr>
              <w:tabs>
                <w:tab w:val="left" w:pos="567"/>
              </w:tabs>
              <w:ind w:left="0" w:firstLine="4"/>
              <w:jc w:val="both"/>
              <w:rPr>
                <w:rFonts w:ascii="Times New Roman" w:eastAsia="Calibri" w:hAnsi="Times New Roman" w:cs="Times New Roman"/>
                <w:b/>
                <w:sz w:val="20"/>
                <w:szCs w:val="20"/>
              </w:rPr>
            </w:pPr>
            <w:r w:rsidRPr="0035187E">
              <w:rPr>
                <w:rFonts w:ascii="Times New Roman" w:eastAsia="Calibri" w:hAnsi="Times New Roman" w:cs="Times New Roman"/>
                <w:b/>
                <w:sz w:val="20"/>
                <w:szCs w:val="20"/>
              </w:rPr>
              <w:t>Připomínka k části druhé, změna zákona o daních z příjmů, nový novelizační bod</w:t>
            </w:r>
          </w:p>
          <w:p w14:paraId="24BC6E13" w14:textId="77777777" w:rsidR="000B4BD4" w:rsidRPr="0035187E" w:rsidRDefault="000B4BD4" w:rsidP="0035187E">
            <w:pPr>
              <w:jc w:val="both"/>
              <w:rPr>
                <w:rFonts w:ascii="Times New Roman" w:hAnsi="Times New Roman" w:cs="Times New Roman"/>
                <w:sz w:val="20"/>
                <w:szCs w:val="20"/>
              </w:rPr>
            </w:pPr>
          </w:p>
          <w:p w14:paraId="24DE3DC9" w14:textId="17E76FE5"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Navrhujeme zvážit úpravu § 6 odst. 9 písm. d) zákona o daních z příjmů, který podmiňuje osvobození nepeněžního plnění pořízením zboží zdravotního, léčebného, hygienického a obdobného charakteru od zdravotnických zařízení. Takto nastavená podmínka není samozřejmá, neboť rozhodující by měla být především povaha pořizovaného zboží, nikoli osoba poskytovatele.</w:t>
            </w:r>
          </w:p>
          <w:p w14:paraId="7CF50CA7"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Současná úprava totiž vylučuje případy, kdy zaměstnavatel pořizuje dané zboží přímo od výrobce, ačkoli jediným rozdílem je nižší pořizovací cena. Konstrukce ustanovení tak může zaměstnavatele nepřímo motivovat k dražšímu pořízení tohoto zboží prostřednictvím zdravotnických zařízení, což z ekonomického hlediska nedává smysl a může být současně v rozporu s povinností péče řádného hospodáře podle zákona o obchodních korporacích. Navrhovaná úprava by přitom nebyla v rozporu s účelem daného osvobození.</w:t>
            </w:r>
          </w:p>
          <w:p w14:paraId="05DB938E" w14:textId="3933EDC5"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Doporučujeme proto zvážit úpravu textu ustanovení tak, aby rozhodujícím kritériem byla povaha pořizovaného zboží, nikoli osoba jeho poskytovatele.</w:t>
            </w:r>
          </w:p>
        </w:tc>
        <w:tc>
          <w:tcPr>
            <w:tcW w:w="1453" w:type="pct"/>
            <w:tcBorders>
              <w:top w:val="single" w:sz="4" w:space="0" w:color="auto"/>
              <w:left w:val="single" w:sz="4" w:space="0" w:color="auto"/>
              <w:right w:val="single" w:sz="4" w:space="0" w:color="auto"/>
            </w:tcBorders>
            <w:shd w:val="clear" w:color="auto" w:fill="auto"/>
          </w:tcPr>
          <w:p w14:paraId="0F46BD62" w14:textId="77777777" w:rsidR="00F945F3" w:rsidRPr="0035187E" w:rsidRDefault="00F945F3" w:rsidP="0035187E">
            <w:pPr>
              <w:jc w:val="both"/>
              <w:rPr>
                <w:rFonts w:ascii="Times New Roman" w:hAnsi="Times New Roman" w:cs="Times New Roman"/>
                <w:sz w:val="20"/>
                <w:szCs w:val="20"/>
              </w:rPr>
            </w:pPr>
            <w:r w:rsidRPr="0035187E">
              <w:rPr>
                <w:rFonts w:ascii="Times New Roman" w:hAnsi="Times New Roman" w:cs="Times New Roman"/>
                <w:b/>
                <w:sz w:val="20"/>
                <w:szCs w:val="20"/>
              </w:rPr>
              <w:t>Nevyhověno.</w:t>
            </w:r>
          </w:p>
          <w:p w14:paraId="27DC0F87" w14:textId="77777777" w:rsidR="00F945F3" w:rsidRPr="0035187E" w:rsidRDefault="00F945F3" w:rsidP="0035187E">
            <w:pPr>
              <w:jc w:val="both"/>
              <w:rPr>
                <w:rFonts w:ascii="Times New Roman" w:hAnsi="Times New Roman" w:cs="Times New Roman"/>
                <w:sz w:val="20"/>
                <w:szCs w:val="20"/>
              </w:rPr>
            </w:pPr>
            <w:r w:rsidRPr="0035187E">
              <w:rPr>
                <w:rFonts w:ascii="Times New Roman" w:hAnsi="Times New Roman" w:cs="Times New Roman"/>
                <w:sz w:val="20"/>
                <w:szCs w:val="20"/>
              </w:rPr>
              <w:t>Navrhovaná úprava není důvodná. Stávající vymezení podmínky pořízení zboží od zdravotnických zařízení představuje věcně opodstatněné a dlouhodobě funkční kritérium, které zajišťuje dostatečnou míru právní jistoty i kontrolovatelnosti uplatňovaného daňového osvobození. Tento přístup byl v praxi aplikován bez významnějších interpretačních obtíží.</w:t>
            </w:r>
          </w:p>
          <w:p w14:paraId="53B862CF" w14:textId="404C66FD" w:rsidR="000B4BD4" w:rsidRPr="0035187E" w:rsidRDefault="00F945F3" w:rsidP="0035187E">
            <w:pPr>
              <w:jc w:val="both"/>
              <w:rPr>
                <w:rFonts w:ascii="Times New Roman" w:hAnsi="Times New Roman" w:cs="Times New Roman"/>
                <w:sz w:val="20"/>
                <w:szCs w:val="20"/>
              </w:rPr>
            </w:pPr>
            <w:r w:rsidRPr="0035187E">
              <w:rPr>
                <w:rFonts w:ascii="Times New Roman" w:hAnsi="Times New Roman" w:cs="Times New Roman"/>
                <w:sz w:val="20"/>
                <w:szCs w:val="20"/>
              </w:rPr>
              <w:t>Vázání osvobození na poskytovatele současně slouží jako preventivní nástroj proti možnému zneužívání daňového režimu, neboť umožňuje lépe ověřit zdravotní charakter plnění. Oproti tomu posuzování pouze podle povahy zboží by v praxi vedlo k větší míře nejednoznačnosti, složitějšímu dokazování a potenciálním sporům se správcem daně.</w:t>
            </w:r>
          </w:p>
        </w:tc>
      </w:tr>
      <w:tr w:rsidR="0035187E" w:rsidRPr="0035187E" w14:paraId="30309934"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AAF7E57" w14:textId="108D023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40.</w:t>
            </w:r>
          </w:p>
        </w:tc>
        <w:tc>
          <w:tcPr>
            <w:tcW w:w="583" w:type="pct"/>
            <w:tcBorders>
              <w:top w:val="single" w:sz="4" w:space="0" w:color="auto"/>
              <w:left w:val="single" w:sz="4" w:space="0" w:color="auto"/>
              <w:right w:val="single" w:sz="4" w:space="0" w:color="auto"/>
            </w:tcBorders>
            <w:shd w:val="clear" w:color="auto" w:fill="auto"/>
          </w:tcPr>
          <w:p w14:paraId="398EC7F1" w14:textId="0C9BB65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3599379A" w14:textId="02C5119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47.</w:t>
            </w:r>
          </w:p>
        </w:tc>
        <w:tc>
          <w:tcPr>
            <w:tcW w:w="169" w:type="pct"/>
            <w:tcBorders>
              <w:top w:val="single" w:sz="4" w:space="0" w:color="auto"/>
              <w:left w:val="single" w:sz="4" w:space="0" w:color="auto"/>
              <w:right w:val="single" w:sz="4" w:space="0" w:color="auto"/>
            </w:tcBorders>
            <w:shd w:val="clear" w:color="auto" w:fill="auto"/>
          </w:tcPr>
          <w:p w14:paraId="51F6DA9F" w14:textId="5D403E5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403D488" w14:textId="77777777" w:rsidR="000B4BD4" w:rsidRPr="0035187E" w:rsidRDefault="000B4BD4" w:rsidP="0035187E">
            <w:pPr>
              <w:numPr>
                <w:ilvl w:val="0"/>
                <w:numId w:val="73"/>
              </w:numPr>
              <w:tabs>
                <w:tab w:val="left" w:pos="567"/>
              </w:tabs>
              <w:ind w:left="0" w:firstLine="4"/>
              <w:jc w:val="both"/>
              <w:rPr>
                <w:rFonts w:ascii="Times New Roman" w:eastAsia="Calibri" w:hAnsi="Times New Roman" w:cs="Times New Roman"/>
                <w:b/>
                <w:sz w:val="20"/>
                <w:szCs w:val="20"/>
              </w:rPr>
            </w:pPr>
            <w:r w:rsidRPr="0035187E">
              <w:rPr>
                <w:rFonts w:ascii="Times New Roman" w:eastAsia="Calibri" w:hAnsi="Times New Roman" w:cs="Times New Roman"/>
                <w:b/>
                <w:sz w:val="20"/>
                <w:szCs w:val="20"/>
              </w:rPr>
              <w:t>Připomínka k důvodové zprávě (§ 20 a § 21)</w:t>
            </w:r>
          </w:p>
          <w:p w14:paraId="58A90586" w14:textId="77777777" w:rsidR="000B4BD4" w:rsidRPr="0035187E" w:rsidRDefault="000B4BD4" w:rsidP="0035187E">
            <w:pPr>
              <w:jc w:val="both"/>
              <w:rPr>
                <w:rFonts w:ascii="Times New Roman" w:hAnsi="Times New Roman" w:cs="Times New Roman"/>
                <w:sz w:val="20"/>
                <w:szCs w:val="20"/>
              </w:rPr>
            </w:pPr>
          </w:p>
          <w:p w14:paraId="51FD6B9A" w14:textId="4279E091" w:rsidR="000B4BD4" w:rsidRPr="0035187E" w:rsidRDefault="000B4BD4" w:rsidP="0035187E">
            <w:pPr>
              <w:jc w:val="both"/>
              <w:rPr>
                <w:rFonts w:ascii="Times New Roman" w:eastAsia="Calibri" w:hAnsi="Times New Roman" w:cs="Times New Roman"/>
                <w:bCs/>
                <w:sz w:val="20"/>
                <w:szCs w:val="20"/>
              </w:rPr>
            </w:pPr>
            <w:r w:rsidRPr="0035187E">
              <w:rPr>
                <w:rFonts w:ascii="Times New Roman" w:hAnsi="Times New Roman" w:cs="Times New Roman"/>
                <w:sz w:val="20"/>
                <w:szCs w:val="20"/>
              </w:rPr>
              <w:t>Doporučujeme doplnit důvodovou zprávu o podrobnější popis postupu při překročení mezní doby odezvy systému evidence tržeb podle § 20 a § 21 návrhu zákona.</w:t>
            </w:r>
          </w:p>
          <w:p w14:paraId="79EDE1B1" w14:textId="77777777" w:rsidR="000B4BD4" w:rsidRPr="0035187E" w:rsidRDefault="000B4BD4" w:rsidP="0035187E">
            <w:pPr>
              <w:jc w:val="both"/>
              <w:rPr>
                <w:rFonts w:ascii="Times New Roman" w:hAnsi="Times New Roman" w:cs="Times New Roman"/>
                <w:sz w:val="20"/>
                <w:szCs w:val="20"/>
                <w:u w:val="single"/>
              </w:rPr>
            </w:pPr>
          </w:p>
          <w:p w14:paraId="0215D914" w14:textId="6745C044"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w:t>
            </w:r>
          </w:p>
          <w:p w14:paraId="1B35777C"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lastRenderedPageBreak/>
              <w:t>Návrh zákona stanoví pravidla pro evidenci tržeb v případě překročení mezní doby odezvy systému evidence tržeb, avšak neobsahuje bližší popis praktického postupu podnikatele v těchto situacích.</w:t>
            </w:r>
          </w:p>
          <w:p w14:paraId="6D3591C2"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Pro zajištění právní jistoty podnikatelů, včasné přípravy (která bude převážně technického charakteru a vyžadující komunikaci s dodavateli software platebních systémů) a jednotného výkladu právní úpravy považujeme za vhodné doplnit důvodovou zprávu zejména o:</w:t>
            </w:r>
          </w:p>
          <w:p w14:paraId="3B25BBC9"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technický popis postupu při překročení mezní doby odezvy,</w:t>
            </w:r>
          </w:p>
          <w:p w14:paraId="31A1CEAF"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 xml:space="preserve">vymezení okamžiku, kdy je možné přejít do </w:t>
            </w:r>
            <w:proofErr w:type="spellStart"/>
            <w:r w:rsidRPr="0035187E">
              <w:rPr>
                <w:rFonts w:ascii="Times New Roman" w:eastAsia="Calibri" w:hAnsi="Times New Roman" w:cs="Times New Roman"/>
                <w:bCs/>
                <w:sz w:val="20"/>
                <w:szCs w:val="20"/>
              </w:rPr>
              <w:t>offline</w:t>
            </w:r>
            <w:proofErr w:type="spellEnd"/>
            <w:r w:rsidRPr="0035187E">
              <w:rPr>
                <w:rFonts w:ascii="Times New Roman" w:eastAsia="Calibri" w:hAnsi="Times New Roman" w:cs="Times New Roman"/>
                <w:bCs/>
                <w:sz w:val="20"/>
                <w:szCs w:val="20"/>
              </w:rPr>
              <w:t xml:space="preserve"> režimu evidence,</w:t>
            </w:r>
          </w:p>
          <w:p w14:paraId="2782E00D"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postup při následném odeslání údajů o evidované tržbě do systému evidence tržeb,</w:t>
            </w:r>
          </w:p>
          <w:p w14:paraId="62DA0958"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řešení opakovaných nebo dlouhodobých výpadků spojení.</w:t>
            </w:r>
          </w:p>
          <w:p w14:paraId="062DF123" w14:textId="0B3F3ED0"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Upřesnění těchto aspektů v důvodové zprávě přispěje k jednotnému výkladu právní úpravy a sníží riziko interpretačních sporů v praxi.</w:t>
            </w:r>
          </w:p>
        </w:tc>
        <w:tc>
          <w:tcPr>
            <w:tcW w:w="1453" w:type="pct"/>
            <w:tcBorders>
              <w:top w:val="single" w:sz="4" w:space="0" w:color="auto"/>
              <w:left w:val="single" w:sz="4" w:space="0" w:color="auto"/>
              <w:right w:val="single" w:sz="4" w:space="0" w:color="auto"/>
            </w:tcBorders>
            <w:shd w:val="clear" w:color="auto" w:fill="auto"/>
          </w:tcPr>
          <w:p w14:paraId="2B4C3ECF" w14:textId="77777777" w:rsidR="000B4BD4" w:rsidRPr="0035187E" w:rsidRDefault="00575C4C"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Vyhověno.</w:t>
            </w:r>
          </w:p>
          <w:p w14:paraId="7B7F2DCD" w14:textId="77777777" w:rsidR="00575C4C" w:rsidRPr="0035187E" w:rsidRDefault="00575C4C"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p w14:paraId="2B888A5B" w14:textId="6295FE12" w:rsidR="00575C4C" w:rsidRPr="0035187E" w:rsidRDefault="00575C4C" w:rsidP="0035187E">
            <w:pPr>
              <w:jc w:val="both"/>
              <w:rPr>
                <w:rFonts w:ascii="Times New Roman" w:hAnsi="Times New Roman" w:cs="Times New Roman"/>
                <w:sz w:val="20"/>
                <w:szCs w:val="20"/>
              </w:rPr>
            </w:pPr>
          </w:p>
        </w:tc>
      </w:tr>
      <w:tr w:rsidR="0035187E" w:rsidRPr="0035187E" w14:paraId="4F5499DC"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372390E" w14:textId="4CAF6C8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40.</w:t>
            </w:r>
          </w:p>
        </w:tc>
        <w:tc>
          <w:tcPr>
            <w:tcW w:w="583" w:type="pct"/>
            <w:tcBorders>
              <w:top w:val="single" w:sz="4" w:space="0" w:color="auto"/>
              <w:left w:val="single" w:sz="4" w:space="0" w:color="auto"/>
              <w:right w:val="single" w:sz="4" w:space="0" w:color="auto"/>
            </w:tcBorders>
            <w:shd w:val="clear" w:color="auto" w:fill="auto"/>
          </w:tcPr>
          <w:p w14:paraId="6003ADC5" w14:textId="00E2EB4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082E36B0" w14:textId="217B8D4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48.</w:t>
            </w:r>
          </w:p>
        </w:tc>
        <w:tc>
          <w:tcPr>
            <w:tcW w:w="169" w:type="pct"/>
            <w:tcBorders>
              <w:top w:val="single" w:sz="4" w:space="0" w:color="auto"/>
              <w:left w:val="single" w:sz="4" w:space="0" w:color="auto"/>
              <w:right w:val="single" w:sz="4" w:space="0" w:color="auto"/>
            </w:tcBorders>
            <w:shd w:val="clear" w:color="auto" w:fill="auto"/>
          </w:tcPr>
          <w:p w14:paraId="6FF4A26D" w14:textId="1BE7F8A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563BA19" w14:textId="77777777" w:rsidR="000B4BD4" w:rsidRPr="0035187E" w:rsidRDefault="000B4BD4" w:rsidP="0035187E">
            <w:pPr>
              <w:numPr>
                <w:ilvl w:val="0"/>
                <w:numId w:val="73"/>
              </w:numPr>
              <w:tabs>
                <w:tab w:val="left" w:pos="567"/>
              </w:tabs>
              <w:ind w:left="0" w:firstLine="0"/>
              <w:jc w:val="both"/>
              <w:rPr>
                <w:rFonts w:ascii="Times New Roman" w:eastAsia="Calibri" w:hAnsi="Times New Roman" w:cs="Times New Roman"/>
                <w:b/>
                <w:sz w:val="20"/>
                <w:szCs w:val="20"/>
              </w:rPr>
            </w:pPr>
            <w:r w:rsidRPr="0035187E">
              <w:rPr>
                <w:rFonts w:ascii="Times New Roman" w:eastAsia="Calibri" w:hAnsi="Times New Roman" w:cs="Times New Roman"/>
                <w:b/>
                <w:sz w:val="20"/>
                <w:szCs w:val="20"/>
              </w:rPr>
              <w:t>Připomínka k důvodové zprávě (§ 23)</w:t>
            </w:r>
          </w:p>
          <w:p w14:paraId="0E1E2525" w14:textId="77777777" w:rsidR="000B4BD4" w:rsidRPr="0035187E" w:rsidRDefault="000B4BD4" w:rsidP="0035187E">
            <w:pPr>
              <w:jc w:val="both"/>
              <w:rPr>
                <w:rFonts w:ascii="Times New Roman" w:hAnsi="Times New Roman" w:cs="Times New Roman"/>
                <w:sz w:val="20"/>
                <w:szCs w:val="20"/>
              </w:rPr>
            </w:pPr>
          </w:p>
          <w:p w14:paraId="5DE70322" w14:textId="13DC8670" w:rsidR="000B4BD4" w:rsidRPr="0035187E" w:rsidRDefault="000B4BD4" w:rsidP="0035187E">
            <w:pPr>
              <w:jc w:val="both"/>
              <w:rPr>
                <w:rFonts w:ascii="Times New Roman" w:eastAsia="Calibri" w:hAnsi="Times New Roman" w:cs="Times New Roman"/>
                <w:bCs/>
                <w:sz w:val="20"/>
                <w:szCs w:val="20"/>
              </w:rPr>
            </w:pPr>
            <w:r w:rsidRPr="0035187E">
              <w:rPr>
                <w:rFonts w:ascii="Times New Roman" w:hAnsi="Times New Roman" w:cs="Times New Roman"/>
                <w:sz w:val="20"/>
                <w:szCs w:val="20"/>
              </w:rPr>
              <w:t>Doporučujeme doplnit důvodovou zprávu o bližší popis způsobu kontroly plnění povinností subjektů při evidenci tržeb.</w:t>
            </w:r>
          </w:p>
          <w:p w14:paraId="1B8CF32E" w14:textId="77777777" w:rsidR="000B4BD4" w:rsidRPr="0035187E" w:rsidRDefault="000B4BD4" w:rsidP="0035187E">
            <w:pPr>
              <w:jc w:val="both"/>
              <w:rPr>
                <w:rFonts w:ascii="Times New Roman" w:hAnsi="Times New Roman" w:cs="Times New Roman"/>
                <w:sz w:val="20"/>
                <w:szCs w:val="20"/>
                <w:u w:val="single"/>
              </w:rPr>
            </w:pPr>
          </w:p>
          <w:p w14:paraId="02701615" w14:textId="3583C798"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w:t>
            </w:r>
          </w:p>
          <w:p w14:paraId="210BD83B"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Návrh zákona stanoví povinnosti subjektů evidujících tržby, avšak důvodová zpráva neobsahuje bližší informace o tom, jakým způsobem bude v praxi probíhat kontrola jejich plnění ze strany správce daně. I to je podstatná informace, která ovlivní způsob technické přípravy tak, aby byl podnikatel schopen dostát požadavkům veřejné správy při kontrole plnění povinností řádně a včas. Požadavky na podklady předkládané veřejné správě (zejm. rozsah, struktura, časové období) je nutné předložit dodavatelům software ve fázi implementace (vývoje software).</w:t>
            </w:r>
          </w:p>
          <w:p w14:paraId="5E73168B"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Pro zajištění transparentnosti právní úpravy a právní jistoty podnikatelů považujeme za vhodné doplnit důvodovou zprávu zejména o:</w:t>
            </w:r>
          </w:p>
          <w:p w14:paraId="0034AB71"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základní principy kontrolních postupů správce daně,</w:t>
            </w:r>
          </w:p>
          <w:p w14:paraId="7FA1B276"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využívání analytických nástrojů při vyhodnocování evidovaných tržeb,</w:t>
            </w:r>
          </w:p>
          <w:p w14:paraId="794863B5"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způsob provádění místních šetření nebo kontrol na místě,</w:t>
            </w:r>
          </w:p>
          <w:p w14:paraId="6926154E" w14:textId="77777777" w:rsidR="000B4BD4" w:rsidRPr="0035187E" w:rsidRDefault="000B4BD4" w:rsidP="0035187E">
            <w:pPr>
              <w:numPr>
                <w:ilvl w:val="0"/>
                <w:numId w:val="69"/>
              </w:num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návaznost kontrol na sankční mechanismy podle návrhu zákona.</w:t>
            </w:r>
          </w:p>
          <w:p w14:paraId="17081B0C" w14:textId="737F5580"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Doplnění těchto informací v důvodové zprávě umožní lepší pochopení fungování systému evidence tržeb a přispěje k jeho předvídatelnosti pro podnikatelskou sféru.</w:t>
            </w:r>
          </w:p>
        </w:tc>
        <w:tc>
          <w:tcPr>
            <w:tcW w:w="1453" w:type="pct"/>
            <w:tcBorders>
              <w:top w:val="single" w:sz="4" w:space="0" w:color="auto"/>
              <w:left w:val="single" w:sz="4" w:space="0" w:color="auto"/>
              <w:right w:val="single" w:sz="4" w:space="0" w:color="auto"/>
            </w:tcBorders>
            <w:shd w:val="clear" w:color="auto" w:fill="auto"/>
          </w:tcPr>
          <w:p w14:paraId="62947104" w14:textId="77777777" w:rsidR="00575C4C" w:rsidRPr="0035187E" w:rsidRDefault="00575C4C"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2D02611E" w14:textId="73C0848F" w:rsidR="000B4BD4" w:rsidRPr="0035187E" w:rsidRDefault="00575C4C" w:rsidP="0035187E">
            <w:pPr>
              <w:jc w:val="both"/>
              <w:rPr>
                <w:rFonts w:ascii="Times New Roman" w:hAnsi="Times New Roman" w:cs="Times New Roman"/>
                <w:sz w:val="20"/>
                <w:szCs w:val="20"/>
              </w:rPr>
            </w:pPr>
            <w:r w:rsidRPr="0035187E">
              <w:rPr>
                <w:rFonts w:ascii="Times New Roman" w:hAnsi="Times New Roman" w:cs="Times New Roman"/>
                <w:sz w:val="20"/>
                <w:szCs w:val="20"/>
              </w:rPr>
              <w:t>Je potřeba upozornit na to, že právní předpis i jeho důvodová zpráva, z povahy věci nemohou dopředu předvídat přesný postup aplikační praxe správců daně. Jde totiž o proměnlivou veličinu, která závisí na mnoha faktorech. Požadavek připomínkového místa je tak do jisté míry nesplnitelný. Poskytnuté informace by tak mohly být postupem času zkreslené a nepřesné. Nadto platí, že některé taktické postupy jsou interní záležitostí správce daně.</w:t>
            </w:r>
          </w:p>
        </w:tc>
      </w:tr>
      <w:tr w:rsidR="0035187E" w:rsidRPr="0035187E" w14:paraId="1680C377"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B9F5E37" w14:textId="1C68EF2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40.</w:t>
            </w:r>
          </w:p>
        </w:tc>
        <w:tc>
          <w:tcPr>
            <w:tcW w:w="583" w:type="pct"/>
            <w:tcBorders>
              <w:top w:val="single" w:sz="4" w:space="0" w:color="auto"/>
              <w:left w:val="single" w:sz="4" w:space="0" w:color="auto"/>
              <w:right w:val="single" w:sz="4" w:space="0" w:color="auto"/>
            </w:tcBorders>
            <w:shd w:val="clear" w:color="auto" w:fill="auto"/>
          </w:tcPr>
          <w:p w14:paraId="2BEE6742" w14:textId="00AB049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Hospodářská komora České republiky</w:t>
            </w:r>
          </w:p>
        </w:tc>
        <w:tc>
          <w:tcPr>
            <w:tcW w:w="168" w:type="pct"/>
            <w:tcBorders>
              <w:top w:val="single" w:sz="4" w:space="0" w:color="auto"/>
              <w:left w:val="single" w:sz="4" w:space="0" w:color="auto"/>
              <w:right w:val="single" w:sz="4" w:space="0" w:color="auto"/>
            </w:tcBorders>
            <w:shd w:val="clear" w:color="auto" w:fill="auto"/>
          </w:tcPr>
          <w:p w14:paraId="73FC0B71" w14:textId="61885F6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49.</w:t>
            </w:r>
          </w:p>
        </w:tc>
        <w:tc>
          <w:tcPr>
            <w:tcW w:w="169" w:type="pct"/>
            <w:tcBorders>
              <w:top w:val="single" w:sz="4" w:space="0" w:color="auto"/>
              <w:left w:val="single" w:sz="4" w:space="0" w:color="auto"/>
              <w:right w:val="single" w:sz="4" w:space="0" w:color="auto"/>
            </w:tcBorders>
            <w:shd w:val="clear" w:color="auto" w:fill="auto"/>
          </w:tcPr>
          <w:p w14:paraId="274FDE4C" w14:textId="47C0C30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2CA60A3" w14:textId="77777777" w:rsidR="000B4BD4" w:rsidRPr="0035187E" w:rsidRDefault="000B4BD4" w:rsidP="0035187E">
            <w:pPr>
              <w:numPr>
                <w:ilvl w:val="0"/>
                <w:numId w:val="73"/>
              </w:numPr>
              <w:tabs>
                <w:tab w:val="left" w:pos="567"/>
              </w:tabs>
              <w:ind w:left="0" w:firstLine="0"/>
              <w:jc w:val="both"/>
              <w:rPr>
                <w:rFonts w:ascii="Times New Roman" w:eastAsia="Calibri" w:hAnsi="Times New Roman" w:cs="Times New Roman"/>
                <w:b/>
                <w:sz w:val="20"/>
                <w:szCs w:val="20"/>
              </w:rPr>
            </w:pPr>
            <w:r w:rsidRPr="0035187E">
              <w:rPr>
                <w:rFonts w:ascii="Times New Roman" w:eastAsia="Calibri" w:hAnsi="Times New Roman" w:cs="Times New Roman"/>
                <w:b/>
                <w:sz w:val="20"/>
                <w:szCs w:val="20"/>
              </w:rPr>
              <w:t>Připomínka k důvodové zprávě (změna zákona o daních z příjmů, novelizační bod 5)</w:t>
            </w:r>
          </w:p>
          <w:p w14:paraId="1745CBA8" w14:textId="77777777" w:rsidR="000B4BD4" w:rsidRPr="0035187E" w:rsidRDefault="000B4BD4" w:rsidP="0035187E">
            <w:pPr>
              <w:jc w:val="both"/>
              <w:rPr>
                <w:rFonts w:ascii="Times New Roman" w:hAnsi="Times New Roman" w:cs="Times New Roman"/>
                <w:sz w:val="20"/>
                <w:szCs w:val="20"/>
              </w:rPr>
            </w:pPr>
          </w:p>
          <w:p w14:paraId="3E0FC0FB" w14:textId="2EA1FBCE"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Doporučujeme doplnit v důvodové zprávě k novému ustanovení § 6 odst. 9 písm. d) zákona o daních z příjmů vysvětlení, jak v praxi poznat, že se jedná o komunitní službu. Pokud není jednoduchý postup rozpoznání komunitní služby nebo postup vyžaduje nějaké </w:t>
            </w:r>
            <w:r w:rsidRPr="0035187E">
              <w:rPr>
                <w:rFonts w:ascii="Times New Roman" w:hAnsi="Times New Roman" w:cs="Times New Roman"/>
                <w:sz w:val="20"/>
                <w:szCs w:val="20"/>
              </w:rPr>
              <w:lastRenderedPageBreak/>
              <w:t>subjektivní hodnocení ze strany zaměstnavatele, potom doporučujeme zvážit vypuštění podmínky „</w:t>
            </w:r>
            <w:r w:rsidRPr="0035187E">
              <w:rPr>
                <w:rFonts w:ascii="Times New Roman" w:hAnsi="Times New Roman" w:cs="Times New Roman"/>
                <w:i/>
                <w:iCs/>
                <w:sz w:val="20"/>
                <w:szCs w:val="20"/>
              </w:rPr>
              <w:t>komunitního charakteru</w:t>
            </w:r>
            <w:r w:rsidRPr="0035187E">
              <w:rPr>
                <w:rFonts w:ascii="Times New Roman" w:hAnsi="Times New Roman" w:cs="Times New Roman"/>
                <w:sz w:val="20"/>
                <w:szCs w:val="20"/>
              </w:rPr>
              <w:t>“ poskytované služby.</w:t>
            </w:r>
          </w:p>
        </w:tc>
        <w:tc>
          <w:tcPr>
            <w:tcW w:w="1453" w:type="pct"/>
            <w:tcBorders>
              <w:top w:val="single" w:sz="4" w:space="0" w:color="auto"/>
              <w:left w:val="single" w:sz="4" w:space="0" w:color="auto"/>
              <w:right w:val="single" w:sz="4" w:space="0" w:color="auto"/>
            </w:tcBorders>
            <w:shd w:val="clear" w:color="auto" w:fill="auto"/>
          </w:tcPr>
          <w:p w14:paraId="2B54C33F" w14:textId="00E110A4" w:rsidR="00F945F3" w:rsidRPr="0035187E" w:rsidRDefault="00F73092" w:rsidP="0035187E">
            <w:pPr>
              <w:jc w:val="both"/>
              <w:rPr>
                <w:rFonts w:ascii="Times New Roman" w:hAnsi="Times New Roman" w:cs="Times New Roman"/>
                <w:sz w:val="20"/>
                <w:szCs w:val="20"/>
              </w:rPr>
            </w:pPr>
            <w:r w:rsidRPr="0035187E">
              <w:rPr>
                <w:rFonts w:ascii="Times New Roman" w:hAnsi="Times New Roman" w:cs="Times New Roman"/>
                <w:b/>
                <w:sz w:val="20"/>
                <w:szCs w:val="20"/>
              </w:rPr>
              <w:lastRenderedPageBreak/>
              <w:t>Vysvětleno</w:t>
            </w:r>
            <w:r w:rsidR="00F945F3" w:rsidRPr="0035187E">
              <w:rPr>
                <w:rFonts w:ascii="Times New Roman" w:hAnsi="Times New Roman" w:cs="Times New Roman"/>
                <w:b/>
                <w:sz w:val="20"/>
                <w:szCs w:val="20"/>
              </w:rPr>
              <w:t>.</w:t>
            </w:r>
          </w:p>
          <w:p w14:paraId="6DD31DAD" w14:textId="77777777" w:rsidR="00F945F3" w:rsidRPr="0035187E" w:rsidRDefault="00F945F3"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Vymezení komunitní služby vychází z § 33a zákona o sociálních službách, který stanoví podmínky, za nichž je služba považována za službu komunitního charakteru. Odkaz na § 33a zákona č. 108/2006 Sb., o sociálních službách, ve znění pozdějších předpisů, je uveden v důvodové zprávě. Nejedná se tedy o </w:t>
            </w:r>
            <w:r w:rsidRPr="0035187E">
              <w:rPr>
                <w:rFonts w:ascii="Times New Roman" w:hAnsi="Times New Roman" w:cs="Times New Roman"/>
                <w:sz w:val="20"/>
                <w:szCs w:val="20"/>
              </w:rPr>
              <w:lastRenderedPageBreak/>
              <w:t xml:space="preserve">neurčitý pojem bez opory v právním řádu, ale o legislativně ukotvený institut, jehož interpretace vychází z příslušné právní úpravy a související aplikační praxe, a z důvodové zprávy to jasně vyplývá. </w:t>
            </w:r>
          </w:p>
          <w:p w14:paraId="5726753A" w14:textId="77777777" w:rsidR="00F945F3" w:rsidRPr="0035187E" w:rsidRDefault="00F945F3" w:rsidP="0035187E">
            <w:pPr>
              <w:jc w:val="both"/>
              <w:rPr>
                <w:rFonts w:ascii="Times New Roman" w:hAnsi="Times New Roman" w:cs="Times New Roman"/>
                <w:sz w:val="20"/>
                <w:szCs w:val="20"/>
              </w:rPr>
            </w:pPr>
            <w:r w:rsidRPr="0035187E">
              <w:rPr>
                <w:rFonts w:ascii="Times New Roman" w:hAnsi="Times New Roman" w:cs="Times New Roman"/>
                <w:sz w:val="20"/>
                <w:szCs w:val="20"/>
              </w:rPr>
              <w:t>Záměrem je podporovat služby komunitního typu, které umožňují osobám, zejména seniorům, setrvat v jejich přirozeném domácím prostředí. Tento účel naplňují především terénní služby a v určité míře také služby ambulantní, nikoli však služby pobytové.</w:t>
            </w:r>
          </w:p>
          <w:p w14:paraId="7D6B3FF0" w14:textId="796C03D0" w:rsidR="000B4BD4" w:rsidRPr="0035187E" w:rsidRDefault="00F945F3" w:rsidP="0035187E">
            <w:pPr>
              <w:jc w:val="both"/>
              <w:rPr>
                <w:rFonts w:ascii="Times New Roman" w:hAnsi="Times New Roman" w:cs="Times New Roman"/>
                <w:sz w:val="20"/>
                <w:szCs w:val="20"/>
              </w:rPr>
            </w:pPr>
            <w:r w:rsidRPr="0035187E">
              <w:rPr>
                <w:rFonts w:ascii="Times New Roman" w:hAnsi="Times New Roman" w:cs="Times New Roman"/>
                <w:sz w:val="20"/>
                <w:szCs w:val="20"/>
              </w:rPr>
              <w:t>Zakotvení podmínky komunitního charakteru proto představuje věcně odůvodněné omezení, které zajišťuje, že daňová podpora bude cíleně směřovat na služby podporující nezávislý způsob života, a nikoli na pobytové formy péče. Vypuštění této podmínky by vedlo k rozšíření daňové podpory i na služby, které neodpovídají sledovanému veřejnému zájmu.</w:t>
            </w:r>
          </w:p>
        </w:tc>
      </w:tr>
      <w:tr w:rsidR="0035187E" w:rsidRPr="0035187E" w14:paraId="7C12591F"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4CC30747" w14:textId="6AF7934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44.</w:t>
            </w:r>
          </w:p>
        </w:tc>
        <w:tc>
          <w:tcPr>
            <w:tcW w:w="583" w:type="pct"/>
            <w:tcBorders>
              <w:top w:val="single" w:sz="4" w:space="0" w:color="auto"/>
              <w:left w:val="single" w:sz="4" w:space="0" w:color="auto"/>
              <w:right w:val="single" w:sz="4" w:space="0" w:color="auto"/>
            </w:tcBorders>
            <w:shd w:val="clear" w:color="auto" w:fill="auto"/>
          </w:tcPr>
          <w:p w14:paraId="70FAFDB1" w14:textId="3AE67F3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Kancelář veřejného ochránce práv a ochránce práv dětí</w:t>
            </w:r>
          </w:p>
        </w:tc>
        <w:tc>
          <w:tcPr>
            <w:tcW w:w="168" w:type="pct"/>
            <w:tcBorders>
              <w:top w:val="single" w:sz="4" w:space="0" w:color="auto"/>
              <w:left w:val="single" w:sz="4" w:space="0" w:color="auto"/>
              <w:right w:val="single" w:sz="4" w:space="0" w:color="auto"/>
            </w:tcBorders>
            <w:shd w:val="clear" w:color="auto" w:fill="auto"/>
          </w:tcPr>
          <w:p w14:paraId="67E36A68" w14:textId="5A5DD2C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1A760268" w14:textId="5C6C44C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9E5FAC2" w14:textId="7EBC22FF" w:rsidR="000B4BD4" w:rsidRPr="0035187E" w:rsidRDefault="000B4BD4" w:rsidP="0035187E">
            <w:pPr>
              <w:keepNext/>
              <w:jc w:val="both"/>
              <w:outlineLvl w:val="1"/>
              <w:rPr>
                <w:rFonts w:ascii="Times New Roman" w:eastAsia="Calibri" w:hAnsi="Times New Roman" w:cs="Times New Roman"/>
                <w:b/>
                <w:sz w:val="20"/>
                <w:szCs w:val="20"/>
                <w:lang w:eastAsia="en-US"/>
              </w:rPr>
            </w:pPr>
            <w:r w:rsidRPr="0035187E">
              <w:rPr>
                <w:rFonts w:ascii="Times New Roman" w:eastAsia="Calibri" w:hAnsi="Times New Roman" w:cs="Times New Roman"/>
                <w:b/>
                <w:sz w:val="20"/>
                <w:szCs w:val="20"/>
                <w:lang w:eastAsia="en-US"/>
              </w:rPr>
              <w:t>KONKRÉTNÍ PŘIPOMÍNKY</w:t>
            </w:r>
          </w:p>
          <w:p w14:paraId="129792CA" w14:textId="77777777" w:rsidR="000B4BD4" w:rsidRPr="0035187E" w:rsidRDefault="000B4BD4" w:rsidP="0035187E">
            <w:pPr>
              <w:keepNext/>
              <w:jc w:val="both"/>
              <w:outlineLvl w:val="1"/>
              <w:rPr>
                <w:rFonts w:ascii="Times New Roman" w:eastAsia="Calibri" w:hAnsi="Times New Roman" w:cs="Times New Roman"/>
                <w:b/>
                <w:sz w:val="20"/>
                <w:szCs w:val="20"/>
                <w:lang w:eastAsia="en-US"/>
              </w:rPr>
            </w:pPr>
          </w:p>
          <w:p w14:paraId="56D1A00B" w14:textId="7C6B477B" w:rsidR="000B4BD4" w:rsidRPr="0035187E" w:rsidRDefault="000B4BD4" w:rsidP="0035187E">
            <w:pPr>
              <w:pStyle w:val="Odstavecseseznamem"/>
              <w:keepNext/>
              <w:numPr>
                <w:ilvl w:val="0"/>
                <w:numId w:val="37"/>
              </w:numPr>
              <w:ind w:left="387" w:hanging="426"/>
              <w:jc w:val="both"/>
              <w:outlineLvl w:val="2"/>
              <w:rPr>
                <w:rFonts w:ascii="Times New Roman" w:eastAsia="Calibri" w:hAnsi="Times New Roman"/>
                <w:b/>
                <w:sz w:val="20"/>
                <w:szCs w:val="20"/>
              </w:rPr>
            </w:pPr>
            <w:r w:rsidRPr="0035187E">
              <w:rPr>
                <w:rFonts w:ascii="Times New Roman" w:eastAsia="Calibri" w:hAnsi="Times New Roman"/>
                <w:b/>
                <w:sz w:val="20"/>
                <w:szCs w:val="20"/>
              </w:rPr>
              <w:t>K části druhé, změna zákona o daních z příjmů</w:t>
            </w:r>
          </w:p>
          <w:p w14:paraId="42F5AF58" w14:textId="39B27B7A" w:rsidR="000B4BD4" w:rsidRPr="0035187E" w:rsidRDefault="000B4BD4" w:rsidP="0035187E">
            <w:pPr>
              <w:pStyle w:val="Odstavecseseznamem"/>
              <w:keepNext/>
              <w:numPr>
                <w:ilvl w:val="0"/>
                <w:numId w:val="38"/>
              </w:numPr>
              <w:ind w:left="387" w:hanging="426"/>
              <w:jc w:val="both"/>
              <w:outlineLvl w:val="3"/>
              <w:rPr>
                <w:rFonts w:ascii="Times New Roman" w:eastAsia="Calibri" w:hAnsi="Times New Roman"/>
                <w:b/>
                <w:sz w:val="20"/>
                <w:szCs w:val="20"/>
              </w:rPr>
            </w:pPr>
            <w:r w:rsidRPr="0035187E">
              <w:rPr>
                <w:rFonts w:ascii="Times New Roman" w:eastAsia="Calibri" w:hAnsi="Times New Roman"/>
                <w:b/>
                <w:sz w:val="20"/>
                <w:szCs w:val="20"/>
              </w:rPr>
              <w:t>K bodu 14 (§ 35bd odst. 6)</w:t>
            </w:r>
          </w:p>
          <w:p w14:paraId="1051FE8B" w14:textId="77777777" w:rsidR="000B4BD4" w:rsidRPr="0035187E" w:rsidRDefault="000B4BD4" w:rsidP="0035187E">
            <w:pPr>
              <w:jc w:val="both"/>
              <w:rPr>
                <w:rFonts w:ascii="Times New Roman" w:eastAsia="Calibri" w:hAnsi="Times New Roman" w:cs="Times New Roman"/>
                <w:sz w:val="20"/>
                <w:szCs w:val="20"/>
                <w:lang w:eastAsia="en-US"/>
              </w:rPr>
            </w:pPr>
          </w:p>
          <w:p w14:paraId="6654ABA4" w14:textId="0EACA566"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Navrhuje se opětovně zavést slevu za umístění dítěte. Stejně jako u předchozí právní úpravy bude možné slevu uplatnit jen za podmínky, že je dítě umístěno v zařízení naplňujícím definici předškolního zařízení podle zákona o daních z příjmů</w:t>
            </w:r>
            <w:r w:rsidRPr="0035187E">
              <w:rPr>
                <w:rFonts w:ascii="Times New Roman" w:eastAsia="Calibri" w:hAnsi="Times New Roman" w:cs="Times New Roman"/>
                <w:b/>
                <w:sz w:val="20"/>
                <w:szCs w:val="20"/>
                <w:vertAlign w:val="superscript"/>
                <w:lang w:eastAsia="en-US"/>
              </w:rPr>
              <w:footnoteReference w:id="3"/>
            </w:r>
            <w:r w:rsidRPr="0035187E">
              <w:rPr>
                <w:rFonts w:ascii="Times New Roman" w:eastAsia="Calibri" w:hAnsi="Times New Roman" w:cs="Times New Roman"/>
                <w:sz w:val="20"/>
                <w:szCs w:val="20"/>
                <w:lang w:eastAsia="en-US"/>
              </w:rPr>
              <w:t>. Definice předškolního zařízení se navrhuje v totožném znění, jako tomu bylo do konce roku 2023.</w:t>
            </w:r>
          </w:p>
          <w:p w14:paraId="5949A943"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V praxi jsem se dříve zabýval podněty lidí, kteří nemohli slevu uplatnit, protože jejich dítě navštěvovalo předškolní zařízení, které nespadalo do definice zákona o daních z příjmů. Fakticky se však jednalo o zařízení, které poskytovalo dítěti srovnatelnou péči jako v mateřské škole či dětské skupině.</w:t>
            </w:r>
          </w:p>
          <w:p w14:paraId="79EF64C0"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Konkrétně se jednalo o případ, kdy dítě navštěvovalo </w:t>
            </w:r>
            <w:r w:rsidRPr="0035187E">
              <w:rPr>
                <w:rFonts w:ascii="Times New Roman" w:eastAsia="Calibri" w:hAnsi="Times New Roman" w:cs="Times New Roman"/>
                <w:b/>
                <w:bCs/>
                <w:sz w:val="20"/>
                <w:szCs w:val="20"/>
                <w:lang w:eastAsia="en-US"/>
              </w:rPr>
              <w:t>přípravnou třídu soukromé základní školy</w:t>
            </w:r>
            <w:r w:rsidRPr="0035187E">
              <w:rPr>
                <w:rFonts w:ascii="Times New Roman" w:eastAsia="Calibri" w:hAnsi="Times New Roman" w:cs="Times New Roman"/>
                <w:sz w:val="20"/>
                <w:szCs w:val="20"/>
                <w:lang w:eastAsia="en-US"/>
              </w:rPr>
              <w:t>. Přípravná třída sice zajišťovala předškolní vzdělávání a nesla znaky trvalosti a pravidelnosti, ale nesplňovala definici předškolního zařízení podle zákona o daních z příjmů. Nejednalo se totiž o mateřskou školu ani dětskou skupinu. Navíc se předškolní vzdělávání v přípravných třídách neřídí živnostenským zákonem, nýbrž školským zákonem</w:t>
            </w:r>
            <w:r w:rsidRPr="0035187E">
              <w:rPr>
                <w:rFonts w:ascii="Times New Roman" w:eastAsia="Calibri" w:hAnsi="Times New Roman" w:cs="Times New Roman"/>
                <w:b/>
                <w:sz w:val="20"/>
                <w:szCs w:val="20"/>
                <w:vertAlign w:val="superscript"/>
                <w:lang w:eastAsia="en-US"/>
              </w:rPr>
              <w:footnoteReference w:id="4"/>
            </w:r>
            <w:r w:rsidRPr="0035187E">
              <w:rPr>
                <w:rFonts w:ascii="Times New Roman" w:eastAsia="Calibri" w:hAnsi="Times New Roman" w:cs="Times New Roman"/>
                <w:sz w:val="20"/>
                <w:szCs w:val="20"/>
                <w:lang w:eastAsia="en-US"/>
              </w:rPr>
              <w:t>.</w:t>
            </w:r>
          </w:p>
          <w:p w14:paraId="6FF90BCA" w14:textId="349ECEB9"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Rozumím tomu, že stát chce kompenzovat náklady spojené s umístěním dítěte jen ve vybraných zařízeních předškolního vzdělávání, které garantují určité standardy péče. Mám však za to, že navrhovaný rozsah definice předškolního zařízení nepamatuje na všechny varianty předškolního vzdělávání. Rodiče dětí umístěných v přípravných </w:t>
            </w:r>
            <w:r w:rsidRPr="0035187E">
              <w:rPr>
                <w:rFonts w:ascii="Times New Roman" w:eastAsia="Calibri" w:hAnsi="Times New Roman" w:cs="Times New Roman"/>
                <w:sz w:val="20"/>
                <w:szCs w:val="20"/>
                <w:lang w:eastAsia="en-US"/>
              </w:rPr>
              <w:lastRenderedPageBreak/>
              <w:t>třídách základních škol by neměli být nedůvodně znevýhodněni. Totéž platí i o přípravném stupni základní školy speciální podle školského zákona. Rodiče těchto dětí přitom z důvodu naplnění kapacit předškolních zařízení často nemají na výběr a nemohou své dítě umístit do zařízení, které naplňuje původně navrhovanou zákonnou definici.</w:t>
            </w:r>
          </w:p>
          <w:p w14:paraId="4B6D59D6" w14:textId="77777777" w:rsidR="000B4BD4" w:rsidRPr="0035187E" w:rsidRDefault="000B4BD4" w:rsidP="0035187E">
            <w:pPr>
              <w:jc w:val="both"/>
              <w:rPr>
                <w:rFonts w:ascii="Times New Roman" w:eastAsia="Calibri" w:hAnsi="Times New Roman" w:cs="Times New Roman"/>
                <w:sz w:val="20"/>
                <w:szCs w:val="20"/>
                <w:lang w:eastAsia="en-US"/>
              </w:rPr>
            </w:pPr>
          </w:p>
          <w:p w14:paraId="40462FE8" w14:textId="3D1C3D49" w:rsidR="000B4BD4" w:rsidRPr="0035187E" w:rsidRDefault="000B4BD4" w:rsidP="0035187E">
            <w:pPr>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Navrhuji proto, aby předkladatel doplnil § 35bd odst. 6 tak, aby zněl:</w:t>
            </w:r>
          </w:p>
          <w:p w14:paraId="7F67EB7D" w14:textId="77777777" w:rsidR="000B4BD4" w:rsidRPr="0035187E" w:rsidRDefault="000B4BD4" w:rsidP="0035187E">
            <w:pPr>
              <w:jc w:val="both"/>
              <w:rPr>
                <w:rFonts w:ascii="Times New Roman" w:eastAsia="Calibri" w:hAnsi="Times New Roman" w:cs="Times New Roman"/>
                <w:b/>
                <w:bCs/>
                <w:sz w:val="20"/>
                <w:szCs w:val="20"/>
                <w:lang w:eastAsia="en-US"/>
              </w:rPr>
            </w:pPr>
          </w:p>
          <w:p w14:paraId="5FA8A3EE"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„(6) Pro účely daní z příjmů se předškolním zařízením rozumí</w:t>
            </w:r>
          </w:p>
          <w:p w14:paraId="63A5DAB1"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a) mateřská škola</w:t>
            </w:r>
            <w:r w:rsidRPr="0035187E">
              <w:rPr>
                <w:rFonts w:ascii="Times New Roman" w:eastAsia="Calibri" w:hAnsi="Times New Roman" w:cs="Times New Roman"/>
                <w:b/>
                <w:bCs/>
                <w:sz w:val="20"/>
                <w:szCs w:val="20"/>
                <w:lang w:eastAsia="en-US"/>
              </w:rPr>
              <w:t>, přípravná třída základní školy a přípravný stupeň základní školy speciální</w:t>
            </w:r>
            <w:r w:rsidRPr="0035187E">
              <w:rPr>
                <w:rFonts w:ascii="Times New Roman" w:eastAsia="Calibri" w:hAnsi="Times New Roman" w:cs="Times New Roman"/>
                <w:sz w:val="20"/>
                <w:szCs w:val="20"/>
                <w:lang w:eastAsia="en-US"/>
              </w:rPr>
              <w:t xml:space="preserve"> podle školského zákona, nebo obdobná zařízení v zahraničí,</w:t>
            </w:r>
          </w:p>
          <w:p w14:paraId="6CC3B474"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b) zařízení služby péče o dítě v dětské skupině podle zákona upravujícího poskytování služby péče o dítě v dětské skupině nebo obdobné zařízení v zahraničí a</w:t>
            </w:r>
          </w:p>
          <w:p w14:paraId="2AEEC585"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c) zařízení péče o dítě předškolního věku provozovaná na základě živnostenského oprávnění, pokud charakter takto poskytované péče je srovnatelný s péčí poskytovanou</w:t>
            </w:r>
          </w:p>
          <w:p w14:paraId="251C5111"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1. zařízením služby péče o dítě v dětské skupině podle zákona upravujícího poskytování služby péče o dítě v dětské skupině, nebo</w:t>
            </w:r>
          </w:p>
          <w:p w14:paraId="4A5EB32C"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2. mateřskou školou podle školského zákona,</w:t>
            </w:r>
          </w:p>
          <w:p w14:paraId="2E0C6917" w14:textId="77777777" w:rsidR="000B4BD4" w:rsidRPr="0035187E" w:rsidRDefault="000B4BD4" w:rsidP="0035187E">
            <w:pPr>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3. v přípravné třídě základní školy podle školského zákona, nebo</w:t>
            </w:r>
          </w:p>
          <w:p w14:paraId="2D28637C"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b/>
                <w:bCs/>
                <w:sz w:val="20"/>
                <w:szCs w:val="20"/>
                <w:lang w:eastAsia="en-US"/>
              </w:rPr>
              <w:t>4. v přípravném stupni základní školy speciální podle školského zákona</w:t>
            </w:r>
            <w:r w:rsidRPr="0035187E">
              <w:rPr>
                <w:rFonts w:ascii="Times New Roman" w:eastAsia="Calibri" w:hAnsi="Times New Roman" w:cs="Times New Roman"/>
                <w:sz w:val="20"/>
                <w:szCs w:val="20"/>
                <w:lang w:eastAsia="en-US"/>
              </w:rPr>
              <w:t>.“</w:t>
            </w:r>
          </w:p>
          <w:p w14:paraId="3FE01DAA" w14:textId="77777777" w:rsidR="000B4BD4" w:rsidRPr="0035187E" w:rsidRDefault="000B4BD4" w:rsidP="0035187E">
            <w:pPr>
              <w:jc w:val="both"/>
              <w:rPr>
                <w:rFonts w:ascii="Times New Roman" w:eastAsia="Calibri" w:hAnsi="Times New Roman" w:cs="Times New Roman"/>
                <w:b/>
                <w:bCs/>
                <w:sz w:val="20"/>
                <w:szCs w:val="20"/>
                <w:lang w:eastAsia="en-US"/>
              </w:rPr>
            </w:pPr>
          </w:p>
          <w:p w14:paraId="3C471577" w14:textId="50C20FAC" w:rsidR="000B4BD4" w:rsidRPr="0035187E" w:rsidRDefault="000B4BD4" w:rsidP="0035187E">
            <w:pPr>
              <w:jc w:val="both"/>
              <w:rPr>
                <w:rFonts w:ascii="Times New Roman" w:hAnsi="Times New Roman" w:cs="Times New Roman"/>
                <w:bCs/>
                <w:sz w:val="20"/>
                <w:szCs w:val="20"/>
              </w:rPr>
            </w:pPr>
            <w:r w:rsidRPr="0035187E">
              <w:rPr>
                <w:rFonts w:ascii="Times New Roman" w:eastAsia="Calibri" w:hAnsi="Times New Roman" w:cs="Times New Roman"/>
                <w:b/>
                <w:bCs/>
                <w:sz w:val="20"/>
                <w:szCs w:val="20"/>
                <w:lang w:eastAsia="en-US"/>
              </w:rPr>
              <w:t>Tato připomínka je zásadní.</w:t>
            </w:r>
          </w:p>
        </w:tc>
        <w:tc>
          <w:tcPr>
            <w:tcW w:w="1453" w:type="pct"/>
            <w:tcBorders>
              <w:top w:val="single" w:sz="4" w:space="0" w:color="auto"/>
              <w:left w:val="single" w:sz="4" w:space="0" w:color="auto"/>
              <w:right w:val="single" w:sz="4" w:space="0" w:color="auto"/>
            </w:tcBorders>
            <w:shd w:val="clear" w:color="auto" w:fill="auto"/>
          </w:tcPr>
          <w:p w14:paraId="0CBC0D50" w14:textId="590A48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b/>
                <w:sz w:val="20"/>
                <w:szCs w:val="20"/>
              </w:rPr>
              <w:lastRenderedPageBreak/>
              <w:t>Nevyhověno.</w:t>
            </w:r>
            <w:r w:rsidR="000D30E8">
              <w:rPr>
                <w:rFonts w:ascii="Times New Roman" w:hAnsi="Times New Roman" w:cs="Times New Roman"/>
                <w:b/>
                <w:sz w:val="20"/>
                <w:szCs w:val="20"/>
              </w:rPr>
              <w:t xml:space="preserve"> </w:t>
            </w:r>
            <w:r w:rsidR="000D30E8" w:rsidRPr="000D30E8">
              <w:rPr>
                <w:rFonts w:ascii="Times New Roman" w:hAnsi="Times New Roman" w:cs="Times New Roman"/>
                <w:b/>
                <w:color w:val="FF0000"/>
                <w:sz w:val="20"/>
                <w:szCs w:val="20"/>
              </w:rPr>
              <w:t>ROZPOR</w:t>
            </w:r>
          </w:p>
          <w:p w14:paraId="28ABDFF3" w14:textId="77C6F6B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Navrhované rozšíření definice předškolního zařízení nepovažujeme za vhodné. Cílem právní úpravy je zachovat jednoznačné, přehledné a právně jisté vymezení okruhu zařízení, na která lze slevu za umístění dítěte uplatnit, a to s důrazem na jejich jasně definovaný právní status a kontrolovatelné standardy poskytované péče. Stávající definice, odpovídající úpravě účinné do konce roku 2023, se přitom v praxi osvědčila a umožňuje jednoznačné posouzení nároku bez potřeby složitějšího výkladu.</w:t>
            </w:r>
          </w:p>
          <w:p w14:paraId="7C096515" w14:textId="26F3BA5A"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Navržené doplnění by rozšířilo okruh zařízení o další typy institucí, jejichž primární účel a právní režim se od předškolních zařízení liší. V případě přípravných tříd základních škol a přípravných stupňů základních škol speciálních se jedná o součást systému základního vzdělávání, nikoli o předškolní péči v užším smyslu, na niž je sleva koncipována.</w:t>
            </w:r>
          </w:p>
          <w:p w14:paraId="436D6AD5"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Současně by takové rozšíření zvýšilo riziko interpretačních nejasností a mohlo by vést ke snížení právní jistoty i k nejednotné aplikační praxi, zejména při posuzování „obdobnosti“ zařízení či charakteru poskytované péče. To by mohlo ztížit jak posuzování </w:t>
            </w:r>
            <w:r w:rsidRPr="0035187E">
              <w:rPr>
                <w:rFonts w:ascii="Times New Roman" w:hAnsi="Times New Roman" w:cs="Times New Roman"/>
                <w:sz w:val="20"/>
                <w:szCs w:val="20"/>
              </w:rPr>
              <w:lastRenderedPageBreak/>
              <w:t>nároku ze strany správců daně, tak orientaci poplatníků v jejich právech.</w:t>
            </w:r>
          </w:p>
          <w:p w14:paraId="6C0934CD" w14:textId="77777777" w:rsidR="003F165E" w:rsidRPr="0035187E" w:rsidRDefault="003F165E" w:rsidP="0035187E">
            <w:pPr>
              <w:jc w:val="both"/>
              <w:rPr>
                <w:rFonts w:ascii="Times New Roman" w:hAnsi="Times New Roman" w:cs="Times New Roman"/>
                <w:sz w:val="20"/>
                <w:szCs w:val="20"/>
              </w:rPr>
            </w:pPr>
          </w:p>
          <w:p w14:paraId="4DD85D02" w14:textId="6BA41959" w:rsidR="003F165E" w:rsidRPr="0035187E" w:rsidRDefault="003F165E" w:rsidP="0035187E">
            <w:pPr>
              <w:jc w:val="both"/>
              <w:rPr>
                <w:rFonts w:ascii="Times New Roman" w:hAnsi="Times New Roman" w:cs="Times New Roman"/>
                <w:i/>
                <w:sz w:val="20"/>
                <w:szCs w:val="20"/>
              </w:rPr>
            </w:pPr>
            <w:r w:rsidRPr="0035187E">
              <w:rPr>
                <w:rFonts w:ascii="Times New Roman" w:hAnsi="Times New Roman" w:cs="Times New Roman"/>
                <w:i/>
                <w:sz w:val="20"/>
                <w:szCs w:val="20"/>
              </w:rPr>
              <w:t>Vyjádření připomínkového místa: se zaslaným návrhem nesouhlasí</w:t>
            </w:r>
            <w:r w:rsidR="00702BA9">
              <w:rPr>
                <w:rFonts w:ascii="Times New Roman" w:hAnsi="Times New Roman" w:cs="Times New Roman"/>
                <w:i/>
                <w:sz w:val="20"/>
                <w:szCs w:val="20"/>
              </w:rPr>
              <w:t xml:space="preserve"> a trvá na rozporu</w:t>
            </w:r>
            <w:r w:rsidRPr="0035187E">
              <w:rPr>
                <w:rFonts w:ascii="Times New Roman" w:hAnsi="Times New Roman" w:cs="Times New Roman"/>
                <w:i/>
                <w:sz w:val="20"/>
                <w:szCs w:val="20"/>
              </w:rPr>
              <w:t>.</w:t>
            </w:r>
          </w:p>
          <w:p w14:paraId="178F4B05" w14:textId="7E6CEC99" w:rsidR="001E10EF" w:rsidRPr="0035187E" w:rsidRDefault="001E10EF" w:rsidP="0035187E">
            <w:pPr>
              <w:jc w:val="both"/>
              <w:rPr>
                <w:rFonts w:ascii="Times New Roman" w:hAnsi="Times New Roman" w:cs="Times New Roman"/>
                <w:i/>
                <w:sz w:val="20"/>
                <w:szCs w:val="20"/>
              </w:rPr>
            </w:pPr>
          </w:p>
          <w:p w14:paraId="0E0F4D3A" w14:textId="0074F258" w:rsidR="003F165E" w:rsidRPr="0035187E" w:rsidRDefault="003F165E" w:rsidP="000D30E8">
            <w:pPr>
              <w:jc w:val="both"/>
              <w:rPr>
                <w:rFonts w:ascii="Times New Roman" w:hAnsi="Times New Roman" w:cs="Times New Roman"/>
                <w:i/>
                <w:sz w:val="20"/>
                <w:szCs w:val="20"/>
              </w:rPr>
            </w:pPr>
          </w:p>
        </w:tc>
      </w:tr>
      <w:tr w:rsidR="0035187E" w:rsidRPr="0035187E" w14:paraId="000C2625"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8783F42" w14:textId="421535D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44.</w:t>
            </w:r>
          </w:p>
        </w:tc>
        <w:tc>
          <w:tcPr>
            <w:tcW w:w="583" w:type="pct"/>
            <w:tcBorders>
              <w:top w:val="single" w:sz="4" w:space="0" w:color="auto"/>
              <w:left w:val="single" w:sz="4" w:space="0" w:color="auto"/>
              <w:right w:val="single" w:sz="4" w:space="0" w:color="auto"/>
            </w:tcBorders>
            <w:shd w:val="clear" w:color="auto" w:fill="auto"/>
          </w:tcPr>
          <w:p w14:paraId="681FB51E" w14:textId="42BED82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Kancelář veřejného ochránce práv a ochránce práv dětí</w:t>
            </w:r>
          </w:p>
        </w:tc>
        <w:tc>
          <w:tcPr>
            <w:tcW w:w="168" w:type="pct"/>
            <w:tcBorders>
              <w:top w:val="single" w:sz="4" w:space="0" w:color="auto"/>
              <w:left w:val="single" w:sz="4" w:space="0" w:color="auto"/>
              <w:right w:val="single" w:sz="4" w:space="0" w:color="auto"/>
            </w:tcBorders>
            <w:shd w:val="clear" w:color="auto" w:fill="auto"/>
          </w:tcPr>
          <w:p w14:paraId="2374408D" w14:textId="1607641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w:t>
            </w:r>
          </w:p>
        </w:tc>
        <w:tc>
          <w:tcPr>
            <w:tcW w:w="169" w:type="pct"/>
            <w:tcBorders>
              <w:top w:val="single" w:sz="4" w:space="0" w:color="auto"/>
              <w:left w:val="single" w:sz="4" w:space="0" w:color="auto"/>
              <w:right w:val="single" w:sz="4" w:space="0" w:color="auto"/>
            </w:tcBorders>
            <w:shd w:val="clear" w:color="auto" w:fill="auto"/>
          </w:tcPr>
          <w:p w14:paraId="3DDD3657" w14:textId="34976DF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D73E475" w14:textId="77777777" w:rsidR="000B4BD4" w:rsidRPr="0035187E" w:rsidRDefault="000B4BD4" w:rsidP="0035187E">
            <w:pPr>
              <w:pStyle w:val="Odstavecseseznamem"/>
              <w:keepNext/>
              <w:numPr>
                <w:ilvl w:val="0"/>
                <w:numId w:val="38"/>
              </w:numPr>
              <w:ind w:left="387" w:hanging="426"/>
              <w:jc w:val="both"/>
              <w:outlineLvl w:val="3"/>
              <w:rPr>
                <w:rFonts w:ascii="Times New Roman" w:eastAsia="Calibri" w:hAnsi="Times New Roman"/>
                <w:b/>
                <w:sz w:val="20"/>
                <w:szCs w:val="20"/>
              </w:rPr>
            </w:pPr>
            <w:r w:rsidRPr="0035187E">
              <w:rPr>
                <w:rFonts w:ascii="Times New Roman" w:eastAsia="Calibri" w:hAnsi="Times New Roman"/>
                <w:b/>
                <w:sz w:val="20"/>
                <w:szCs w:val="20"/>
              </w:rPr>
              <w:t>K bodu 14 (§ 35bd)</w:t>
            </w:r>
          </w:p>
          <w:p w14:paraId="0DB4C48E" w14:textId="77777777" w:rsidR="000B4BD4" w:rsidRPr="0035187E" w:rsidRDefault="000B4BD4" w:rsidP="0035187E">
            <w:pPr>
              <w:jc w:val="both"/>
              <w:rPr>
                <w:rFonts w:ascii="Times New Roman" w:eastAsia="Calibri" w:hAnsi="Times New Roman" w:cs="Times New Roman"/>
                <w:sz w:val="20"/>
                <w:szCs w:val="20"/>
                <w:lang w:eastAsia="en-US"/>
              </w:rPr>
            </w:pPr>
          </w:p>
          <w:p w14:paraId="521035E5" w14:textId="2EE7CD1E"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Vedle mateřských škol a dětských skupin (a obdobných zahraničních zařízení) se navrhuje poskytování slevy i za umístění dítěte v zařízení péče o dítě předškolního věku provozované na základě živnostenského oprávnění, pokud charakter takto poskytované péče je srovnatelný s péčí poskytovanou v mateřské škole či dětské skupině.</w:t>
            </w:r>
          </w:p>
          <w:p w14:paraId="52F0606A"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Navrhované znění zákona podle mého názoru nedává jasnou odpověď, na </w:t>
            </w:r>
            <w:proofErr w:type="gramStart"/>
            <w:r w:rsidRPr="0035187E">
              <w:rPr>
                <w:rFonts w:ascii="Times New Roman" w:eastAsia="Calibri" w:hAnsi="Times New Roman" w:cs="Times New Roman"/>
                <w:sz w:val="20"/>
                <w:szCs w:val="20"/>
                <w:lang w:eastAsia="en-US"/>
              </w:rPr>
              <w:t>základě</w:t>
            </w:r>
            <w:proofErr w:type="gramEnd"/>
            <w:r w:rsidRPr="0035187E">
              <w:rPr>
                <w:rFonts w:ascii="Times New Roman" w:eastAsia="Calibri" w:hAnsi="Times New Roman" w:cs="Times New Roman"/>
                <w:sz w:val="20"/>
                <w:szCs w:val="20"/>
                <w:lang w:eastAsia="en-US"/>
              </w:rPr>
              <w:t xml:space="preserve"> kterých živnostenských oprávnění může zařízení péče o dítě předškolního věku provozovat svou činnost a co vše správce daně posuzuje při hodnocení charakteru poskytované péče. Důvodová zpráva k tomu pouze uvádí, že zařízení péče o dítě může svou činnost provozovat například na základě živnosti „péče o dítě do tří let věku v denním režimu“ a že by toto zařízení kromě uspokojování základních potřeb dítěte mělo zajišťovat i výchovu a rozvoj dítěte na obdobné úrovni, jako je tomu v mateřské škole nebo v dětské skupině (či v obdobných zahraničních zařízeních).</w:t>
            </w:r>
          </w:p>
          <w:p w14:paraId="6AAFB49F"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Za účelem předcházení výkladových nejasností </w:t>
            </w:r>
            <w:r w:rsidRPr="0035187E">
              <w:rPr>
                <w:rFonts w:ascii="Times New Roman" w:eastAsia="Calibri" w:hAnsi="Times New Roman" w:cs="Times New Roman"/>
                <w:b/>
                <w:bCs/>
                <w:sz w:val="20"/>
                <w:szCs w:val="20"/>
                <w:lang w:eastAsia="en-US"/>
              </w:rPr>
              <w:t>navrhuji doplnit důvodovou zprávu o širší výčet živnostenských oprávnění</w:t>
            </w:r>
            <w:r w:rsidRPr="0035187E">
              <w:rPr>
                <w:rFonts w:ascii="Times New Roman" w:eastAsia="Calibri" w:hAnsi="Times New Roman" w:cs="Times New Roman"/>
                <w:sz w:val="20"/>
                <w:szCs w:val="20"/>
                <w:lang w:eastAsia="en-US"/>
              </w:rPr>
              <w:t>, na </w:t>
            </w:r>
            <w:proofErr w:type="gramStart"/>
            <w:r w:rsidRPr="0035187E">
              <w:rPr>
                <w:rFonts w:ascii="Times New Roman" w:eastAsia="Calibri" w:hAnsi="Times New Roman" w:cs="Times New Roman"/>
                <w:sz w:val="20"/>
                <w:szCs w:val="20"/>
                <w:lang w:eastAsia="en-US"/>
              </w:rPr>
              <w:t>základě</w:t>
            </w:r>
            <w:proofErr w:type="gramEnd"/>
            <w:r w:rsidRPr="0035187E">
              <w:rPr>
                <w:rFonts w:ascii="Times New Roman" w:eastAsia="Calibri" w:hAnsi="Times New Roman" w:cs="Times New Roman"/>
                <w:sz w:val="20"/>
                <w:szCs w:val="20"/>
                <w:lang w:eastAsia="en-US"/>
              </w:rPr>
              <w:t xml:space="preserve"> kterých může zařízení péče o dítě provozovat svou činnost. Nabízí se živnosti „poskytování služeb pro rodinu a domácnost“ a „mimoškolní výchova a vzdělávání, pořádání kurzů, školení, včetně lektorské činnosti“.</w:t>
            </w:r>
          </w:p>
          <w:p w14:paraId="71B12A19"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Pokud je sledovaným cílem právní úpravy vyloučit nahodilé hlídání dítěte či zařízení fungující na jiném než denním režimu, pak </w:t>
            </w:r>
            <w:r w:rsidRPr="0035187E">
              <w:rPr>
                <w:rFonts w:ascii="Times New Roman" w:eastAsia="Calibri" w:hAnsi="Times New Roman" w:cs="Times New Roman"/>
                <w:b/>
                <w:bCs/>
                <w:sz w:val="20"/>
                <w:szCs w:val="20"/>
                <w:lang w:eastAsia="en-US"/>
              </w:rPr>
              <w:t>navrhuji v důvodové zprávě rovněž upřesnit</w:t>
            </w:r>
            <w:r w:rsidRPr="0035187E">
              <w:rPr>
                <w:rFonts w:ascii="Times New Roman" w:eastAsia="Calibri" w:hAnsi="Times New Roman" w:cs="Times New Roman"/>
                <w:sz w:val="20"/>
                <w:szCs w:val="20"/>
                <w:lang w:eastAsia="en-US"/>
              </w:rPr>
              <w:t>, že by charakter poskytované péče v zařízení měl nést znak trvalosti a pravidelnosti.</w:t>
            </w:r>
          </w:p>
          <w:p w14:paraId="743FF682" w14:textId="77777777" w:rsidR="000B4BD4" w:rsidRPr="0035187E" w:rsidRDefault="000B4BD4" w:rsidP="0035187E">
            <w:pPr>
              <w:jc w:val="both"/>
              <w:rPr>
                <w:rFonts w:ascii="Times New Roman" w:eastAsia="Calibri" w:hAnsi="Times New Roman" w:cs="Times New Roman"/>
                <w:b/>
                <w:bCs/>
                <w:sz w:val="20"/>
                <w:szCs w:val="20"/>
                <w:lang w:eastAsia="en-US"/>
              </w:rPr>
            </w:pPr>
          </w:p>
          <w:p w14:paraId="6A7A8EA1" w14:textId="6AE52817" w:rsidR="000B4BD4" w:rsidRPr="0035187E" w:rsidRDefault="000B4BD4" w:rsidP="0035187E">
            <w:pPr>
              <w:jc w:val="both"/>
              <w:rPr>
                <w:rFonts w:ascii="Times New Roman" w:hAnsi="Times New Roman" w:cs="Times New Roman"/>
                <w:bCs/>
                <w:sz w:val="20"/>
                <w:szCs w:val="20"/>
              </w:rPr>
            </w:pPr>
            <w:r w:rsidRPr="0035187E">
              <w:rPr>
                <w:rFonts w:ascii="Times New Roman" w:eastAsia="Calibri" w:hAnsi="Times New Roman" w:cs="Times New Roman"/>
                <w:b/>
                <w:bCs/>
                <w:sz w:val="20"/>
                <w:szCs w:val="20"/>
                <w:lang w:eastAsia="en-US"/>
              </w:rPr>
              <w:t>Tato připomínka je zásadní.</w:t>
            </w:r>
          </w:p>
        </w:tc>
        <w:tc>
          <w:tcPr>
            <w:tcW w:w="1453" w:type="pct"/>
            <w:tcBorders>
              <w:top w:val="single" w:sz="4" w:space="0" w:color="auto"/>
              <w:left w:val="single" w:sz="4" w:space="0" w:color="auto"/>
              <w:right w:val="single" w:sz="4" w:space="0" w:color="auto"/>
            </w:tcBorders>
            <w:shd w:val="clear" w:color="auto" w:fill="auto"/>
          </w:tcPr>
          <w:p w14:paraId="0A7CE7F0"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b/>
                <w:sz w:val="20"/>
                <w:szCs w:val="20"/>
              </w:rPr>
              <w:lastRenderedPageBreak/>
              <w:t>Nevyhověno/Vysvětleno.</w:t>
            </w:r>
          </w:p>
          <w:p w14:paraId="74DA88B3"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Zařízení péče o dítě lze provozovat na základě živnostenských oprávnění specifikovaných zákonem </w:t>
            </w:r>
          </w:p>
          <w:p w14:paraId="6C330257" w14:textId="29A8111F"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č. 455/1991 Sb., o živnostenském podnikání, který upravuje tzv. „</w:t>
            </w:r>
            <w:proofErr w:type="spellStart"/>
            <w:r w:rsidRPr="0035187E">
              <w:rPr>
                <w:rFonts w:ascii="Times New Roman" w:hAnsi="Times New Roman" w:cs="Times New Roman"/>
                <w:sz w:val="20"/>
                <w:szCs w:val="20"/>
              </w:rPr>
              <w:t>péčové</w:t>
            </w:r>
            <w:proofErr w:type="spellEnd"/>
            <w:r w:rsidRPr="0035187E">
              <w:rPr>
                <w:rFonts w:ascii="Times New Roman" w:hAnsi="Times New Roman" w:cs="Times New Roman"/>
                <w:sz w:val="20"/>
                <w:szCs w:val="20"/>
              </w:rPr>
              <w:t xml:space="preserve"> živnosti“. Konkrétně se jedná o vázanou živnost (Příloha 2) Péče o dítě do tří let věku v denním režimu a dvě živnosti volné (Příloha 4) obor 72 Mimoškolní výchova a vzdělávání, pořádání kurzů, školení, včetně lektorské činnosti a obor 79 Poskytování služeb pro rodinu a domácnost.</w:t>
            </w:r>
          </w:p>
          <w:p w14:paraId="53B101DD"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Důvodová zpráva neslouží k uvádění podrobnějších informací příslušných právních norem, jejím účelem je odůvodnit a vysvětlit základní principy nově navrhovaného zákona.</w:t>
            </w:r>
          </w:p>
          <w:p w14:paraId="72C101F9" w14:textId="77777777" w:rsidR="003F165E" w:rsidRPr="0035187E" w:rsidRDefault="003F165E" w:rsidP="0035187E">
            <w:pPr>
              <w:jc w:val="both"/>
              <w:rPr>
                <w:rFonts w:ascii="Times New Roman" w:hAnsi="Times New Roman" w:cs="Times New Roman"/>
                <w:sz w:val="20"/>
                <w:szCs w:val="20"/>
              </w:rPr>
            </w:pPr>
          </w:p>
          <w:p w14:paraId="7175990D" w14:textId="5E932A8C" w:rsidR="003F165E" w:rsidRPr="0035187E" w:rsidRDefault="003F165E" w:rsidP="0035187E">
            <w:pPr>
              <w:jc w:val="both"/>
              <w:rPr>
                <w:rFonts w:ascii="Times New Roman" w:hAnsi="Times New Roman" w:cs="Times New Roman"/>
                <w:i/>
                <w:sz w:val="20"/>
                <w:szCs w:val="20"/>
              </w:rPr>
            </w:pPr>
            <w:r w:rsidRPr="0035187E">
              <w:rPr>
                <w:rFonts w:ascii="Times New Roman" w:hAnsi="Times New Roman" w:cs="Times New Roman"/>
                <w:i/>
                <w:sz w:val="20"/>
                <w:szCs w:val="20"/>
              </w:rPr>
              <w:t>Vyjádření připomínkového místa: se zaslaným návrhem nesouhlasí</w:t>
            </w:r>
            <w:r w:rsidR="00B6273E">
              <w:rPr>
                <w:rFonts w:ascii="Times New Roman" w:hAnsi="Times New Roman" w:cs="Times New Roman"/>
                <w:i/>
                <w:sz w:val="20"/>
                <w:szCs w:val="20"/>
              </w:rPr>
              <w:t>, ale netrvá na rozporu</w:t>
            </w:r>
            <w:r w:rsidRPr="0035187E">
              <w:rPr>
                <w:rFonts w:ascii="Times New Roman" w:hAnsi="Times New Roman" w:cs="Times New Roman"/>
                <w:i/>
                <w:sz w:val="20"/>
                <w:szCs w:val="20"/>
              </w:rPr>
              <w:t>.</w:t>
            </w:r>
          </w:p>
          <w:p w14:paraId="27CD626A" w14:textId="548DEC24" w:rsidR="001E10EF" w:rsidRPr="0035187E" w:rsidRDefault="001E10EF" w:rsidP="0035187E">
            <w:pPr>
              <w:jc w:val="both"/>
              <w:rPr>
                <w:rFonts w:ascii="Times New Roman" w:hAnsi="Times New Roman" w:cs="Times New Roman"/>
                <w:i/>
                <w:sz w:val="20"/>
                <w:szCs w:val="20"/>
              </w:rPr>
            </w:pPr>
          </w:p>
          <w:p w14:paraId="7ABEAD52" w14:textId="2FA5ABA7" w:rsidR="003F165E" w:rsidRPr="0035187E" w:rsidRDefault="003F165E" w:rsidP="00B6273E">
            <w:pPr>
              <w:jc w:val="both"/>
              <w:rPr>
                <w:rFonts w:ascii="Times New Roman" w:hAnsi="Times New Roman" w:cs="Times New Roman"/>
                <w:sz w:val="20"/>
                <w:szCs w:val="20"/>
              </w:rPr>
            </w:pPr>
          </w:p>
        </w:tc>
      </w:tr>
      <w:tr w:rsidR="0035187E" w:rsidRPr="0035187E" w14:paraId="2FF79907"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4523887" w14:textId="4651960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46.</w:t>
            </w:r>
          </w:p>
        </w:tc>
        <w:tc>
          <w:tcPr>
            <w:tcW w:w="583" w:type="pct"/>
            <w:tcBorders>
              <w:top w:val="single" w:sz="4" w:space="0" w:color="auto"/>
              <w:left w:val="single" w:sz="4" w:space="0" w:color="auto"/>
              <w:right w:val="single" w:sz="4" w:space="0" w:color="auto"/>
            </w:tcBorders>
            <w:shd w:val="clear" w:color="auto" w:fill="auto"/>
          </w:tcPr>
          <w:p w14:paraId="714F6B9B" w14:textId="3D80ED0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Komora daňových poradců ČR</w:t>
            </w:r>
          </w:p>
        </w:tc>
        <w:tc>
          <w:tcPr>
            <w:tcW w:w="168" w:type="pct"/>
            <w:tcBorders>
              <w:top w:val="single" w:sz="4" w:space="0" w:color="auto"/>
              <w:left w:val="single" w:sz="4" w:space="0" w:color="auto"/>
              <w:right w:val="single" w:sz="4" w:space="0" w:color="auto"/>
            </w:tcBorders>
            <w:shd w:val="clear" w:color="auto" w:fill="auto"/>
          </w:tcPr>
          <w:p w14:paraId="0EE00DFA" w14:textId="6D7D540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4484DC41" w14:textId="7C0DFC4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0472E6A" w14:textId="77777777" w:rsidR="000B4BD4" w:rsidRPr="0035187E" w:rsidRDefault="000B4BD4" w:rsidP="0035187E">
            <w:pPr>
              <w:numPr>
                <w:ilvl w:val="0"/>
                <w:numId w:val="50"/>
              </w:numPr>
              <w:ind w:left="0" w:firstLine="0"/>
              <w:contextualSpacing/>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Obecně</w:t>
            </w:r>
          </w:p>
          <w:p w14:paraId="45CC4F48" w14:textId="77777777" w:rsidR="000B4BD4" w:rsidRPr="0035187E" w:rsidRDefault="000B4BD4" w:rsidP="0035187E">
            <w:pPr>
              <w:contextualSpacing/>
              <w:jc w:val="both"/>
              <w:rPr>
                <w:rFonts w:ascii="Times New Roman" w:eastAsia="Calibri" w:hAnsi="Times New Roman" w:cs="Times New Roman"/>
                <w:sz w:val="20"/>
                <w:szCs w:val="20"/>
                <w:lang w:eastAsia="en-US"/>
              </w:rPr>
            </w:pPr>
          </w:p>
          <w:p w14:paraId="4A0A4E88" w14:textId="77777777" w:rsidR="000B4BD4" w:rsidRPr="0035187E" w:rsidRDefault="000B4BD4" w:rsidP="0035187E">
            <w:pPr>
              <w:numPr>
                <w:ilvl w:val="0"/>
                <w:numId w:val="52"/>
              </w:numPr>
              <w:ind w:left="0" w:firstLine="0"/>
              <w:contextualSpacing/>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Obecně k zákonu</w:t>
            </w:r>
          </w:p>
          <w:p w14:paraId="08738350"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Z důvodu větší přehlednosti právních norem navrhujeme oddělit novou právní úpravu evidence tržeb od souvisejících změn v dalších zákonech. Navrhujeme tedy předložit návrh: </w:t>
            </w:r>
          </w:p>
          <w:p w14:paraId="5281479D" w14:textId="77777777" w:rsidR="000B4BD4" w:rsidRPr="0035187E" w:rsidRDefault="000B4BD4" w:rsidP="0035187E">
            <w:pPr>
              <w:numPr>
                <w:ilvl w:val="0"/>
                <w:numId w:val="51"/>
              </w:numPr>
              <w:ind w:left="0" w:firstLine="0"/>
              <w:jc w:val="both"/>
              <w:rPr>
                <w:rFonts w:ascii="Times New Roman" w:hAnsi="Times New Roman" w:cs="Times New Roman"/>
                <w:sz w:val="20"/>
                <w:szCs w:val="20"/>
              </w:rPr>
            </w:pPr>
            <w:r w:rsidRPr="0035187E">
              <w:rPr>
                <w:rFonts w:ascii="Times New Roman" w:hAnsi="Times New Roman" w:cs="Times New Roman"/>
                <w:sz w:val="20"/>
                <w:szCs w:val="20"/>
              </w:rPr>
              <w:t>zákona o evidenci tržeb, </w:t>
            </w:r>
          </w:p>
          <w:p w14:paraId="44A52AAD" w14:textId="77777777" w:rsidR="000B4BD4" w:rsidRPr="0035187E" w:rsidRDefault="000B4BD4" w:rsidP="0035187E">
            <w:pPr>
              <w:numPr>
                <w:ilvl w:val="0"/>
                <w:numId w:val="51"/>
              </w:numPr>
              <w:ind w:left="0" w:firstLine="0"/>
              <w:jc w:val="both"/>
              <w:rPr>
                <w:rFonts w:ascii="Times New Roman" w:hAnsi="Times New Roman" w:cs="Times New Roman"/>
                <w:sz w:val="20"/>
                <w:szCs w:val="20"/>
              </w:rPr>
            </w:pPr>
            <w:r w:rsidRPr="0035187E">
              <w:rPr>
                <w:rFonts w:ascii="Times New Roman" w:hAnsi="Times New Roman" w:cs="Times New Roman"/>
                <w:sz w:val="20"/>
                <w:szCs w:val="20"/>
              </w:rPr>
              <w:t>zákona, kterým se mění některé zákony v souvislosti s přijetím zákona o evidenci tržeb.</w:t>
            </w:r>
          </w:p>
          <w:p w14:paraId="38027870" w14:textId="6F28322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sz w:val="20"/>
                <w:szCs w:val="20"/>
              </w:rPr>
              <w:t>Za klientské řešení bychom považovali to, aby aplikace k EET umožňovala tisk dokladů pro zákazníka obsahujících veškeré náležitosti daňového dokladu. Poplatník by tak nemusel využívat více nástrojů. Bylo by vhodné v důvodové zprávě uvést, zda se s touto funkcionalitou počítá, případně od jakého okamžiku by měla být pro poplatníky dostupná.</w:t>
            </w:r>
          </w:p>
        </w:tc>
        <w:tc>
          <w:tcPr>
            <w:tcW w:w="1453" w:type="pct"/>
            <w:tcBorders>
              <w:top w:val="single" w:sz="4" w:space="0" w:color="auto"/>
              <w:left w:val="single" w:sz="4" w:space="0" w:color="auto"/>
              <w:right w:val="single" w:sz="4" w:space="0" w:color="auto"/>
            </w:tcBorders>
            <w:shd w:val="clear" w:color="auto" w:fill="auto"/>
          </w:tcPr>
          <w:p w14:paraId="6F4A8A92" w14:textId="77777777" w:rsidR="000B4BD4" w:rsidRPr="0035187E" w:rsidRDefault="008C56A5" w:rsidP="0035187E">
            <w:pPr>
              <w:jc w:val="both"/>
              <w:rPr>
                <w:rFonts w:ascii="Times New Roman" w:hAnsi="Times New Roman" w:cs="Times New Roman"/>
                <w:b/>
                <w:iCs/>
                <w:sz w:val="20"/>
                <w:szCs w:val="20"/>
              </w:rPr>
            </w:pPr>
            <w:r w:rsidRPr="0035187E">
              <w:rPr>
                <w:rFonts w:ascii="Times New Roman" w:hAnsi="Times New Roman" w:cs="Times New Roman"/>
                <w:b/>
                <w:iCs/>
                <w:sz w:val="20"/>
                <w:szCs w:val="20"/>
              </w:rPr>
              <w:t>Nevyhověno.</w:t>
            </w:r>
          </w:p>
          <w:p w14:paraId="51D33DD3" w14:textId="2942545F" w:rsidR="008C56A5" w:rsidRPr="0035187E" w:rsidRDefault="008C56A5"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Zvolená legislativní technika využívající tzv. složeniny byla zvolena s ohledem na přechodný stav, kdy novelu zákona lze řešit mimo systém e-legislativa, zatímco na návrhy nových zákonů tato výjimka neplatí. Systém e-legislativa bohužel není zatím koncipován tak, aby příprava návrhů právních předpisů byla snazší a efektivnější (jak pro zpracovatele, tak pro další participanty legislativního procesu). Při napjatém časovém harmonogramu se tyto nedostatky projevují o to více.</w:t>
            </w:r>
          </w:p>
        </w:tc>
      </w:tr>
      <w:tr w:rsidR="0035187E" w:rsidRPr="0035187E" w14:paraId="0CCFAC31"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6B50127" w14:textId="60BFB26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46.</w:t>
            </w:r>
          </w:p>
        </w:tc>
        <w:tc>
          <w:tcPr>
            <w:tcW w:w="583" w:type="pct"/>
            <w:tcBorders>
              <w:top w:val="single" w:sz="4" w:space="0" w:color="auto"/>
              <w:left w:val="single" w:sz="4" w:space="0" w:color="auto"/>
              <w:right w:val="single" w:sz="4" w:space="0" w:color="auto"/>
            </w:tcBorders>
            <w:shd w:val="clear" w:color="auto" w:fill="auto"/>
          </w:tcPr>
          <w:p w14:paraId="38FA03D8" w14:textId="352CE30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Komora daňových poradců ČR</w:t>
            </w:r>
          </w:p>
        </w:tc>
        <w:tc>
          <w:tcPr>
            <w:tcW w:w="168" w:type="pct"/>
            <w:tcBorders>
              <w:top w:val="single" w:sz="4" w:space="0" w:color="auto"/>
              <w:left w:val="single" w:sz="4" w:space="0" w:color="auto"/>
              <w:right w:val="single" w:sz="4" w:space="0" w:color="auto"/>
            </w:tcBorders>
            <w:shd w:val="clear" w:color="auto" w:fill="auto"/>
          </w:tcPr>
          <w:p w14:paraId="6A72502B" w14:textId="1E9286C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w:t>
            </w:r>
          </w:p>
        </w:tc>
        <w:tc>
          <w:tcPr>
            <w:tcW w:w="169" w:type="pct"/>
            <w:tcBorders>
              <w:top w:val="single" w:sz="4" w:space="0" w:color="auto"/>
              <w:left w:val="single" w:sz="4" w:space="0" w:color="auto"/>
              <w:right w:val="single" w:sz="4" w:space="0" w:color="auto"/>
            </w:tcBorders>
            <w:shd w:val="clear" w:color="auto" w:fill="auto"/>
          </w:tcPr>
          <w:p w14:paraId="3E7A69EC" w14:textId="76488DF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D4DA017" w14:textId="77777777" w:rsidR="000B4BD4" w:rsidRPr="0035187E" w:rsidRDefault="000B4BD4" w:rsidP="0035187E">
            <w:pPr>
              <w:numPr>
                <w:ilvl w:val="0"/>
                <w:numId w:val="50"/>
              </w:numPr>
              <w:ind w:left="0" w:firstLine="0"/>
              <w:contextualSpacing/>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Část první – Evidence tržeb</w:t>
            </w:r>
          </w:p>
          <w:p w14:paraId="060385E6" w14:textId="77777777" w:rsidR="000B4BD4" w:rsidRPr="0035187E" w:rsidRDefault="000B4BD4" w:rsidP="0035187E">
            <w:pPr>
              <w:contextualSpacing/>
              <w:jc w:val="both"/>
              <w:rPr>
                <w:rFonts w:ascii="Times New Roman" w:eastAsia="Calibri" w:hAnsi="Times New Roman" w:cs="Times New Roman"/>
                <w:b/>
                <w:bCs/>
                <w:sz w:val="20"/>
                <w:szCs w:val="20"/>
                <w:lang w:eastAsia="en-US"/>
              </w:rPr>
            </w:pPr>
          </w:p>
          <w:p w14:paraId="50347F7A" w14:textId="77777777" w:rsidR="000B4BD4" w:rsidRPr="0035187E" w:rsidRDefault="000B4BD4" w:rsidP="0035187E">
            <w:pPr>
              <w:numPr>
                <w:ilvl w:val="0"/>
                <w:numId w:val="53"/>
              </w:numPr>
              <w:ind w:left="0" w:firstLine="0"/>
              <w:contextualSpacing/>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Obecně</w:t>
            </w:r>
          </w:p>
          <w:p w14:paraId="793E5693" w14:textId="17537840"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sz w:val="20"/>
                <w:szCs w:val="20"/>
              </w:rPr>
              <w:t xml:space="preserve">EET zavádí vlastní XML strukturu neslučitelnou s EN 16931 (PEPPOL/UBL), čímž od roku 2030 vzniknou pro jednoho podnikatele dva samostatné reportingové systémy s nutností nákladné </w:t>
            </w:r>
            <w:proofErr w:type="spellStart"/>
            <w:r w:rsidRPr="0035187E">
              <w:rPr>
                <w:rFonts w:ascii="Times New Roman" w:hAnsi="Times New Roman" w:cs="Times New Roman"/>
                <w:sz w:val="20"/>
                <w:szCs w:val="20"/>
              </w:rPr>
              <w:t>reimplementace</w:t>
            </w:r>
            <w:proofErr w:type="spellEnd"/>
            <w:r w:rsidRPr="0035187E">
              <w:rPr>
                <w:rFonts w:ascii="Times New Roman" w:hAnsi="Times New Roman" w:cs="Times New Roman"/>
                <w:sz w:val="20"/>
                <w:szCs w:val="20"/>
              </w:rPr>
              <w:t xml:space="preserve">. Souběh EET s pilíři </w:t>
            </w:r>
            <w:proofErr w:type="spellStart"/>
            <w:r w:rsidRPr="0035187E">
              <w:rPr>
                <w:rFonts w:ascii="Times New Roman" w:hAnsi="Times New Roman" w:cs="Times New Roman"/>
                <w:sz w:val="20"/>
                <w:szCs w:val="20"/>
              </w:rPr>
              <w:t>ViDA</w:t>
            </w:r>
            <w:proofErr w:type="spellEnd"/>
            <w:r w:rsidRPr="0035187E">
              <w:rPr>
                <w:rFonts w:ascii="Times New Roman" w:hAnsi="Times New Roman" w:cs="Times New Roman"/>
                <w:sz w:val="20"/>
                <w:szCs w:val="20"/>
              </w:rPr>
              <w:t xml:space="preserve"> navíc hrozí dvojnásobnou evidencí u e-</w:t>
            </w:r>
            <w:proofErr w:type="spellStart"/>
            <w:r w:rsidRPr="0035187E">
              <w:rPr>
                <w:rFonts w:ascii="Times New Roman" w:hAnsi="Times New Roman" w:cs="Times New Roman"/>
                <w:sz w:val="20"/>
                <w:szCs w:val="20"/>
              </w:rPr>
              <w:t>commerce</w:t>
            </w:r>
            <w:proofErr w:type="spellEnd"/>
            <w:r w:rsidRPr="0035187E">
              <w:rPr>
                <w:rFonts w:ascii="Times New Roman" w:hAnsi="Times New Roman" w:cs="Times New Roman"/>
                <w:sz w:val="20"/>
                <w:szCs w:val="20"/>
              </w:rPr>
              <w:t xml:space="preserve"> transakcí a technickým konfliktem certifikátů pro zahraniční podnikatele registrované přes OSS.</w:t>
            </w:r>
          </w:p>
        </w:tc>
        <w:tc>
          <w:tcPr>
            <w:tcW w:w="1453" w:type="pct"/>
            <w:tcBorders>
              <w:top w:val="single" w:sz="4" w:space="0" w:color="auto"/>
              <w:left w:val="single" w:sz="4" w:space="0" w:color="auto"/>
              <w:right w:val="single" w:sz="4" w:space="0" w:color="auto"/>
            </w:tcBorders>
            <w:shd w:val="clear" w:color="auto" w:fill="auto"/>
          </w:tcPr>
          <w:p w14:paraId="678C4F6B" w14:textId="36D3CF48" w:rsidR="000B4BD4" w:rsidRPr="0035187E" w:rsidRDefault="007B5E2E" w:rsidP="0035187E">
            <w:pPr>
              <w:jc w:val="both"/>
              <w:rPr>
                <w:rFonts w:ascii="Times New Roman" w:hAnsi="Times New Roman" w:cs="Times New Roman"/>
                <w:b/>
                <w:i/>
                <w:sz w:val="20"/>
                <w:szCs w:val="20"/>
              </w:rPr>
            </w:pPr>
            <w:r w:rsidRPr="0035187E">
              <w:rPr>
                <w:rFonts w:ascii="Times New Roman" w:hAnsi="Times New Roman" w:cs="Times New Roman"/>
                <w:b/>
                <w:iCs/>
                <w:sz w:val="20"/>
                <w:szCs w:val="20"/>
              </w:rPr>
              <w:t>Bere se na vědomí.</w:t>
            </w:r>
          </w:p>
        </w:tc>
      </w:tr>
      <w:tr w:rsidR="0035187E" w:rsidRPr="0035187E" w14:paraId="7F53130A"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E627D7A" w14:textId="160E5EC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46.</w:t>
            </w:r>
          </w:p>
        </w:tc>
        <w:tc>
          <w:tcPr>
            <w:tcW w:w="583" w:type="pct"/>
            <w:tcBorders>
              <w:top w:val="single" w:sz="4" w:space="0" w:color="auto"/>
              <w:left w:val="single" w:sz="4" w:space="0" w:color="auto"/>
              <w:right w:val="single" w:sz="4" w:space="0" w:color="auto"/>
            </w:tcBorders>
            <w:shd w:val="clear" w:color="auto" w:fill="auto"/>
          </w:tcPr>
          <w:p w14:paraId="73746DC9" w14:textId="4057E7D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Komora daňových poradců ČR</w:t>
            </w:r>
          </w:p>
        </w:tc>
        <w:tc>
          <w:tcPr>
            <w:tcW w:w="168" w:type="pct"/>
            <w:tcBorders>
              <w:top w:val="single" w:sz="4" w:space="0" w:color="auto"/>
              <w:left w:val="single" w:sz="4" w:space="0" w:color="auto"/>
              <w:right w:val="single" w:sz="4" w:space="0" w:color="auto"/>
            </w:tcBorders>
            <w:shd w:val="clear" w:color="auto" w:fill="auto"/>
          </w:tcPr>
          <w:p w14:paraId="54A4A843" w14:textId="72D0439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3.</w:t>
            </w:r>
          </w:p>
        </w:tc>
        <w:tc>
          <w:tcPr>
            <w:tcW w:w="169" w:type="pct"/>
            <w:tcBorders>
              <w:top w:val="single" w:sz="4" w:space="0" w:color="auto"/>
              <w:left w:val="single" w:sz="4" w:space="0" w:color="auto"/>
              <w:right w:val="single" w:sz="4" w:space="0" w:color="auto"/>
            </w:tcBorders>
            <w:shd w:val="clear" w:color="auto" w:fill="auto"/>
          </w:tcPr>
          <w:p w14:paraId="4BD7F013" w14:textId="3ABDB59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6D85FDA" w14:textId="77777777" w:rsidR="000B4BD4" w:rsidRPr="0035187E" w:rsidRDefault="000B4BD4" w:rsidP="0035187E">
            <w:pPr>
              <w:numPr>
                <w:ilvl w:val="0"/>
                <w:numId w:val="53"/>
              </w:numPr>
              <w:ind w:left="0" w:firstLine="0"/>
              <w:contextualSpacing/>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 xml:space="preserve">K § 1 </w:t>
            </w:r>
          </w:p>
          <w:p w14:paraId="3621EBA9" w14:textId="0EFD9D2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sz w:val="20"/>
                <w:szCs w:val="20"/>
              </w:rPr>
              <w:t>Navrhujeme v důvodové zprávě k § 1 zákona podrobněji vysvětlit rozdíl mezi původní právní úpravou zákona o evidenci tržeb a navrhovanou právní úpravou, zejména ve vztahu k nálezu Ústavního soudu týkajícímu se plateb kartou. Z důvodové zprávy by mělo být jednoznačně zřejmé, z jakých důvodů se dovozuje, že navrhovaná právní úprava na rozdíl od předchozí umožňuje vyžadovat informace i o úhradách prováděných platební kartou a obdobnými platebními prostředky. </w:t>
            </w:r>
          </w:p>
        </w:tc>
        <w:tc>
          <w:tcPr>
            <w:tcW w:w="1453" w:type="pct"/>
            <w:tcBorders>
              <w:top w:val="single" w:sz="4" w:space="0" w:color="auto"/>
              <w:left w:val="single" w:sz="4" w:space="0" w:color="auto"/>
              <w:right w:val="single" w:sz="4" w:space="0" w:color="auto"/>
            </w:tcBorders>
            <w:shd w:val="clear" w:color="auto" w:fill="auto"/>
          </w:tcPr>
          <w:p w14:paraId="1B8FC603" w14:textId="77777777" w:rsidR="000B4BD4" w:rsidRPr="0035187E" w:rsidRDefault="007B5E2E" w:rsidP="0035187E">
            <w:pPr>
              <w:jc w:val="both"/>
              <w:rPr>
                <w:rFonts w:ascii="Times New Roman" w:hAnsi="Times New Roman" w:cs="Times New Roman"/>
                <w:b/>
                <w:iCs/>
                <w:sz w:val="20"/>
                <w:szCs w:val="20"/>
              </w:rPr>
            </w:pPr>
            <w:r w:rsidRPr="0035187E">
              <w:rPr>
                <w:rFonts w:ascii="Times New Roman" w:hAnsi="Times New Roman" w:cs="Times New Roman"/>
                <w:b/>
                <w:iCs/>
                <w:sz w:val="20"/>
                <w:szCs w:val="20"/>
              </w:rPr>
              <w:t>Vysvětleno.</w:t>
            </w:r>
          </w:p>
          <w:p w14:paraId="4E5A754E" w14:textId="7A594BFF" w:rsidR="007B5E2E" w:rsidRPr="0035187E" w:rsidRDefault="007B5E2E"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Důvodová zpráva se tomuto tématu zevrubně věnuje, ale nikoli pouze v odůvodnění § 1, které je z podstaty věci zaměřeno na obsah daného ustanovení.</w:t>
            </w:r>
          </w:p>
        </w:tc>
      </w:tr>
      <w:tr w:rsidR="0035187E" w:rsidRPr="0035187E" w14:paraId="49872B01"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10E6171" w14:textId="076514B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46.</w:t>
            </w:r>
          </w:p>
        </w:tc>
        <w:tc>
          <w:tcPr>
            <w:tcW w:w="583" w:type="pct"/>
            <w:tcBorders>
              <w:top w:val="single" w:sz="4" w:space="0" w:color="auto"/>
              <w:left w:val="single" w:sz="4" w:space="0" w:color="auto"/>
              <w:right w:val="single" w:sz="4" w:space="0" w:color="auto"/>
            </w:tcBorders>
            <w:shd w:val="clear" w:color="auto" w:fill="auto"/>
          </w:tcPr>
          <w:p w14:paraId="0FBCFACE" w14:textId="4BD9925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Komora daňových poradců ČR</w:t>
            </w:r>
          </w:p>
        </w:tc>
        <w:tc>
          <w:tcPr>
            <w:tcW w:w="168" w:type="pct"/>
            <w:tcBorders>
              <w:top w:val="single" w:sz="4" w:space="0" w:color="auto"/>
              <w:left w:val="single" w:sz="4" w:space="0" w:color="auto"/>
              <w:right w:val="single" w:sz="4" w:space="0" w:color="auto"/>
            </w:tcBorders>
            <w:shd w:val="clear" w:color="auto" w:fill="auto"/>
          </w:tcPr>
          <w:p w14:paraId="5FEE60A3" w14:textId="7D577EA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w:t>
            </w:r>
          </w:p>
        </w:tc>
        <w:tc>
          <w:tcPr>
            <w:tcW w:w="169" w:type="pct"/>
            <w:tcBorders>
              <w:top w:val="single" w:sz="4" w:space="0" w:color="auto"/>
              <w:left w:val="single" w:sz="4" w:space="0" w:color="auto"/>
              <w:right w:val="single" w:sz="4" w:space="0" w:color="auto"/>
            </w:tcBorders>
            <w:shd w:val="clear" w:color="auto" w:fill="auto"/>
          </w:tcPr>
          <w:p w14:paraId="56FE4912" w14:textId="20A1E80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77828D4" w14:textId="77777777" w:rsidR="000B4BD4" w:rsidRPr="0035187E" w:rsidRDefault="000B4BD4" w:rsidP="0035187E">
            <w:pPr>
              <w:numPr>
                <w:ilvl w:val="0"/>
                <w:numId w:val="53"/>
              </w:numPr>
              <w:ind w:left="0" w:firstLine="0"/>
              <w:contextualSpacing/>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K § 7 odst. 1</w:t>
            </w:r>
          </w:p>
          <w:p w14:paraId="77C3007D"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Navrhujeme jednoznačně definovat kontaktní platbu, případně s odkazem na právní předpis, který bude kontaktní platbu definovat či upřesňovat. Podle návrhu má být kontaktní platbou mimo jiné platba, ke které dochází v provozovně poplatníka v souvislosti s objednáním nebo s přijetím zboží nebo služby (vycházíme z toho, že jelikož je mezi písmeny a) a b) spojka „nebo“, stačí pro kontaktní platbu splnit jednu z podmínek). Tato definice je však dle našeho názoru příliš široká a může například zahrnovat i situaci, kdy podnikatel obdrží dodávku zboží či služby a následně provede v provozovně bezhotovostní úhradu faktury. V takovém případě by se mohlo jednat o platbu, ke které dochází v provozovně poplatníka v souvislosti s objednáním nebo přijetím zboží nebo služby.</w:t>
            </w:r>
          </w:p>
          <w:p w14:paraId="0EF6B373"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lastRenderedPageBreak/>
              <w:t>Bude muset evidovat tržbu poplatník, který vystaví svému klientovi fakturu za své služby a následně tuto fakturu provedením bankovního příkazu z účtu klienta (k čemuž je zmocněn) uhradí, přičemž zadání úhrady provede ze své provozovny?</w:t>
            </w:r>
          </w:p>
          <w:p w14:paraId="74461B0A" w14:textId="0518B036"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sz w:val="20"/>
                <w:szCs w:val="20"/>
              </w:rPr>
              <w:t>Provozovnou poplatníka se rozumí stavba nebo i pozemek související se stavbou? Např. pokud bude tržba hrazena QR kódem z předzahrádky restauračního zařízení nebo venkovního stánku s několika místy k sezení, tak se bude jednat o evidovanou tržbu?</w:t>
            </w:r>
          </w:p>
        </w:tc>
        <w:tc>
          <w:tcPr>
            <w:tcW w:w="1453" w:type="pct"/>
            <w:tcBorders>
              <w:top w:val="single" w:sz="4" w:space="0" w:color="auto"/>
              <w:left w:val="single" w:sz="4" w:space="0" w:color="auto"/>
              <w:right w:val="single" w:sz="4" w:space="0" w:color="auto"/>
            </w:tcBorders>
            <w:shd w:val="clear" w:color="auto" w:fill="auto"/>
          </w:tcPr>
          <w:p w14:paraId="37B65D4C" w14:textId="3DC4D835" w:rsidR="000B4BD4" w:rsidRPr="0035187E" w:rsidRDefault="007E0A20" w:rsidP="0035187E">
            <w:pPr>
              <w:jc w:val="both"/>
              <w:rPr>
                <w:rFonts w:ascii="Times New Roman" w:hAnsi="Times New Roman" w:cs="Times New Roman"/>
                <w:b/>
                <w:iCs/>
                <w:sz w:val="20"/>
                <w:szCs w:val="20"/>
              </w:rPr>
            </w:pPr>
            <w:r w:rsidRPr="0035187E">
              <w:rPr>
                <w:rFonts w:ascii="Times New Roman" w:hAnsi="Times New Roman" w:cs="Times New Roman"/>
                <w:b/>
                <w:iCs/>
                <w:sz w:val="20"/>
                <w:szCs w:val="20"/>
              </w:rPr>
              <w:lastRenderedPageBreak/>
              <w:t>Nevyhověno</w:t>
            </w:r>
            <w:r w:rsidR="007B5E2E" w:rsidRPr="0035187E">
              <w:rPr>
                <w:rFonts w:ascii="Times New Roman" w:hAnsi="Times New Roman" w:cs="Times New Roman"/>
                <w:b/>
                <w:iCs/>
                <w:sz w:val="20"/>
                <w:szCs w:val="20"/>
              </w:rPr>
              <w:t>.</w:t>
            </w:r>
          </w:p>
          <w:p w14:paraId="54B5BD96" w14:textId="78531221" w:rsidR="007B5E2E" w:rsidRPr="0035187E" w:rsidRDefault="007B5E2E"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Navržené vymezení pojmu „kontaktní platba“ považuje předkladatel za dostatečné. </w:t>
            </w:r>
          </w:p>
          <w:p w14:paraId="25EB6A82" w14:textId="0470DDCF" w:rsidR="00E73F4B" w:rsidRPr="0035187E" w:rsidRDefault="00E73F4B"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Do důvodové zprávy byl </w:t>
            </w:r>
            <w:r w:rsidR="00686CA1" w:rsidRPr="0035187E">
              <w:rPr>
                <w:rFonts w:ascii="Times New Roman" w:hAnsi="Times New Roman" w:cs="Times New Roman"/>
                <w:sz w:val="20"/>
                <w:szCs w:val="20"/>
              </w:rPr>
              <w:t xml:space="preserve">nicméně </w:t>
            </w:r>
            <w:r w:rsidRPr="0035187E">
              <w:rPr>
                <w:rFonts w:ascii="Times New Roman" w:hAnsi="Times New Roman" w:cs="Times New Roman"/>
                <w:sz w:val="20"/>
                <w:szCs w:val="20"/>
              </w:rPr>
              <w:t>doplněn následující text:</w:t>
            </w:r>
          </w:p>
          <w:p w14:paraId="1E568584" w14:textId="7F7B5880" w:rsidR="00E73F4B" w:rsidRPr="0035187E" w:rsidRDefault="00E73F4B" w:rsidP="0035187E">
            <w:pPr>
              <w:jc w:val="both"/>
              <w:rPr>
                <w:rFonts w:ascii="Times New Roman" w:hAnsi="Times New Roman" w:cs="Times New Roman"/>
                <w:i/>
                <w:sz w:val="20"/>
                <w:szCs w:val="20"/>
              </w:rPr>
            </w:pPr>
            <w:r w:rsidRPr="0035187E">
              <w:rPr>
                <w:rFonts w:ascii="Times New Roman" w:hAnsi="Times New Roman" w:cs="Times New Roman"/>
                <w:i/>
                <w:sz w:val="20"/>
                <w:szCs w:val="20"/>
              </w:rPr>
              <w:t xml:space="preserve">„Návrh necílí na situace, kdy je ze strany prodávajícího vystavena faktura, kterou má zákazník uhradit později, tj. platba v interakci s prodávajícím se nepředpokládá. Zákazníkovi je dán dostatečný časový interval na provedení bezhotovostní platby. Skutečnost, že k této platbě dojde ze strany zákazníka (a bez vědomí prodávajícího) ještě v prostorách </w:t>
            </w:r>
            <w:r w:rsidRPr="0035187E">
              <w:rPr>
                <w:rFonts w:ascii="Times New Roman" w:hAnsi="Times New Roman" w:cs="Times New Roman"/>
                <w:i/>
                <w:sz w:val="20"/>
                <w:szCs w:val="20"/>
              </w:rPr>
              <w:lastRenderedPageBreak/>
              <w:t>provozovny (jakkoli by tato platba mohla být učiněna kdekoli jinde) by již nemělo být přičítáno k tíži prodávajícímu z pohledu povinnosti zaevidovat tuto tržbu. Platba v provozovně v takovém případě nepředstavuje cílený koncept pro realizaci dané transakce, ale náhodnou skutečnost jednostranně zvolenou zákazníkem.“</w:t>
            </w:r>
          </w:p>
          <w:p w14:paraId="4088573A" w14:textId="6FA99E47" w:rsidR="00E73F4B" w:rsidRPr="0035187E" w:rsidRDefault="007B5E2E"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Uvedený příklad s podnikatelem, který </w:t>
            </w:r>
            <w:r w:rsidR="00CB2E66" w:rsidRPr="0035187E">
              <w:rPr>
                <w:rFonts w:ascii="Times New Roman" w:hAnsi="Times New Roman" w:cs="Times New Roman"/>
                <w:sz w:val="20"/>
                <w:szCs w:val="20"/>
              </w:rPr>
              <w:t>se nachází při úhradě faktury ve své provozovně, je z pohledu vymezení jednoznačný. Text návrhu explicitně zmiňuje, že musí jít o provozovnu poplatníka, tj. toho, kdo přijímá evidovanou platbu (nikoli toho, kdo ji hradí).</w:t>
            </w:r>
          </w:p>
        </w:tc>
      </w:tr>
      <w:tr w:rsidR="0035187E" w:rsidRPr="0035187E" w14:paraId="31B4C9CC"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45D4FED" w14:textId="74D0F5B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46.</w:t>
            </w:r>
          </w:p>
        </w:tc>
        <w:tc>
          <w:tcPr>
            <w:tcW w:w="583" w:type="pct"/>
            <w:tcBorders>
              <w:top w:val="single" w:sz="4" w:space="0" w:color="auto"/>
              <w:left w:val="single" w:sz="4" w:space="0" w:color="auto"/>
              <w:right w:val="single" w:sz="4" w:space="0" w:color="auto"/>
            </w:tcBorders>
            <w:shd w:val="clear" w:color="auto" w:fill="auto"/>
          </w:tcPr>
          <w:p w14:paraId="0ACFFAD6" w14:textId="0F6F57F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Komora daňových poradců ČR</w:t>
            </w:r>
          </w:p>
        </w:tc>
        <w:tc>
          <w:tcPr>
            <w:tcW w:w="168" w:type="pct"/>
            <w:tcBorders>
              <w:top w:val="single" w:sz="4" w:space="0" w:color="auto"/>
              <w:left w:val="single" w:sz="4" w:space="0" w:color="auto"/>
              <w:right w:val="single" w:sz="4" w:space="0" w:color="auto"/>
            </w:tcBorders>
            <w:shd w:val="clear" w:color="auto" w:fill="auto"/>
          </w:tcPr>
          <w:p w14:paraId="67D69F02" w14:textId="3CE3253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5.</w:t>
            </w:r>
          </w:p>
        </w:tc>
        <w:tc>
          <w:tcPr>
            <w:tcW w:w="169" w:type="pct"/>
            <w:tcBorders>
              <w:top w:val="single" w:sz="4" w:space="0" w:color="auto"/>
              <w:left w:val="single" w:sz="4" w:space="0" w:color="auto"/>
              <w:right w:val="single" w:sz="4" w:space="0" w:color="auto"/>
            </w:tcBorders>
            <w:shd w:val="clear" w:color="auto" w:fill="auto"/>
          </w:tcPr>
          <w:p w14:paraId="2F9F0391" w14:textId="7117A1B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33FA87D7" w14:textId="77777777" w:rsidR="000B4BD4" w:rsidRPr="0035187E" w:rsidRDefault="000B4BD4" w:rsidP="0035187E">
            <w:pPr>
              <w:numPr>
                <w:ilvl w:val="0"/>
                <w:numId w:val="53"/>
              </w:numPr>
              <w:ind w:left="0" w:firstLine="0"/>
              <w:contextualSpacing/>
              <w:jc w:val="both"/>
              <w:rPr>
                <w:rFonts w:ascii="Times New Roman" w:eastAsia="Calibri" w:hAnsi="Times New Roman" w:cs="Times New Roman"/>
                <w:b/>
                <w:sz w:val="20"/>
                <w:szCs w:val="20"/>
                <w:lang w:eastAsia="en-US"/>
              </w:rPr>
            </w:pPr>
            <w:r w:rsidRPr="0035187E">
              <w:rPr>
                <w:rFonts w:ascii="Times New Roman" w:eastAsia="Calibri" w:hAnsi="Times New Roman" w:cs="Times New Roman"/>
                <w:b/>
                <w:sz w:val="20"/>
                <w:szCs w:val="20"/>
                <w:lang w:eastAsia="en-US"/>
              </w:rPr>
              <w:t>K § 8 k pojmu ojedinělost</w:t>
            </w:r>
          </w:p>
          <w:p w14:paraId="0258A47A" w14:textId="47E09E30"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Navrhujeme do důvodové zprávy doplnit více příkladů, co je a není ojedinělost přijímání tržeb v hotovosti.</w:t>
            </w:r>
          </w:p>
        </w:tc>
        <w:tc>
          <w:tcPr>
            <w:tcW w:w="1453" w:type="pct"/>
            <w:tcBorders>
              <w:top w:val="single" w:sz="4" w:space="0" w:color="auto"/>
              <w:left w:val="single" w:sz="4" w:space="0" w:color="auto"/>
              <w:right w:val="single" w:sz="4" w:space="0" w:color="auto"/>
            </w:tcBorders>
            <w:shd w:val="clear" w:color="auto" w:fill="auto"/>
          </w:tcPr>
          <w:p w14:paraId="4B56BB07" w14:textId="77777777" w:rsidR="000B4BD4" w:rsidRPr="0035187E" w:rsidRDefault="007E4768" w:rsidP="0035187E">
            <w:pPr>
              <w:jc w:val="both"/>
              <w:rPr>
                <w:rFonts w:ascii="Times New Roman" w:hAnsi="Times New Roman" w:cs="Times New Roman"/>
                <w:b/>
                <w:iCs/>
                <w:sz w:val="20"/>
                <w:szCs w:val="20"/>
              </w:rPr>
            </w:pPr>
            <w:r w:rsidRPr="0035187E">
              <w:rPr>
                <w:rFonts w:ascii="Times New Roman" w:hAnsi="Times New Roman" w:cs="Times New Roman"/>
                <w:b/>
                <w:iCs/>
                <w:sz w:val="20"/>
                <w:szCs w:val="20"/>
              </w:rPr>
              <w:t>Vysvětleno.</w:t>
            </w:r>
          </w:p>
          <w:p w14:paraId="1DAA84C9" w14:textId="6BE3A2C0" w:rsidR="00F916FF" w:rsidRPr="0035187E" w:rsidRDefault="007E4768" w:rsidP="0035187E">
            <w:pPr>
              <w:jc w:val="both"/>
              <w:rPr>
                <w:rFonts w:ascii="Times New Roman" w:hAnsi="Times New Roman" w:cs="Times New Roman"/>
                <w:i/>
                <w:sz w:val="20"/>
                <w:szCs w:val="20"/>
              </w:rPr>
            </w:pPr>
            <w:r w:rsidRPr="0035187E">
              <w:rPr>
                <w:rFonts w:ascii="Times New Roman" w:hAnsi="Times New Roman" w:cs="Times New Roman"/>
                <w:iCs/>
                <w:sz w:val="20"/>
                <w:szCs w:val="20"/>
              </w:rPr>
              <w:t>Jde o pojem aprobovaný aplikační praxí (</w:t>
            </w:r>
            <w:r w:rsidR="009771D5" w:rsidRPr="0035187E">
              <w:rPr>
                <w:rFonts w:ascii="Times New Roman" w:hAnsi="Times New Roman" w:cs="Times New Roman"/>
                <w:iCs/>
                <w:sz w:val="20"/>
                <w:szCs w:val="20"/>
              </w:rPr>
              <w:t xml:space="preserve">a metodikou finanční správy), takže další výčet konkrétních situací se jeví jako nadbytečný. Úkolem důvodové zprávy je nastínit smysl navrhované normy, nikoli </w:t>
            </w:r>
            <w:r w:rsidR="00F916FF" w:rsidRPr="0035187E">
              <w:rPr>
                <w:rFonts w:ascii="Times New Roman" w:hAnsi="Times New Roman" w:cs="Times New Roman"/>
                <w:iCs/>
                <w:sz w:val="20"/>
                <w:szCs w:val="20"/>
              </w:rPr>
              <w:t xml:space="preserve">maximalistickým způsobem </w:t>
            </w:r>
            <w:r w:rsidR="009771D5" w:rsidRPr="0035187E">
              <w:rPr>
                <w:rFonts w:ascii="Times New Roman" w:hAnsi="Times New Roman" w:cs="Times New Roman"/>
                <w:iCs/>
                <w:sz w:val="20"/>
                <w:szCs w:val="20"/>
              </w:rPr>
              <w:t>suplovat roli</w:t>
            </w:r>
            <w:r w:rsidR="00F916FF" w:rsidRPr="0035187E">
              <w:rPr>
                <w:rFonts w:ascii="Times New Roman" w:hAnsi="Times New Roman" w:cs="Times New Roman"/>
                <w:iCs/>
                <w:sz w:val="20"/>
                <w:szCs w:val="20"/>
              </w:rPr>
              <w:t xml:space="preserve"> budoucí metodiky či odpovědí na praktické dotazy.</w:t>
            </w:r>
          </w:p>
        </w:tc>
      </w:tr>
      <w:tr w:rsidR="0035187E" w:rsidRPr="0035187E" w14:paraId="4E19DD3F"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FAE591E" w14:textId="3D8E09D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46.</w:t>
            </w:r>
          </w:p>
        </w:tc>
        <w:tc>
          <w:tcPr>
            <w:tcW w:w="583" w:type="pct"/>
            <w:tcBorders>
              <w:top w:val="single" w:sz="4" w:space="0" w:color="auto"/>
              <w:left w:val="single" w:sz="4" w:space="0" w:color="auto"/>
              <w:right w:val="single" w:sz="4" w:space="0" w:color="auto"/>
            </w:tcBorders>
            <w:shd w:val="clear" w:color="auto" w:fill="auto"/>
          </w:tcPr>
          <w:p w14:paraId="5E9DD513" w14:textId="0D1BC9D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Komora daňových poradců ČR</w:t>
            </w:r>
          </w:p>
        </w:tc>
        <w:tc>
          <w:tcPr>
            <w:tcW w:w="168" w:type="pct"/>
            <w:tcBorders>
              <w:top w:val="single" w:sz="4" w:space="0" w:color="auto"/>
              <w:left w:val="single" w:sz="4" w:space="0" w:color="auto"/>
              <w:right w:val="single" w:sz="4" w:space="0" w:color="auto"/>
            </w:tcBorders>
            <w:shd w:val="clear" w:color="auto" w:fill="auto"/>
          </w:tcPr>
          <w:p w14:paraId="6804196F" w14:textId="3351579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6.</w:t>
            </w:r>
          </w:p>
        </w:tc>
        <w:tc>
          <w:tcPr>
            <w:tcW w:w="169" w:type="pct"/>
            <w:tcBorders>
              <w:top w:val="single" w:sz="4" w:space="0" w:color="auto"/>
              <w:left w:val="single" w:sz="4" w:space="0" w:color="auto"/>
              <w:right w:val="single" w:sz="4" w:space="0" w:color="auto"/>
            </w:tcBorders>
            <w:shd w:val="clear" w:color="auto" w:fill="auto"/>
          </w:tcPr>
          <w:p w14:paraId="0050A7DF" w14:textId="529ABAC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6A7A92C" w14:textId="77777777" w:rsidR="000B4BD4" w:rsidRPr="0035187E" w:rsidRDefault="000B4BD4" w:rsidP="0035187E">
            <w:pPr>
              <w:numPr>
                <w:ilvl w:val="0"/>
                <w:numId w:val="53"/>
              </w:numPr>
              <w:ind w:left="0" w:firstLine="0"/>
              <w:contextualSpacing/>
              <w:jc w:val="both"/>
              <w:rPr>
                <w:rFonts w:ascii="Times New Roman" w:eastAsia="Calibri" w:hAnsi="Times New Roman" w:cs="Times New Roman"/>
                <w:b/>
                <w:sz w:val="20"/>
                <w:szCs w:val="20"/>
                <w:lang w:eastAsia="en-US"/>
              </w:rPr>
            </w:pPr>
            <w:r w:rsidRPr="0035187E">
              <w:rPr>
                <w:rFonts w:ascii="Times New Roman" w:eastAsia="Calibri" w:hAnsi="Times New Roman" w:cs="Times New Roman"/>
                <w:b/>
                <w:sz w:val="20"/>
                <w:szCs w:val="20"/>
                <w:lang w:eastAsia="en-US"/>
              </w:rPr>
              <w:t>K § 8 odst. 3</w:t>
            </w:r>
          </w:p>
          <w:p w14:paraId="4911FD30" w14:textId="77777777" w:rsidR="000B4BD4" w:rsidRPr="0035187E" w:rsidRDefault="000B4BD4" w:rsidP="0035187E">
            <w:pPr>
              <w:jc w:val="both"/>
              <w:rPr>
                <w:rFonts w:ascii="Times New Roman" w:eastAsia="Calibri" w:hAnsi="Times New Roman" w:cs="Times New Roman"/>
                <w:sz w:val="20"/>
                <w:szCs w:val="20"/>
              </w:rPr>
            </w:pPr>
            <w:r w:rsidRPr="0035187E">
              <w:rPr>
                <w:rFonts w:ascii="Times New Roman" w:eastAsia="Calibri" w:hAnsi="Times New Roman" w:cs="Times New Roman"/>
                <w:sz w:val="20"/>
                <w:szCs w:val="20"/>
              </w:rPr>
              <w:t xml:space="preserve">Z návrhu není zřejmé, jak bude postupováno v případě zahraničních transparentních entit (např. typu </w:t>
            </w:r>
            <w:proofErr w:type="spellStart"/>
            <w:r w:rsidRPr="0035187E">
              <w:rPr>
                <w:rFonts w:ascii="Times New Roman" w:eastAsia="Calibri" w:hAnsi="Times New Roman" w:cs="Times New Roman"/>
                <w:sz w:val="20"/>
                <w:szCs w:val="20"/>
              </w:rPr>
              <w:t>GmbH</w:t>
            </w:r>
            <w:proofErr w:type="spellEnd"/>
            <w:r w:rsidRPr="0035187E">
              <w:rPr>
                <w:rFonts w:ascii="Times New Roman" w:eastAsia="Calibri" w:hAnsi="Times New Roman" w:cs="Times New Roman"/>
                <w:sz w:val="20"/>
                <w:szCs w:val="20"/>
              </w:rPr>
              <w:t xml:space="preserve"> &amp; Co. KG), u nichž není poplatníkem samotná entita, ale její společníci. Není zřejmé, zda se má v těchto případech postupovat obdobně jako u tuzemských transparentních společností (v. o. s., k. s.).</w:t>
            </w:r>
          </w:p>
          <w:p w14:paraId="3144C2BF" w14:textId="300263DF" w:rsidR="000B4BD4" w:rsidRPr="0035187E" w:rsidRDefault="000B4BD4" w:rsidP="0035187E">
            <w:pPr>
              <w:jc w:val="both"/>
              <w:rPr>
                <w:rFonts w:ascii="Times New Roman" w:hAnsi="Times New Roman" w:cs="Times New Roman"/>
                <w:bCs/>
                <w:sz w:val="20"/>
                <w:szCs w:val="20"/>
              </w:rPr>
            </w:pPr>
            <w:r w:rsidRPr="0035187E">
              <w:rPr>
                <w:rFonts w:ascii="Times New Roman" w:eastAsia="Calibri" w:hAnsi="Times New Roman" w:cs="Times New Roman"/>
                <w:sz w:val="20"/>
                <w:szCs w:val="20"/>
              </w:rPr>
              <w:t>Z návrhu také není zcela jednoznačně zřejmé, kdo bude evidovat v případě svěřenského fondu, kdyby se mělo jednat o samotný svěřenský fond.</w:t>
            </w:r>
          </w:p>
        </w:tc>
        <w:tc>
          <w:tcPr>
            <w:tcW w:w="1453" w:type="pct"/>
            <w:tcBorders>
              <w:top w:val="single" w:sz="4" w:space="0" w:color="auto"/>
              <w:left w:val="single" w:sz="4" w:space="0" w:color="auto"/>
              <w:right w:val="single" w:sz="4" w:space="0" w:color="auto"/>
            </w:tcBorders>
            <w:shd w:val="clear" w:color="auto" w:fill="auto"/>
          </w:tcPr>
          <w:p w14:paraId="699D4807" w14:textId="148ADAAC" w:rsidR="00F916FF" w:rsidRPr="00066A74" w:rsidRDefault="00F916FF" w:rsidP="0035187E">
            <w:pPr>
              <w:jc w:val="both"/>
              <w:rPr>
                <w:rFonts w:ascii="Times New Roman" w:hAnsi="Times New Roman" w:cs="Times New Roman"/>
                <w:b/>
                <w:iCs/>
                <w:sz w:val="20"/>
                <w:szCs w:val="20"/>
              </w:rPr>
            </w:pPr>
            <w:r w:rsidRPr="00066A74">
              <w:rPr>
                <w:rFonts w:ascii="Times New Roman" w:hAnsi="Times New Roman" w:cs="Times New Roman"/>
                <w:b/>
                <w:iCs/>
                <w:sz w:val="20"/>
                <w:szCs w:val="20"/>
              </w:rPr>
              <w:t>Vysvětleno.</w:t>
            </w:r>
          </w:p>
          <w:p w14:paraId="1C6F6852" w14:textId="1D76084D" w:rsidR="00066A74" w:rsidRPr="00066A74" w:rsidRDefault="00066A74" w:rsidP="0035187E">
            <w:pPr>
              <w:jc w:val="both"/>
              <w:rPr>
                <w:rFonts w:ascii="Times New Roman" w:hAnsi="Times New Roman" w:cs="Times New Roman"/>
                <w:iCs/>
                <w:sz w:val="20"/>
                <w:szCs w:val="20"/>
              </w:rPr>
            </w:pPr>
            <w:r w:rsidRPr="00066A74">
              <w:rPr>
                <w:rFonts w:ascii="Times New Roman" w:hAnsi="Times New Roman" w:cs="Times New Roman"/>
                <w:iCs/>
                <w:sz w:val="20"/>
                <w:szCs w:val="20"/>
              </w:rPr>
              <w:t>Navržené řešení, které výslovně řeší pouze tuzemské formy obchodních společností je symetrické s řešením v zákoně o daních z příjmů.</w:t>
            </w:r>
          </w:p>
          <w:p w14:paraId="35EFDDB9" w14:textId="41688EC1" w:rsidR="000B4BD4" w:rsidRPr="0035187E" w:rsidRDefault="00F916FF" w:rsidP="00066A74">
            <w:pPr>
              <w:jc w:val="both"/>
              <w:rPr>
                <w:rFonts w:ascii="Times New Roman" w:hAnsi="Times New Roman" w:cs="Times New Roman"/>
                <w:i/>
                <w:sz w:val="20"/>
                <w:szCs w:val="20"/>
              </w:rPr>
            </w:pPr>
            <w:r w:rsidRPr="00066A74">
              <w:rPr>
                <w:rFonts w:ascii="Times New Roman" w:hAnsi="Times New Roman" w:cs="Times New Roman"/>
                <w:iCs/>
                <w:sz w:val="20"/>
                <w:szCs w:val="20"/>
              </w:rPr>
              <w:t>Z hlediska procesního jednání poplatníků</w:t>
            </w:r>
            <w:r w:rsidR="000E069E" w:rsidRPr="00066A74">
              <w:rPr>
                <w:rFonts w:ascii="Times New Roman" w:hAnsi="Times New Roman" w:cs="Times New Roman"/>
                <w:iCs/>
                <w:sz w:val="20"/>
                <w:szCs w:val="20"/>
              </w:rPr>
              <w:t xml:space="preserve"> (v souladu s navrhovaným § 3 jde o poplatníka daní z příjmů)</w:t>
            </w:r>
            <w:r w:rsidRPr="00066A74">
              <w:rPr>
                <w:rFonts w:ascii="Times New Roman" w:hAnsi="Times New Roman" w:cs="Times New Roman"/>
                <w:iCs/>
                <w:sz w:val="20"/>
                <w:szCs w:val="20"/>
              </w:rPr>
              <w:t xml:space="preserve"> se uplatní obecná úprava pro jednání při správě daní, což plyne z § 27 daňového řádu.</w:t>
            </w:r>
          </w:p>
        </w:tc>
      </w:tr>
      <w:tr w:rsidR="0035187E" w:rsidRPr="0035187E" w14:paraId="5FF1BD29"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14987F6" w14:textId="7E1BA71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46.</w:t>
            </w:r>
          </w:p>
        </w:tc>
        <w:tc>
          <w:tcPr>
            <w:tcW w:w="583" w:type="pct"/>
            <w:tcBorders>
              <w:top w:val="single" w:sz="4" w:space="0" w:color="auto"/>
              <w:left w:val="single" w:sz="4" w:space="0" w:color="auto"/>
              <w:right w:val="single" w:sz="4" w:space="0" w:color="auto"/>
            </w:tcBorders>
            <w:shd w:val="clear" w:color="auto" w:fill="auto"/>
          </w:tcPr>
          <w:p w14:paraId="0CF1CC8D" w14:textId="05E69AC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Komora daňových poradců ČR</w:t>
            </w:r>
          </w:p>
        </w:tc>
        <w:tc>
          <w:tcPr>
            <w:tcW w:w="168" w:type="pct"/>
            <w:tcBorders>
              <w:top w:val="single" w:sz="4" w:space="0" w:color="auto"/>
              <w:left w:val="single" w:sz="4" w:space="0" w:color="auto"/>
              <w:right w:val="single" w:sz="4" w:space="0" w:color="auto"/>
            </w:tcBorders>
            <w:shd w:val="clear" w:color="auto" w:fill="auto"/>
          </w:tcPr>
          <w:p w14:paraId="3340EB14" w14:textId="14933CC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7.</w:t>
            </w:r>
          </w:p>
        </w:tc>
        <w:tc>
          <w:tcPr>
            <w:tcW w:w="169" w:type="pct"/>
            <w:tcBorders>
              <w:top w:val="single" w:sz="4" w:space="0" w:color="auto"/>
              <w:left w:val="single" w:sz="4" w:space="0" w:color="auto"/>
              <w:right w:val="single" w:sz="4" w:space="0" w:color="auto"/>
            </w:tcBorders>
            <w:shd w:val="clear" w:color="auto" w:fill="auto"/>
          </w:tcPr>
          <w:p w14:paraId="5C873E66" w14:textId="6F8EE6C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4487163" w14:textId="77777777" w:rsidR="000B4BD4" w:rsidRPr="0035187E" w:rsidRDefault="000B4BD4" w:rsidP="0035187E">
            <w:pPr>
              <w:numPr>
                <w:ilvl w:val="0"/>
                <w:numId w:val="53"/>
              </w:numPr>
              <w:ind w:left="0" w:firstLine="0"/>
              <w:contextualSpacing/>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 xml:space="preserve">K § 12 odst. 4 </w:t>
            </w:r>
          </w:p>
          <w:p w14:paraId="4B71AA9E" w14:textId="7DFD01D3"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sz w:val="20"/>
                <w:szCs w:val="20"/>
              </w:rPr>
              <w:t>Navrhujeme, aby bylo v důvodové zprávě jednoznačně a nesporně uvedeno, že pro naplnění výjimky uvedené v daném odstavci je nezbytné současně splnit všechny podmínky uvedené pod následujícími písmeny. Domníváme se, že předložený text důvodové zprávy může svádět k výkladu, že pro vynětí z EET je dostačující samostatné splnění dílčí podmínky uvedené pod jednotlivými písmeny.</w:t>
            </w:r>
          </w:p>
        </w:tc>
        <w:tc>
          <w:tcPr>
            <w:tcW w:w="1453" w:type="pct"/>
            <w:tcBorders>
              <w:top w:val="single" w:sz="4" w:space="0" w:color="auto"/>
              <w:left w:val="single" w:sz="4" w:space="0" w:color="auto"/>
              <w:right w:val="single" w:sz="4" w:space="0" w:color="auto"/>
            </w:tcBorders>
            <w:shd w:val="clear" w:color="auto" w:fill="auto"/>
          </w:tcPr>
          <w:p w14:paraId="50ED8B9C" w14:textId="77777777" w:rsidR="000B4BD4" w:rsidRPr="0035187E" w:rsidRDefault="008B673E" w:rsidP="0035187E">
            <w:pPr>
              <w:jc w:val="both"/>
              <w:rPr>
                <w:rFonts w:ascii="Times New Roman" w:hAnsi="Times New Roman" w:cs="Times New Roman"/>
                <w:b/>
                <w:iCs/>
                <w:sz w:val="20"/>
                <w:szCs w:val="20"/>
              </w:rPr>
            </w:pPr>
            <w:r w:rsidRPr="0035187E">
              <w:rPr>
                <w:rFonts w:ascii="Times New Roman" w:hAnsi="Times New Roman" w:cs="Times New Roman"/>
                <w:b/>
                <w:iCs/>
                <w:sz w:val="20"/>
                <w:szCs w:val="20"/>
              </w:rPr>
              <w:t>Vyhověno.</w:t>
            </w:r>
          </w:p>
          <w:p w14:paraId="62AB47E3" w14:textId="3E1B3839" w:rsidR="008B673E" w:rsidRPr="0035187E" w:rsidRDefault="008B673E" w:rsidP="0035187E">
            <w:pPr>
              <w:jc w:val="both"/>
              <w:rPr>
                <w:rFonts w:ascii="Times New Roman" w:hAnsi="Times New Roman" w:cs="Times New Roman"/>
                <w:i/>
                <w:sz w:val="20"/>
                <w:szCs w:val="20"/>
              </w:rPr>
            </w:pPr>
            <w:r w:rsidRPr="0035187E">
              <w:rPr>
                <w:rFonts w:ascii="Times New Roman" w:hAnsi="Times New Roman" w:cs="Times New Roman"/>
                <w:iCs/>
                <w:sz w:val="20"/>
                <w:szCs w:val="20"/>
              </w:rPr>
              <w:t>Důvodová zpráva byla doplněna, nicméně nespornost a jednoznačnost je dána samotným textem návrhu, kdy spojka „a“ mezi předposlední a poslední položkou vždy vyjadřuje kumulativní poměr všech položek (podmínek v nich obsažených).</w:t>
            </w:r>
          </w:p>
        </w:tc>
      </w:tr>
      <w:tr w:rsidR="0035187E" w:rsidRPr="0035187E" w14:paraId="14F6734D"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43C2394" w14:textId="7ACC10A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46.</w:t>
            </w:r>
          </w:p>
        </w:tc>
        <w:tc>
          <w:tcPr>
            <w:tcW w:w="583" w:type="pct"/>
            <w:tcBorders>
              <w:top w:val="single" w:sz="4" w:space="0" w:color="auto"/>
              <w:left w:val="single" w:sz="4" w:space="0" w:color="auto"/>
              <w:right w:val="single" w:sz="4" w:space="0" w:color="auto"/>
            </w:tcBorders>
            <w:shd w:val="clear" w:color="auto" w:fill="auto"/>
          </w:tcPr>
          <w:p w14:paraId="322DAEA5" w14:textId="01A8443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Komora daňových poradců ČR</w:t>
            </w:r>
          </w:p>
        </w:tc>
        <w:tc>
          <w:tcPr>
            <w:tcW w:w="168" w:type="pct"/>
            <w:tcBorders>
              <w:top w:val="single" w:sz="4" w:space="0" w:color="auto"/>
              <w:left w:val="single" w:sz="4" w:space="0" w:color="auto"/>
              <w:right w:val="single" w:sz="4" w:space="0" w:color="auto"/>
            </w:tcBorders>
            <w:shd w:val="clear" w:color="auto" w:fill="auto"/>
          </w:tcPr>
          <w:p w14:paraId="1D91CD87" w14:textId="76EE85D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8.</w:t>
            </w:r>
          </w:p>
        </w:tc>
        <w:tc>
          <w:tcPr>
            <w:tcW w:w="169" w:type="pct"/>
            <w:tcBorders>
              <w:top w:val="single" w:sz="4" w:space="0" w:color="auto"/>
              <w:left w:val="single" w:sz="4" w:space="0" w:color="auto"/>
              <w:right w:val="single" w:sz="4" w:space="0" w:color="auto"/>
            </w:tcBorders>
            <w:shd w:val="clear" w:color="auto" w:fill="auto"/>
          </w:tcPr>
          <w:p w14:paraId="7D8688DC" w14:textId="37911AA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B3FD5A2" w14:textId="77777777" w:rsidR="000B4BD4" w:rsidRPr="0035187E" w:rsidRDefault="000B4BD4" w:rsidP="0035187E">
            <w:pPr>
              <w:numPr>
                <w:ilvl w:val="0"/>
                <w:numId w:val="53"/>
              </w:numPr>
              <w:ind w:left="0" w:firstLine="0"/>
              <w:contextualSpacing/>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K § 12 odst. 5</w:t>
            </w:r>
          </w:p>
          <w:p w14:paraId="2D3D5171" w14:textId="4C1D9BCE"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sz w:val="20"/>
                <w:szCs w:val="20"/>
              </w:rPr>
              <w:t>V textu je chybně uveden odkaz na odstavec 3 písm. a) zákona o EET, kdy správně má být uveden odst. 4 písm. a).</w:t>
            </w:r>
          </w:p>
        </w:tc>
        <w:tc>
          <w:tcPr>
            <w:tcW w:w="1453" w:type="pct"/>
            <w:tcBorders>
              <w:top w:val="single" w:sz="4" w:space="0" w:color="auto"/>
              <w:left w:val="single" w:sz="4" w:space="0" w:color="auto"/>
              <w:right w:val="single" w:sz="4" w:space="0" w:color="auto"/>
            </w:tcBorders>
            <w:shd w:val="clear" w:color="auto" w:fill="auto"/>
          </w:tcPr>
          <w:p w14:paraId="726473FC" w14:textId="77777777" w:rsidR="000B4BD4" w:rsidRPr="0035187E" w:rsidRDefault="000B4BD4" w:rsidP="0035187E">
            <w:pPr>
              <w:jc w:val="both"/>
              <w:rPr>
                <w:rFonts w:ascii="Times New Roman" w:hAnsi="Times New Roman" w:cs="Times New Roman"/>
                <w:b/>
                <w:bCs/>
                <w:iCs/>
                <w:sz w:val="20"/>
                <w:szCs w:val="20"/>
              </w:rPr>
            </w:pPr>
            <w:r w:rsidRPr="0035187E">
              <w:rPr>
                <w:rFonts w:ascii="Times New Roman" w:hAnsi="Times New Roman" w:cs="Times New Roman"/>
                <w:b/>
                <w:bCs/>
                <w:iCs/>
                <w:sz w:val="20"/>
                <w:szCs w:val="20"/>
              </w:rPr>
              <w:t>Vyhověno.</w:t>
            </w:r>
          </w:p>
          <w:p w14:paraId="246A16B9" w14:textId="17726CB6" w:rsidR="000B4BD4" w:rsidRPr="0035187E" w:rsidRDefault="000B4BD4"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Materiál byl upraven.</w:t>
            </w:r>
          </w:p>
        </w:tc>
      </w:tr>
      <w:tr w:rsidR="0035187E" w:rsidRPr="0035187E" w14:paraId="33A07CCA"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4DB21E60" w14:textId="2F4CDE2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46.</w:t>
            </w:r>
          </w:p>
        </w:tc>
        <w:tc>
          <w:tcPr>
            <w:tcW w:w="583" w:type="pct"/>
            <w:tcBorders>
              <w:top w:val="single" w:sz="4" w:space="0" w:color="auto"/>
              <w:left w:val="single" w:sz="4" w:space="0" w:color="auto"/>
              <w:right w:val="single" w:sz="4" w:space="0" w:color="auto"/>
            </w:tcBorders>
            <w:shd w:val="clear" w:color="auto" w:fill="auto"/>
          </w:tcPr>
          <w:p w14:paraId="454414B4" w14:textId="32F3232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Komora daňových poradců ČR</w:t>
            </w:r>
          </w:p>
        </w:tc>
        <w:tc>
          <w:tcPr>
            <w:tcW w:w="168" w:type="pct"/>
            <w:tcBorders>
              <w:top w:val="single" w:sz="4" w:space="0" w:color="auto"/>
              <w:left w:val="single" w:sz="4" w:space="0" w:color="auto"/>
              <w:right w:val="single" w:sz="4" w:space="0" w:color="auto"/>
            </w:tcBorders>
            <w:shd w:val="clear" w:color="auto" w:fill="auto"/>
          </w:tcPr>
          <w:p w14:paraId="5FDB1056" w14:textId="2A2E7E2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9.</w:t>
            </w:r>
          </w:p>
        </w:tc>
        <w:tc>
          <w:tcPr>
            <w:tcW w:w="169" w:type="pct"/>
            <w:tcBorders>
              <w:top w:val="single" w:sz="4" w:space="0" w:color="auto"/>
              <w:left w:val="single" w:sz="4" w:space="0" w:color="auto"/>
              <w:right w:val="single" w:sz="4" w:space="0" w:color="auto"/>
            </w:tcBorders>
            <w:shd w:val="clear" w:color="auto" w:fill="auto"/>
          </w:tcPr>
          <w:p w14:paraId="720E9000" w14:textId="54A9BA7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4710D49" w14:textId="77777777" w:rsidR="000B4BD4" w:rsidRPr="0035187E" w:rsidRDefault="000B4BD4" w:rsidP="0035187E">
            <w:pPr>
              <w:numPr>
                <w:ilvl w:val="0"/>
                <w:numId w:val="53"/>
              </w:numPr>
              <w:ind w:left="0" w:firstLine="0"/>
              <w:contextualSpacing/>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K § 12 a § 13</w:t>
            </w:r>
          </w:p>
          <w:p w14:paraId="201770A1"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Navrhujeme podrobněji zdůvodnit, proč je v některých případech vynětí z EET vázáno bez dalšího na typ poplatníka (například banka, obchodník s cennými papíry, územně správní celek) a v jiných případech se vynětí váže pouze na konkrétní činnost (např. osobní silniční přeprava či hazardní hry). </w:t>
            </w:r>
          </w:p>
          <w:p w14:paraId="3E48926D"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lastRenderedPageBreak/>
              <w:t xml:space="preserve">Z hlediska případných námitek z titulu možné protiústavní diskriminace by bylo vhodnější zvolit jednotné řešení, a to vyjmout z EET konkrétní činnosti, u nichž z různých důvodů nedává smysl EET zavádět. Je pravda, že v případě vynětí poplatníka jako takového v mnoha případech nebude z principu věci přicházet v úvahu, že by provozoval jinou činnost, než u které EET nedává smysl, nelze to však například z hlediska správy vlastního majetku zcela vyloučit. Je proto nutné se připravit na možnou argumentaci rozporu tohoto obecného vynětí s účelem zákona (dle § 1 narovnání podnikatelského prostředí), například v situacích, kdy by tyto subjekty provozovaly restaurační zařízení, u kterého by nebyly povinny realizovat EET, a byly by tak ve výhodě oproti ostatním subjektům. Tuto skutečnost navrhujeme podrobněji posoudit a případně promítnout do změny textu zákona či minimálně do důvodové zprávy a zprávy RIA. </w:t>
            </w:r>
          </w:p>
          <w:p w14:paraId="33B74B42" w14:textId="67203D8B"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sz w:val="20"/>
                <w:szCs w:val="20"/>
              </w:rPr>
              <w:t>Navrhuje sjednotit rozsah výjimek pro všechny druhy dopravy. Není jasné, proč je vyjmuta zcela osobní železniční přeprava (včetně např. zážitkových jízd parními vlaky), ale nejsou vyňaty nepravidelná osobní silniční a lodní přeprava. </w:t>
            </w:r>
          </w:p>
        </w:tc>
        <w:tc>
          <w:tcPr>
            <w:tcW w:w="1453" w:type="pct"/>
            <w:tcBorders>
              <w:top w:val="single" w:sz="4" w:space="0" w:color="auto"/>
              <w:left w:val="single" w:sz="4" w:space="0" w:color="auto"/>
              <w:right w:val="single" w:sz="4" w:space="0" w:color="auto"/>
            </w:tcBorders>
            <w:shd w:val="clear" w:color="auto" w:fill="auto"/>
          </w:tcPr>
          <w:p w14:paraId="3758EB9C" w14:textId="075B2B96" w:rsidR="000B4BD4" w:rsidRPr="0035187E" w:rsidRDefault="008B673E" w:rsidP="0035187E">
            <w:pPr>
              <w:jc w:val="both"/>
              <w:rPr>
                <w:rFonts w:ascii="Times New Roman" w:hAnsi="Times New Roman" w:cs="Times New Roman"/>
                <w:b/>
                <w:iCs/>
                <w:sz w:val="20"/>
                <w:szCs w:val="20"/>
              </w:rPr>
            </w:pPr>
            <w:r w:rsidRPr="0035187E">
              <w:rPr>
                <w:rFonts w:ascii="Times New Roman" w:hAnsi="Times New Roman" w:cs="Times New Roman"/>
                <w:b/>
                <w:iCs/>
                <w:sz w:val="20"/>
                <w:szCs w:val="20"/>
              </w:rPr>
              <w:lastRenderedPageBreak/>
              <w:t>Vy</w:t>
            </w:r>
            <w:r w:rsidR="00AD0BD4" w:rsidRPr="0035187E">
              <w:rPr>
                <w:rFonts w:ascii="Times New Roman" w:hAnsi="Times New Roman" w:cs="Times New Roman"/>
                <w:b/>
                <w:iCs/>
                <w:sz w:val="20"/>
                <w:szCs w:val="20"/>
              </w:rPr>
              <w:t>hověno</w:t>
            </w:r>
            <w:r w:rsidRPr="0035187E">
              <w:rPr>
                <w:rFonts w:ascii="Times New Roman" w:hAnsi="Times New Roman" w:cs="Times New Roman"/>
                <w:b/>
                <w:iCs/>
                <w:sz w:val="20"/>
                <w:szCs w:val="20"/>
              </w:rPr>
              <w:t>.</w:t>
            </w:r>
          </w:p>
          <w:p w14:paraId="4208ACEF" w14:textId="77777777" w:rsidR="008B673E" w:rsidRPr="0035187E" w:rsidRDefault="008B673E"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Důvodová zpráva odůvodnění použité koncepce již obsahuje, nicméně dojde k jejímu doplnění.</w:t>
            </w:r>
          </w:p>
          <w:p w14:paraId="19CEF52D" w14:textId="7451C37D" w:rsidR="00C44CFD" w:rsidRPr="0035187E" w:rsidRDefault="00C44CFD" w:rsidP="0035187E">
            <w:pPr>
              <w:jc w:val="both"/>
              <w:rPr>
                <w:rFonts w:ascii="Times New Roman" w:hAnsi="Times New Roman" w:cs="Times New Roman"/>
                <w:i/>
                <w:sz w:val="20"/>
                <w:szCs w:val="20"/>
              </w:rPr>
            </w:pPr>
          </w:p>
        </w:tc>
      </w:tr>
      <w:tr w:rsidR="0035187E" w:rsidRPr="0035187E" w14:paraId="4D2D8C7D"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EE02920" w14:textId="34999D1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46.</w:t>
            </w:r>
          </w:p>
        </w:tc>
        <w:tc>
          <w:tcPr>
            <w:tcW w:w="583" w:type="pct"/>
            <w:tcBorders>
              <w:top w:val="single" w:sz="4" w:space="0" w:color="auto"/>
              <w:left w:val="single" w:sz="4" w:space="0" w:color="auto"/>
              <w:right w:val="single" w:sz="4" w:space="0" w:color="auto"/>
            </w:tcBorders>
            <w:shd w:val="clear" w:color="auto" w:fill="auto"/>
          </w:tcPr>
          <w:p w14:paraId="68967EFF" w14:textId="042BBFA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Komora daňových poradců ČR</w:t>
            </w:r>
          </w:p>
        </w:tc>
        <w:tc>
          <w:tcPr>
            <w:tcW w:w="168" w:type="pct"/>
            <w:tcBorders>
              <w:top w:val="single" w:sz="4" w:space="0" w:color="auto"/>
              <w:left w:val="single" w:sz="4" w:space="0" w:color="auto"/>
              <w:right w:val="single" w:sz="4" w:space="0" w:color="auto"/>
            </w:tcBorders>
            <w:shd w:val="clear" w:color="auto" w:fill="auto"/>
          </w:tcPr>
          <w:p w14:paraId="7092FCB0" w14:textId="14B882A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10.</w:t>
            </w:r>
          </w:p>
        </w:tc>
        <w:tc>
          <w:tcPr>
            <w:tcW w:w="169" w:type="pct"/>
            <w:tcBorders>
              <w:top w:val="single" w:sz="4" w:space="0" w:color="auto"/>
              <w:left w:val="single" w:sz="4" w:space="0" w:color="auto"/>
              <w:right w:val="single" w:sz="4" w:space="0" w:color="auto"/>
            </w:tcBorders>
            <w:shd w:val="clear" w:color="auto" w:fill="auto"/>
          </w:tcPr>
          <w:p w14:paraId="51F4D609" w14:textId="0578A2C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4B35781" w14:textId="77777777" w:rsidR="000B4BD4" w:rsidRPr="0035187E" w:rsidRDefault="000B4BD4" w:rsidP="0035187E">
            <w:pPr>
              <w:numPr>
                <w:ilvl w:val="0"/>
                <w:numId w:val="53"/>
              </w:numPr>
              <w:ind w:left="0" w:firstLine="0"/>
              <w:contextualSpacing/>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K § 16 odst. 1</w:t>
            </w:r>
          </w:p>
          <w:p w14:paraId="38C3F8E7" w14:textId="406AC9C0"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sz w:val="20"/>
                <w:szCs w:val="20"/>
              </w:rPr>
              <w:t xml:space="preserve">Dle návrhu je povinností oznámit údaje o všech evidenčních jednotkách, pokud nejméně v jedné se uskutečňují evidované tržby. Vzhledem k poměrně široké definici evidenční jednotky v § 4 může u velkých subjektů jít o poměrně výraznou administrativní zátěž, zejména v situacích, kdy evidence tržeb probíhá například pouze v jedné malé provozovně. Jelikož zároveň dle § 16 odst. 3 je povinnost oznamovat změny, považovali bychom ze vhodnější oznamovat pouze ty evidenční jednotky, v nichž jsou uskutečňovány evidované tržby. </w:t>
            </w:r>
          </w:p>
        </w:tc>
        <w:tc>
          <w:tcPr>
            <w:tcW w:w="1453" w:type="pct"/>
            <w:tcBorders>
              <w:top w:val="single" w:sz="4" w:space="0" w:color="auto"/>
              <w:left w:val="single" w:sz="4" w:space="0" w:color="auto"/>
              <w:right w:val="single" w:sz="4" w:space="0" w:color="auto"/>
            </w:tcBorders>
            <w:shd w:val="clear" w:color="auto" w:fill="auto"/>
          </w:tcPr>
          <w:p w14:paraId="539E2172" w14:textId="77777777" w:rsidR="000B4BD4" w:rsidRPr="0035187E" w:rsidRDefault="00C44CFD" w:rsidP="0035187E">
            <w:pPr>
              <w:jc w:val="both"/>
              <w:rPr>
                <w:rFonts w:ascii="Times New Roman" w:hAnsi="Times New Roman" w:cs="Times New Roman"/>
                <w:b/>
                <w:iCs/>
                <w:sz w:val="20"/>
                <w:szCs w:val="20"/>
              </w:rPr>
            </w:pPr>
            <w:r w:rsidRPr="0035187E">
              <w:rPr>
                <w:rFonts w:ascii="Times New Roman" w:hAnsi="Times New Roman" w:cs="Times New Roman"/>
                <w:b/>
                <w:iCs/>
                <w:sz w:val="20"/>
                <w:szCs w:val="20"/>
              </w:rPr>
              <w:t>Vyhověno částečně.</w:t>
            </w:r>
          </w:p>
          <w:p w14:paraId="51308365" w14:textId="37611019" w:rsidR="00C44CFD" w:rsidRPr="0035187E" w:rsidRDefault="00C44CFD" w:rsidP="0035187E">
            <w:pPr>
              <w:jc w:val="both"/>
              <w:rPr>
                <w:rFonts w:ascii="Times New Roman" w:hAnsi="Times New Roman" w:cs="Times New Roman"/>
                <w:i/>
                <w:sz w:val="20"/>
                <w:szCs w:val="20"/>
              </w:rPr>
            </w:pPr>
            <w:r w:rsidRPr="0035187E">
              <w:rPr>
                <w:rFonts w:ascii="Times New Roman" w:hAnsi="Times New Roman" w:cs="Times New Roman"/>
                <w:sz w:val="20"/>
                <w:szCs w:val="20"/>
              </w:rPr>
              <w:t>V § 16 došlo k zúžení oznamovací povinnosti pouze na „</w:t>
            </w:r>
            <w:r w:rsidRPr="0035187E">
              <w:rPr>
                <w:rFonts w:ascii="Times New Roman" w:hAnsi="Times New Roman" w:cs="Times New Roman"/>
                <w:i/>
                <w:sz w:val="20"/>
                <w:szCs w:val="20"/>
              </w:rPr>
              <w:t>evidenční jednotky, prostřednictvím nichž jsou uskutečňovány tržby</w:t>
            </w:r>
            <w:r w:rsidRPr="0035187E">
              <w:rPr>
                <w:rFonts w:ascii="Times New Roman" w:hAnsi="Times New Roman" w:cs="Times New Roman"/>
                <w:sz w:val="20"/>
                <w:szCs w:val="20"/>
              </w:rPr>
              <w:t>“.</w:t>
            </w:r>
          </w:p>
        </w:tc>
      </w:tr>
      <w:tr w:rsidR="0035187E" w:rsidRPr="0035187E" w14:paraId="3B72C0CB"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773663C" w14:textId="1D6522E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46.</w:t>
            </w:r>
          </w:p>
        </w:tc>
        <w:tc>
          <w:tcPr>
            <w:tcW w:w="583" w:type="pct"/>
            <w:tcBorders>
              <w:top w:val="single" w:sz="4" w:space="0" w:color="auto"/>
              <w:left w:val="single" w:sz="4" w:space="0" w:color="auto"/>
              <w:right w:val="single" w:sz="4" w:space="0" w:color="auto"/>
            </w:tcBorders>
            <w:shd w:val="clear" w:color="auto" w:fill="auto"/>
          </w:tcPr>
          <w:p w14:paraId="5125E8EF" w14:textId="4BF8F25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Komora daňových poradců ČR</w:t>
            </w:r>
          </w:p>
        </w:tc>
        <w:tc>
          <w:tcPr>
            <w:tcW w:w="168" w:type="pct"/>
            <w:tcBorders>
              <w:top w:val="single" w:sz="4" w:space="0" w:color="auto"/>
              <w:left w:val="single" w:sz="4" w:space="0" w:color="auto"/>
              <w:right w:val="single" w:sz="4" w:space="0" w:color="auto"/>
            </w:tcBorders>
            <w:shd w:val="clear" w:color="auto" w:fill="auto"/>
          </w:tcPr>
          <w:p w14:paraId="3665EA32" w14:textId="6909AC1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11.</w:t>
            </w:r>
          </w:p>
        </w:tc>
        <w:tc>
          <w:tcPr>
            <w:tcW w:w="169" w:type="pct"/>
            <w:tcBorders>
              <w:top w:val="single" w:sz="4" w:space="0" w:color="auto"/>
              <w:left w:val="single" w:sz="4" w:space="0" w:color="auto"/>
              <w:right w:val="single" w:sz="4" w:space="0" w:color="auto"/>
            </w:tcBorders>
            <w:shd w:val="clear" w:color="auto" w:fill="auto"/>
          </w:tcPr>
          <w:p w14:paraId="7ED6640A" w14:textId="331CEEF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505E1E8" w14:textId="77777777" w:rsidR="000B4BD4" w:rsidRPr="0035187E" w:rsidRDefault="000B4BD4" w:rsidP="0035187E">
            <w:pPr>
              <w:numPr>
                <w:ilvl w:val="0"/>
                <w:numId w:val="53"/>
              </w:numPr>
              <w:ind w:left="0" w:firstLine="0"/>
              <w:contextualSpacing/>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K § 16 odst. 2</w:t>
            </w:r>
          </w:p>
          <w:p w14:paraId="01C8D8B6" w14:textId="245066C6"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sz w:val="20"/>
                <w:szCs w:val="20"/>
              </w:rPr>
              <w:t xml:space="preserve">V textu zákona </w:t>
            </w:r>
            <w:proofErr w:type="gramStart"/>
            <w:r w:rsidRPr="0035187E">
              <w:rPr>
                <w:rFonts w:ascii="Times New Roman" w:hAnsi="Times New Roman" w:cs="Times New Roman"/>
                <w:sz w:val="20"/>
                <w:szCs w:val="20"/>
              </w:rPr>
              <w:t>není</w:t>
            </w:r>
            <w:proofErr w:type="gramEnd"/>
            <w:r w:rsidRPr="0035187E">
              <w:rPr>
                <w:rFonts w:ascii="Times New Roman" w:hAnsi="Times New Roman" w:cs="Times New Roman"/>
                <w:sz w:val="20"/>
                <w:szCs w:val="20"/>
              </w:rPr>
              <w:t xml:space="preserve"> jakkoliv podrobněji uvedeno ani specifikováno, co se rozumí druhem evidenční jednotky a převažujícím druhem vykonávané podnikatelské činnosti prostřednictvím této evidenční jednotky. Pokud zohledníme, že důvodová zpráva hovoří o tom, že sankcí za nesplnění oznamovací povinnosti je pokuta podle § 247a DŘ, je otázkou, zda by tato sankce mohla dopadat i na případné chybné uvedení předmětných údajů. I z toho důvodu by měly být tyto požadované údaje specifikovány v textu právní normy. Navrhovali bychom také, aby případné chybné uvedení daných údajů, kdy výběr z možných variant může být do značné míry subjektivní, nebylo sankcionováno.</w:t>
            </w:r>
          </w:p>
        </w:tc>
        <w:tc>
          <w:tcPr>
            <w:tcW w:w="1453" w:type="pct"/>
            <w:tcBorders>
              <w:top w:val="single" w:sz="4" w:space="0" w:color="auto"/>
              <w:left w:val="single" w:sz="4" w:space="0" w:color="auto"/>
              <w:right w:val="single" w:sz="4" w:space="0" w:color="auto"/>
            </w:tcBorders>
            <w:shd w:val="clear" w:color="auto" w:fill="auto"/>
          </w:tcPr>
          <w:p w14:paraId="7E6163B2" w14:textId="4EE35DC7" w:rsidR="000B4BD4" w:rsidRPr="0035187E" w:rsidRDefault="007E0A20" w:rsidP="0035187E">
            <w:pPr>
              <w:jc w:val="both"/>
              <w:rPr>
                <w:rFonts w:ascii="Times New Roman" w:hAnsi="Times New Roman" w:cs="Times New Roman"/>
                <w:b/>
                <w:iCs/>
                <w:sz w:val="20"/>
                <w:szCs w:val="20"/>
              </w:rPr>
            </w:pPr>
            <w:r w:rsidRPr="0035187E">
              <w:rPr>
                <w:rFonts w:ascii="Times New Roman" w:hAnsi="Times New Roman" w:cs="Times New Roman"/>
                <w:b/>
                <w:iCs/>
                <w:sz w:val="20"/>
                <w:szCs w:val="20"/>
              </w:rPr>
              <w:t>Nevyhověno</w:t>
            </w:r>
            <w:r w:rsidR="00C44CFD" w:rsidRPr="0035187E">
              <w:rPr>
                <w:rFonts w:ascii="Times New Roman" w:hAnsi="Times New Roman" w:cs="Times New Roman"/>
                <w:b/>
                <w:iCs/>
                <w:sz w:val="20"/>
                <w:szCs w:val="20"/>
              </w:rPr>
              <w:t>.</w:t>
            </w:r>
          </w:p>
          <w:p w14:paraId="0F53ADC0" w14:textId="7369A69B" w:rsidR="00C44CFD" w:rsidRPr="0035187E" w:rsidRDefault="00C44CFD"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Tyto položky budou mít charakter</w:t>
            </w:r>
            <w:r w:rsidR="0079568A" w:rsidRPr="0035187E">
              <w:rPr>
                <w:rFonts w:ascii="Times New Roman" w:hAnsi="Times New Roman" w:cs="Times New Roman"/>
                <w:iCs/>
                <w:sz w:val="20"/>
                <w:szCs w:val="20"/>
              </w:rPr>
              <w:t xml:space="preserve"> volby políčka, takže poplatník bude systémem veden tak, aby se prostor pro chyby minimalizoval a zároveň nedocházelo k subjektivním odchylkám při vyjádření téhož informačního sdělení. </w:t>
            </w:r>
            <w:r w:rsidRPr="0035187E">
              <w:rPr>
                <w:rFonts w:ascii="Times New Roman" w:hAnsi="Times New Roman" w:cs="Times New Roman"/>
                <w:iCs/>
                <w:sz w:val="20"/>
                <w:szCs w:val="20"/>
              </w:rPr>
              <w:t xml:space="preserve">Důvodová zpráva </w:t>
            </w:r>
            <w:r w:rsidR="0079568A" w:rsidRPr="0035187E">
              <w:rPr>
                <w:rFonts w:ascii="Times New Roman" w:hAnsi="Times New Roman" w:cs="Times New Roman"/>
                <w:iCs/>
                <w:sz w:val="20"/>
                <w:szCs w:val="20"/>
              </w:rPr>
              <w:t>byla</w:t>
            </w:r>
            <w:r w:rsidRPr="0035187E">
              <w:rPr>
                <w:rFonts w:ascii="Times New Roman" w:hAnsi="Times New Roman" w:cs="Times New Roman"/>
                <w:iCs/>
                <w:sz w:val="20"/>
                <w:szCs w:val="20"/>
              </w:rPr>
              <w:t xml:space="preserve"> v tomto ohledu doplněn</w:t>
            </w:r>
            <w:r w:rsidR="0079568A" w:rsidRPr="0035187E">
              <w:rPr>
                <w:rFonts w:ascii="Times New Roman" w:hAnsi="Times New Roman" w:cs="Times New Roman"/>
                <w:iCs/>
                <w:sz w:val="20"/>
                <w:szCs w:val="20"/>
              </w:rPr>
              <w:t>a</w:t>
            </w:r>
            <w:r w:rsidRPr="0035187E">
              <w:rPr>
                <w:rFonts w:ascii="Times New Roman" w:hAnsi="Times New Roman" w:cs="Times New Roman"/>
                <w:iCs/>
                <w:sz w:val="20"/>
                <w:szCs w:val="20"/>
              </w:rPr>
              <w:t>.</w:t>
            </w:r>
          </w:p>
          <w:p w14:paraId="112E6203" w14:textId="43131A94" w:rsidR="0079568A" w:rsidRPr="0035187E" w:rsidRDefault="00FC0708" w:rsidP="0035187E">
            <w:pPr>
              <w:rPr>
                <w:rFonts w:ascii="Times New Roman" w:hAnsi="Times New Roman" w:cs="Times New Roman"/>
                <w:i/>
                <w:sz w:val="20"/>
                <w:szCs w:val="20"/>
              </w:rPr>
            </w:pPr>
            <w:r w:rsidRPr="0035187E">
              <w:rPr>
                <w:rFonts w:ascii="Times New Roman" w:hAnsi="Times New Roman" w:cs="Times New Roman"/>
                <w:sz w:val="20"/>
                <w:szCs w:val="20"/>
              </w:rPr>
              <w:t>Současně platí, že podrobnosti k jednotlivým tématům budou metodicky upraveny a zveřejněny ze strany Generálního finančního ředitelství.</w:t>
            </w:r>
          </w:p>
        </w:tc>
      </w:tr>
      <w:tr w:rsidR="0035187E" w:rsidRPr="0035187E" w14:paraId="0E9E9862"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C5B02F7" w14:textId="2874C8F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46.</w:t>
            </w:r>
          </w:p>
        </w:tc>
        <w:tc>
          <w:tcPr>
            <w:tcW w:w="583" w:type="pct"/>
            <w:tcBorders>
              <w:top w:val="single" w:sz="4" w:space="0" w:color="auto"/>
              <w:left w:val="single" w:sz="4" w:space="0" w:color="auto"/>
              <w:right w:val="single" w:sz="4" w:space="0" w:color="auto"/>
            </w:tcBorders>
            <w:shd w:val="clear" w:color="auto" w:fill="auto"/>
          </w:tcPr>
          <w:p w14:paraId="0A8D81B2" w14:textId="234E31B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Komora daňových poradců ČR</w:t>
            </w:r>
          </w:p>
        </w:tc>
        <w:tc>
          <w:tcPr>
            <w:tcW w:w="168" w:type="pct"/>
            <w:tcBorders>
              <w:top w:val="single" w:sz="4" w:space="0" w:color="auto"/>
              <w:left w:val="single" w:sz="4" w:space="0" w:color="auto"/>
              <w:right w:val="single" w:sz="4" w:space="0" w:color="auto"/>
            </w:tcBorders>
            <w:shd w:val="clear" w:color="auto" w:fill="auto"/>
          </w:tcPr>
          <w:p w14:paraId="71B53379" w14:textId="120DB25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12.</w:t>
            </w:r>
          </w:p>
        </w:tc>
        <w:tc>
          <w:tcPr>
            <w:tcW w:w="169" w:type="pct"/>
            <w:tcBorders>
              <w:top w:val="single" w:sz="4" w:space="0" w:color="auto"/>
              <w:left w:val="single" w:sz="4" w:space="0" w:color="auto"/>
              <w:right w:val="single" w:sz="4" w:space="0" w:color="auto"/>
            </w:tcBorders>
            <w:shd w:val="clear" w:color="auto" w:fill="auto"/>
          </w:tcPr>
          <w:p w14:paraId="4F84906F" w14:textId="327F5B1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4A598D3" w14:textId="77777777" w:rsidR="000B4BD4" w:rsidRPr="0035187E" w:rsidRDefault="000B4BD4" w:rsidP="0035187E">
            <w:pPr>
              <w:numPr>
                <w:ilvl w:val="0"/>
                <w:numId w:val="53"/>
              </w:numPr>
              <w:ind w:left="0" w:firstLine="0"/>
              <w:contextualSpacing/>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K § 13 odst. 1 písm. a)</w:t>
            </w:r>
          </w:p>
          <w:p w14:paraId="3FE4C313"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Z povinnosti evidence jsou vyňaty tržby z drobné vedlejší podnikatelské činnosti veřejně prospěšných poplatníků, nejsou však vyňaty tržby z drobné vedlejší podnikatelské činnosti poplatníků, kteří sice nebyli založení za účelem dosahování zisku a zisk nerozdělují a užívají pro svou hlavní činnost, ale nejsou pro účely zákona o daních z příjmu označení za veřejně prospěšné poplatníky jako např. profesní komory s povinným členstvím, zdravotní pojišťovny, český rozhlas atd. Přitom argumenty pro racionalitu vynětí z povinnosti evidence lze aplikovat i na tyto poplatníky. Z tohoto důvodu navrhujeme změnit text na:</w:t>
            </w:r>
          </w:p>
          <w:p w14:paraId="2BA5C652" w14:textId="0748D10B"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i/>
                <w:iCs/>
                <w:sz w:val="20"/>
                <w:szCs w:val="20"/>
              </w:rPr>
              <w:t>„z drobné vedlejší podnikatelské činnosti poplatníků, kteří nebyli založeni za účelem dosahování zisku, zisk nerozdělují a používají jej na svou hlavní činnost“.</w:t>
            </w:r>
          </w:p>
        </w:tc>
        <w:tc>
          <w:tcPr>
            <w:tcW w:w="1453" w:type="pct"/>
            <w:tcBorders>
              <w:top w:val="single" w:sz="4" w:space="0" w:color="auto"/>
              <w:left w:val="single" w:sz="4" w:space="0" w:color="auto"/>
              <w:right w:val="single" w:sz="4" w:space="0" w:color="auto"/>
            </w:tcBorders>
            <w:shd w:val="clear" w:color="auto" w:fill="auto"/>
          </w:tcPr>
          <w:p w14:paraId="412D0AF2" w14:textId="77777777" w:rsidR="000B4BD4" w:rsidRPr="0035187E" w:rsidRDefault="009A4A0D" w:rsidP="0035187E">
            <w:pPr>
              <w:jc w:val="both"/>
              <w:rPr>
                <w:rFonts w:ascii="Times New Roman" w:hAnsi="Times New Roman" w:cs="Times New Roman"/>
                <w:b/>
                <w:iCs/>
                <w:sz w:val="20"/>
                <w:szCs w:val="20"/>
              </w:rPr>
            </w:pPr>
            <w:r w:rsidRPr="0035187E">
              <w:rPr>
                <w:rFonts w:ascii="Times New Roman" w:hAnsi="Times New Roman" w:cs="Times New Roman"/>
                <w:b/>
                <w:iCs/>
                <w:sz w:val="20"/>
                <w:szCs w:val="20"/>
              </w:rPr>
              <w:t>Nevyhověno.</w:t>
            </w:r>
          </w:p>
          <w:p w14:paraId="1E0FA269" w14:textId="77777777" w:rsidR="009A4A0D" w:rsidRPr="0035187E" w:rsidRDefault="009A4A0D"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Navržená koncepce byla již součástí předchozího zákona o evidenci tržeb a obstála v aplikační praxi.</w:t>
            </w:r>
          </w:p>
          <w:p w14:paraId="11B60305" w14:textId="03183DE4" w:rsidR="009A4A0D" w:rsidRPr="0035187E" w:rsidRDefault="009A4A0D" w:rsidP="0035187E">
            <w:pPr>
              <w:jc w:val="both"/>
              <w:rPr>
                <w:rFonts w:ascii="Times New Roman" w:hAnsi="Times New Roman" w:cs="Times New Roman"/>
                <w:i/>
                <w:sz w:val="20"/>
                <w:szCs w:val="20"/>
              </w:rPr>
            </w:pPr>
          </w:p>
        </w:tc>
      </w:tr>
      <w:tr w:rsidR="0035187E" w:rsidRPr="0035187E" w14:paraId="4B8ECFBF"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548989A" w14:textId="09D6746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46.</w:t>
            </w:r>
          </w:p>
        </w:tc>
        <w:tc>
          <w:tcPr>
            <w:tcW w:w="583" w:type="pct"/>
            <w:tcBorders>
              <w:top w:val="single" w:sz="4" w:space="0" w:color="auto"/>
              <w:left w:val="single" w:sz="4" w:space="0" w:color="auto"/>
              <w:right w:val="single" w:sz="4" w:space="0" w:color="auto"/>
            </w:tcBorders>
            <w:shd w:val="clear" w:color="auto" w:fill="auto"/>
          </w:tcPr>
          <w:p w14:paraId="7D134434" w14:textId="033D5AD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Komora daňových poradců ČR</w:t>
            </w:r>
          </w:p>
        </w:tc>
        <w:tc>
          <w:tcPr>
            <w:tcW w:w="168" w:type="pct"/>
            <w:tcBorders>
              <w:top w:val="single" w:sz="4" w:space="0" w:color="auto"/>
              <w:left w:val="single" w:sz="4" w:space="0" w:color="auto"/>
              <w:right w:val="single" w:sz="4" w:space="0" w:color="auto"/>
            </w:tcBorders>
            <w:shd w:val="clear" w:color="auto" w:fill="auto"/>
          </w:tcPr>
          <w:p w14:paraId="672C6D42" w14:textId="3DCF869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13.</w:t>
            </w:r>
          </w:p>
        </w:tc>
        <w:tc>
          <w:tcPr>
            <w:tcW w:w="169" w:type="pct"/>
            <w:tcBorders>
              <w:top w:val="single" w:sz="4" w:space="0" w:color="auto"/>
              <w:left w:val="single" w:sz="4" w:space="0" w:color="auto"/>
              <w:right w:val="single" w:sz="4" w:space="0" w:color="auto"/>
            </w:tcBorders>
            <w:shd w:val="clear" w:color="auto" w:fill="auto"/>
          </w:tcPr>
          <w:p w14:paraId="2E686C3F" w14:textId="5D6A4EC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094D69B" w14:textId="77777777" w:rsidR="000B4BD4" w:rsidRPr="0035187E" w:rsidRDefault="000B4BD4" w:rsidP="0035187E">
            <w:pPr>
              <w:numPr>
                <w:ilvl w:val="0"/>
                <w:numId w:val="53"/>
              </w:numPr>
              <w:ind w:left="0" w:firstLine="0"/>
              <w:contextualSpacing/>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 xml:space="preserve">K § 13 odst. 1 písm. a) </w:t>
            </w:r>
          </w:p>
          <w:p w14:paraId="68F9A557"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Zákon zavádí neurčitý pojem „drobná činnost“ s plným vědomím, že není jasné, co tento pojem označuje. Viz důvodová zpráva K § 13 odst. 1 písm. a).</w:t>
            </w:r>
          </w:p>
          <w:p w14:paraId="4C48DAD0" w14:textId="77777777" w:rsidR="000B4BD4" w:rsidRPr="0035187E" w:rsidRDefault="000B4BD4"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„Konkrétní hranici limitující příjem z drobné vedlejší činnosti nastaví aplikační metodická praxe, která zohlední aktuální situaci.“</w:t>
            </w:r>
          </w:p>
          <w:p w14:paraId="21FF4B8F"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Zákon tak staví poplatníka do situace, kdy do určité hranice příjmů nemá povinnost evidence, tuto hranici však zákon neurčuje, poplatník ji nezná a bude ex post určena. S tím, že následně může být poplatník zpětně sankcionován za nezahájení evidence při překročení této hranice. </w:t>
            </w:r>
          </w:p>
          <w:p w14:paraId="5A02794D"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Přitom v minulé verzi EET byly tyto podmínky zcela jednoznačně určeny: povinnost evidovat tržby neměl veřejně prospěšný poplatník, jehož příjmy podléhající evidenci v předchozím kalendářním roce nepřesáhly vyšší ze dvou hranic - 300 tis. Kč nebo 5 % celkového obratu.</w:t>
            </w:r>
          </w:p>
          <w:p w14:paraId="770D7C9B" w14:textId="35C861C0"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sz w:val="20"/>
                <w:szCs w:val="20"/>
              </w:rPr>
              <w:t>Z tohoto důvodu navrhujeme hranici obdobným způsobem zavést do zákona nebo pověřit Ministerstvo financí, aby tento limit stanovoval vyhláškou dle potřeb průběžné aplikační metodické praxe.</w:t>
            </w:r>
          </w:p>
        </w:tc>
        <w:tc>
          <w:tcPr>
            <w:tcW w:w="1453" w:type="pct"/>
            <w:tcBorders>
              <w:top w:val="single" w:sz="4" w:space="0" w:color="auto"/>
              <w:left w:val="single" w:sz="4" w:space="0" w:color="auto"/>
              <w:right w:val="single" w:sz="4" w:space="0" w:color="auto"/>
            </w:tcBorders>
            <w:shd w:val="clear" w:color="auto" w:fill="auto"/>
          </w:tcPr>
          <w:p w14:paraId="2B44EEA7" w14:textId="77777777" w:rsidR="00E24C79" w:rsidRPr="0035187E" w:rsidRDefault="00E24C79" w:rsidP="0035187E">
            <w:pPr>
              <w:jc w:val="both"/>
              <w:rPr>
                <w:rFonts w:ascii="Times New Roman" w:hAnsi="Times New Roman" w:cs="Times New Roman"/>
                <w:b/>
                <w:iCs/>
                <w:sz w:val="20"/>
                <w:szCs w:val="20"/>
              </w:rPr>
            </w:pPr>
            <w:r w:rsidRPr="0035187E">
              <w:rPr>
                <w:rFonts w:ascii="Times New Roman" w:hAnsi="Times New Roman" w:cs="Times New Roman"/>
                <w:b/>
                <w:iCs/>
                <w:sz w:val="20"/>
                <w:szCs w:val="20"/>
              </w:rPr>
              <w:t>Nevyhověno.</w:t>
            </w:r>
          </w:p>
          <w:p w14:paraId="203BDB4F" w14:textId="77777777" w:rsidR="000B4BD4" w:rsidRPr="0035187E" w:rsidRDefault="00E24C79"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Navržená výjimka byla převzata z předchozího zákona, takže obavy z nejasnosti ohledně výkladu daného pojmu nejsou zcela na místě. Způsob normativního vyjádření zůstal stejný, takže text připomínky si protiřečí. Záměrem navrhovatele je normu ponechat nastavenou jako materiální kritérium, jehož konkrétní hranice bude přizpůsobována aktuální „ceně peněz“. Současně platí, že konkrétní limit (který by neměl být z povahy věci nižší, než tomu bylo v rámci metodické informace k původnímu zákonu) zveřejněný správcem daně vytváří tzv. správní praxi, které se v souladu s judikaturou může jednotlivec dovolávat.</w:t>
            </w:r>
          </w:p>
          <w:p w14:paraId="5B7250B3" w14:textId="2D3F04D6" w:rsidR="00E24C79" w:rsidRPr="0035187E" w:rsidRDefault="00E24C79" w:rsidP="0035187E">
            <w:pPr>
              <w:jc w:val="both"/>
              <w:rPr>
                <w:rFonts w:ascii="Times New Roman" w:hAnsi="Times New Roman" w:cs="Times New Roman"/>
                <w:i/>
                <w:sz w:val="20"/>
                <w:szCs w:val="20"/>
              </w:rPr>
            </w:pPr>
          </w:p>
        </w:tc>
      </w:tr>
      <w:tr w:rsidR="0035187E" w:rsidRPr="0035187E" w14:paraId="67F0AE02"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95C663C" w14:textId="63D3548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46.</w:t>
            </w:r>
          </w:p>
        </w:tc>
        <w:tc>
          <w:tcPr>
            <w:tcW w:w="583" w:type="pct"/>
            <w:tcBorders>
              <w:top w:val="single" w:sz="4" w:space="0" w:color="auto"/>
              <w:left w:val="single" w:sz="4" w:space="0" w:color="auto"/>
              <w:right w:val="single" w:sz="4" w:space="0" w:color="auto"/>
            </w:tcBorders>
            <w:shd w:val="clear" w:color="auto" w:fill="auto"/>
          </w:tcPr>
          <w:p w14:paraId="68CB1118" w14:textId="3D5FB2F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Komora daňových poradců ČR</w:t>
            </w:r>
          </w:p>
        </w:tc>
        <w:tc>
          <w:tcPr>
            <w:tcW w:w="168" w:type="pct"/>
            <w:tcBorders>
              <w:top w:val="single" w:sz="4" w:space="0" w:color="auto"/>
              <w:left w:val="single" w:sz="4" w:space="0" w:color="auto"/>
              <w:right w:val="single" w:sz="4" w:space="0" w:color="auto"/>
            </w:tcBorders>
            <w:shd w:val="clear" w:color="auto" w:fill="auto"/>
          </w:tcPr>
          <w:p w14:paraId="515BA4F4" w14:textId="4CE7096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14.</w:t>
            </w:r>
          </w:p>
        </w:tc>
        <w:tc>
          <w:tcPr>
            <w:tcW w:w="169" w:type="pct"/>
            <w:tcBorders>
              <w:top w:val="single" w:sz="4" w:space="0" w:color="auto"/>
              <w:left w:val="single" w:sz="4" w:space="0" w:color="auto"/>
              <w:right w:val="single" w:sz="4" w:space="0" w:color="auto"/>
            </w:tcBorders>
            <w:shd w:val="clear" w:color="auto" w:fill="auto"/>
          </w:tcPr>
          <w:p w14:paraId="43D3F94F" w14:textId="5661B0F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F382FDB" w14:textId="77777777" w:rsidR="000B4BD4" w:rsidRPr="0035187E" w:rsidRDefault="000B4BD4" w:rsidP="0035187E">
            <w:pPr>
              <w:numPr>
                <w:ilvl w:val="0"/>
                <w:numId w:val="53"/>
              </w:numPr>
              <w:ind w:left="0" w:firstLine="0"/>
              <w:contextualSpacing/>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K § 13 odst. 1 písm. b)</w:t>
            </w:r>
          </w:p>
          <w:p w14:paraId="5990D4BA"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i/>
                <w:iCs/>
                <w:sz w:val="20"/>
                <w:szCs w:val="20"/>
              </w:rPr>
              <w:t>“ze vztahu souvisejícího s pracovněprávním nebo obdobným vztahem”</w:t>
            </w:r>
            <w:r w:rsidRPr="0035187E">
              <w:rPr>
                <w:rFonts w:ascii="Times New Roman" w:hAnsi="Times New Roman" w:cs="Times New Roman"/>
                <w:sz w:val="20"/>
                <w:szCs w:val="20"/>
              </w:rPr>
              <w:t xml:space="preserve"> – jedná se o příliš neurčitý pojem.  </w:t>
            </w:r>
          </w:p>
          <w:p w14:paraId="36102F48" w14:textId="475BF731"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sz w:val="20"/>
                <w:szCs w:val="20"/>
              </w:rPr>
              <w:t xml:space="preserve">Souvisí například platba zaměstnavatele společnosti vydávající stravenky s pracovněprávním vztahem. Domníváme se, že souvislost zde je, stravenky zjevně nakupuji většinou pro zaměstnance. Zákon by měl být formulován přesněji, aby nevznikaly pochybnosti, co není nutné hlásit. </w:t>
            </w:r>
          </w:p>
        </w:tc>
        <w:tc>
          <w:tcPr>
            <w:tcW w:w="1453" w:type="pct"/>
            <w:tcBorders>
              <w:top w:val="single" w:sz="4" w:space="0" w:color="auto"/>
              <w:left w:val="single" w:sz="4" w:space="0" w:color="auto"/>
              <w:right w:val="single" w:sz="4" w:space="0" w:color="auto"/>
            </w:tcBorders>
            <w:shd w:val="clear" w:color="auto" w:fill="auto"/>
          </w:tcPr>
          <w:p w14:paraId="58B02C10" w14:textId="77777777" w:rsidR="00E24C79" w:rsidRPr="0035187E" w:rsidRDefault="00E24C79" w:rsidP="0035187E">
            <w:pPr>
              <w:jc w:val="both"/>
              <w:rPr>
                <w:rFonts w:ascii="Times New Roman" w:hAnsi="Times New Roman" w:cs="Times New Roman"/>
                <w:b/>
                <w:iCs/>
                <w:sz w:val="20"/>
                <w:szCs w:val="20"/>
              </w:rPr>
            </w:pPr>
            <w:r w:rsidRPr="0035187E">
              <w:rPr>
                <w:rFonts w:ascii="Times New Roman" w:hAnsi="Times New Roman" w:cs="Times New Roman"/>
                <w:b/>
                <w:iCs/>
                <w:sz w:val="20"/>
                <w:szCs w:val="20"/>
              </w:rPr>
              <w:t>Nevyhověno.</w:t>
            </w:r>
          </w:p>
          <w:p w14:paraId="366AA14A" w14:textId="77777777" w:rsidR="000B4BD4" w:rsidRPr="0035187E" w:rsidRDefault="00E24C79"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Navržená výjimka byla převzata z předchozího zákona, takže obavy z nejasnosti ohledně výkladu daného pojmu nejsou zcela na místě.</w:t>
            </w:r>
          </w:p>
          <w:p w14:paraId="25F29FFF" w14:textId="277F3427" w:rsidR="00E24C79" w:rsidRPr="0035187E" w:rsidRDefault="007232B3" w:rsidP="0035187E">
            <w:pPr>
              <w:jc w:val="both"/>
              <w:rPr>
                <w:rFonts w:ascii="Times New Roman" w:hAnsi="Times New Roman" w:cs="Times New Roman"/>
                <w:i/>
                <w:sz w:val="20"/>
                <w:szCs w:val="20"/>
              </w:rPr>
            </w:pPr>
            <w:r w:rsidRPr="0035187E">
              <w:rPr>
                <w:rFonts w:ascii="Times New Roman" w:hAnsi="Times New Roman" w:cs="Times New Roman"/>
                <w:iCs/>
                <w:sz w:val="20"/>
                <w:szCs w:val="20"/>
              </w:rPr>
              <w:t xml:space="preserve">Výjimka cílí na tržby zaměstnavatele, kdy by jeho zákazníky byli jeho zaměstnanci či </w:t>
            </w:r>
            <w:proofErr w:type="spellStart"/>
            <w:r w:rsidRPr="0035187E">
              <w:rPr>
                <w:rFonts w:ascii="Times New Roman" w:hAnsi="Times New Roman" w:cs="Times New Roman"/>
                <w:iCs/>
                <w:sz w:val="20"/>
                <w:szCs w:val="20"/>
              </w:rPr>
              <w:t>kvazizaměstnanci</w:t>
            </w:r>
            <w:proofErr w:type="spellEnd"/>
            <w:r w:rsidRPr="0035187E">
              <w:rPr>
                <w:rFonts w:ascii="Times New Roman" w:hAnsi="Times New Roman" w:cs="Times New Roman"/>
                <w:iCs/>
                <w:sz w:val="20"/>
                <w:szCs w:val="20"/>
              </w:rPr>
              <w:t xml:space="preserve">. Necílí na obchodní vztahy mezi podnikateli, z nichž jeden nakupuje zboží či služby pro své zaměstnance. Netýká se tak tržeb společnosti vydávající stravenky z plateb od jednotlivých podnikatelů (pokud by vůbec byly realizovány jako kontaktní platby). </w:t>
            </w:r>
          </w:p>
        </w:tc>
      </w:tr>
      <w:tr w:rsidR="0035187E" w:rsidRPr="0035187E" w14:paraId="5E566EDC"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75081A8" w14:textId="1B6277D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46.</w:t>
            </w:r>
          </w:p>
        </w:tc>
        <w:tc>
          <w:tcPr>
            <w:tcW w:w="583" w:type="pct"/>
            <w:tcBorders>
              <w:top w:val="single" w:sz="4" w:space="0" w:color="auto"/>
              <w:left w:val="single" w:sz="4" w:space="0" w:color="auto"/>
              <w:right w:val="single" w:sz="4" w:space="0" w:color="auto"/>
            </w:tcBorders>
            <w:shd w:val="clear" w:color="auto" w:fill="auto"/>
          </w:tcPr>
          <w:p w14:paraId="068AD856" w14:textId="2B9D3EF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Komora daňových poradců ČR</w:t>
            </w:r>
          </w:p>
        </w:tc>
        <w:tc>
          <w:tcPr>
            <w:tcW w:w="168" w:type="pct"/>
            <w:tcBorders>
              <w:top w:val="single" w:sz="4" w:space="0" w:color="auto"/>
              <w:left w:val="single" w:sz="4" w:space="0" w:color="auto"/>
              <w:right w:val="single" w:sz="4" w:space="0" w:color="auto"/>
            </w:tcBorders>
            <w:shd w:val="clear" w:color="auto" w:fill="auto"/>
          </w:tcPr>
          <w:p w14:paraId="179A079A" w14:textId="4A3925B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15.</w:t>
            </w:r>
          </w:p>
        </w:tc>
        <w:tc>
          <w:tcPr>
            <w:tcW w:w="169" w:type="pct"/>
            <w:tcBorders>
              <w:top w:val="single" w:sz="4" w:space="0" w:color="auto"/>
              <w:left w:val="single" w:sz="4" w:space="0" w:color="auto"/>
              <w:right w:val="single" w:sz="4" w:space="0" w:color="auto"/>
            </w:tcBorders>
            <w:shd w:val="clear" w:color="auto" w:fill="auto"/>
          </w:tcPr>
          <w:p w14:paraId="0B2266CE" w14:textId="0D68102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0D78811" w14:textId="77777777" w:rsidR="000B4BD4" w:rsidRPr="0035187E" w:rsidRDefault="000B4BD4" w:rsidP="0035187E">
            <w:pPr>
              <w:numPr>
                <w:ilvl w:val="0"/>
                <w:numId w:val="53"/>
              </w:numPr>
              <w:ind w:left="0" w:firstLine="0"/>
              <w:contextualSpacing/>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K § 13 odst. 1 písm. c)</w:t>
            </w:r>
          </w:p>
          <w:p w14:paraId="678BA4F4"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Navrhujeme doplnit text:</w:t>
            </w:r>
          </w:p>
          <w:p w14:paraId="734407FE"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w:t>
            </w:r>
            <w:r w:rsidRPr="0035187E">
              <w:rPr>
                <w:rFonts w:ascii="Times New Roman" w:hAnsi="Times New Roman" w:cs="Times New Roman"/>
                <w:i/>
                <w:iCs/>
                <w:sz w:val="20"/>
                <w:szCs w:val="20"/>
              </w:rPr>
              <w:t>ze stravování a ubytování žákům a studentům a jejich pedagogickému doprovodu poskytovaného školou, vysokou školou nebo školským zařízením,“</w:t>
            </w:r>
          </w:p>
          <w:p w14:paraId="41CEA7BB" w14:textId="17C505A1"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sz w:val="20"/>
                <w:szCs w:val="20"/>
              </w:rPr>
              <w:t>Odůvodnění: V případě že jedna škola zajistí žákům jiné školy za úplatu tyto služby, nepodléhají povinnosti evidence; pokud je zajistí vlastním učitelům – zaměstnancům, nepodléhají této povinnosti rovněž; pokud však s cizími žáky dorazí jejich učitelé, bude jejich úhrada povinnosti podléhat. Přitom ne vždy bude vyloučena dle jiných ustanovení (příspěvková organizace apod.). V praxi při zavádění minulé vlny EET se tento případ opakovaně u některých subjektů objevil jako jediné tržby podléhající evidenci. Přitom jejich vyloučení odpovídá racionalitě řešení.</w:t>
            </w:r>
          </w:p>
        </w:tc>
        <w:tc>
          <w:tcPr>
            <w:tcW w:w="1453" w:type="pct"/>
            <w:tcBorders>
              <w:top w:val="single" w:sz="4" w:space="0" w:color="auto"/>
              <w:left w:val="single" w:sz="4" w:space="0" w:color="auto"/>
              <w:right w:val="single" w:sz="4" w:space="0" w:color="auto"/>
            </w:tcBorders>
            <w:shd w:val="clear" w:color="auto" w:fill="auto"/>
          </w:tcPr>
          <w:p w14:paraId="63E277B7" w14:textId="59AB6605" w:rsidR="000B4BD4" w:rsidRPr="0035187E" w:rsidRDefault="002562F4" w:rsidP="0035187E">
            <w:pPr>
              <w:jc w:val="both"/>
              <w:rPr>
                <w:rFonts w:ascii="Times New Roman" w:hAnsi="Times New Roman" w:cs="Times New Roman"/>
                <w:b/>
                <w:iCs/>
                <w:sz w:val="20"/>
                <w:szCs w:val="20"/>
              </w:rPr>
            </w:pPr>
            <w:r w:rsidRPr="0035187E">
              <w:rPr>
                <w:rFonts w:ascii="Times New Roman" w:hAnsi="Times New Roman" w:cs="Times New Roman"/>
                <w:b/>
                <w:iCs/>
                <w:sz w:val="20"/>
                <w:szCs w:val="20"/>
              </w:rPr>
              <w:t>Vyhověno jinak.</w:t>
            </w:r>
          </w:p>
          <w:p w14:paraId="3A5D87C4" w14:textId="7A38F8C1" w:rsidR="002562F4" w:rsidRPr="0035187E" w:rsidRDefault="002562F4"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Text byl doplněn o slovo „</w:t>
            </w:r>
            <w:r w:rsidRPr="0035187E">
              <w:rPr>
                <w:rFonts w:ascii="Times New Roman" w:hAnsi="Times New Roman" w:cs="Times New Roman"/>
                <w:i/>
                <w:iCs/>
                <w:sz w:val="20"/>
                <w:szCs w:val="20"/>
              </w:rPr>
              <w:t>dětem</w:t>
            </w:r>
            <w:r w:rsidRPr="0035187E">
              <w:rPr>
                <w:rFonts w:ascii="Times New Roman" w:hAnsi="Times New Roman" w:cs="Times New Roman"/>
                <w:iCs/>
                <w:sz w:val="20"/>
                <w:szCs w:val="20"/>
              </w:rPr>
              <w:t>“.</w:t>
            </w:r>
            <w:r w:rsidR="008E6E12" w:rsidRPr="0035187E">
              <w:rPr>
                <w:rFonts w:ascii="Times New Roman" w:hAnsi="Times New Roman" w:cs="Times New Roman"/>
                <w:iCs/>
                <w:sz w:val="20"/>
                <w:szCs w:val="20"/>
              </w:rPr>
              <w:t xml:space="preserve"> Do důvodové zprávy byl doplněn text: „</w:t>
            </w:r>
            <w:r w:rsidR="008E6E12" w:rsidRPr="0035187E">
              <w:rPr>
                <w:rFonts w:ascii="Times New Roman" w:hAnsi="Times New Roman" w:cs="Times New Roman"/>
                <w:i/>
                <w:iCs/>
                <w:sz w:val="20"/>
                <w:szCs w:val="20"/>
              </w:rPr>
              <w:t>Navržená textace nevyžaduje, aby se jednalo výlučně o děti, žáky či studenty z instituce, ve které probíhá jejich výuka</w:t>
            </w:r>
            <w:r w:rsidR="008E6E12" w:rsidRPr="0035187E">
              <w:rPr>
                <w:rFonts w:ascii="Times New Roman" w:hAnsi="Times New Roman" w:cs="Times New Roman"/>
                <w:iCs/>
                <w:sz w:val="20"/>
                <w:szCs w:val="20"/>
              </w:rPr>
              <w:t>.“.</w:t>
            </w:r>
          </w:p>
          <w:p w14:paraId="300581EF" w14:textId="2EC89939" w:rsidR="008E6E12" w:rsidRPr="0035187E" w:rsidRDefault="008E6E12" w:rsidP="0035187E">
            <w:pPr>
              <w:jc w:val="both"/>
              <w:rPr>
                <w:rFonts w:ascii="Times New Roman" w:hAnsi="Times New Roman" w:cs="Times New Roman"/>
                <w:i/>
                <w:sz w:val="20"/>
                <w:szCs w:val="20"/>
              </w:rPr>
            </w:pPr>
          </w:p>
        </w:tc>
      </w:tr>
      <w:tr w:rsidR="0035187E" w:rsidRPr="0035187E" w14:paraId="4CA22ECE"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4E7E13D" w14:textId="4A854FD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46.</w:t>
            </w:r>
          </w:p>
        </w:tc>
        <w:tc>
          <w:tcPr>
            <w:tcW w:w="583" w:type="pct"/>
            <w:tcBorders>
              <w:top w:val="single" w:sz="4" w:space="0" w:color="auto"/>
              <w:left w:val="single" w:sz="4" w:space="0" w:color="auto"/>
              <w:right w:val="single" w:sz="4" w:space="0" w:color="auto"/>
            </w:tcBorders>
            <w:shd w:val="clear" w:color="auto" w:fill="auto"/>
          </w:tcPr>
          <w:p w14:paraId="3EB8A98B" w14:textId="7755ABB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Komora daňových poradců ČR</w:t>
            </w:r>
          </w:p>
        </w:tc>
        <w:tc>
          <w:tcPr>
            <w:tcW w:w="168" w:type="pct"/>
            <w:tcBorders>
              <w:top w:val="single" w:sz="4" w:space="0" w:color="auto"/>
              <w:left w:val="single" w:sz="4" w:space="0" w:color="auto"/>
              <w:right w:val="single" w:sz="4" w:space="0" w:color="auto"/>
            </w:tcBorders>
            <w:shd w:val="clear" w:color="auto" w:fill="auto"/>
          </w:tcPr>
          <w:p w14:paraId="4D4CFECE" w14:textId="1AF7EBF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16.</w:t>
            </w:r>
          </w:p>
        </w:tc>
        <w:tc>
          <w:tcPr>
            <w:tcW w:w="169" w:type="pct"/>
            <w:tcBorders>
              <w:top w:val="single" w:sz="4" w:space="0" w:color="auto"/>
              <w:left w:val="single" w:sz="4" w:space="0" w:color="auto"/>
              <w:right w:val="single" w:sz="4" w:space="0" w:color="auto"/>
            </w:tcBorders>
            <w:shd w:val="clear" w:color="auto" w:fill="auto"/>
          </w:tcPr>
          <w:p w14:paraId="1DD7FF5A" w14:textId="3424CE2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E4CE606" w14:textId="77777777" w:rsidR="000B4BD4" w:rsidRPr="0035187E" w:rsidRDefault="000B4BD4" w:rsidP="0035187E">
            <w:pPr>
              <w:numPr>
                <w:ilvl w:val="0"/>
                <w:numId w:val="53"/>
              </w:numPr>
              <w:ind w:left="0" w:firstLine="0"/>
              <w:contextualSpacing/>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K § 13</w:t>
            </w:r>
          </w:p>
          <w:p w14:paraId="5721336B"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V odst. 1) se za písm. g) doplňuje písm. h), které zní:</w:t>
            </w:r>
          </w:p>
          <w:p w14:paraId="2FBE7566" w14:textId="77777777" w:rsidR="000B4BD4" w:rsidRPr="0035187E" w:rsidRDefault="000B4BD4"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lastRenderedPageBreak/>
              <w:t>„h) za pronájem nemovité věci nebo souvisejících služeb v případě pronájmu bez poskytování jiných než základních služeb, který uspokojuje bytovou potřebu nájemce, poskytovaného právnickou osobou.“</w:t>
            </w:r>
          </w:p>
          <w:p w14:paraId="38AAA89D"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Odůvodnění:</w:t>
            </w:r>
          </w:p>
          <w:p w14:paraId="061371B8"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Stejně jako příjem z nájmu u fyzických osob (§ 9) není předmětem evidence tržeb, navrhuje se, aby příjem z dlouhodobého nájmu, který slouží k uspokojování bytových potřeb, byl vyňat z evidence tržeb i u právnických osob. Oproti pravidlu pro fyzické osoby je vynětí z evidence užší a týká se pouze pronájmu bytů. Ustanovení míří především na Společenství vlastníků jednotek, bytová družstva, ale v případě správy bytového fondu se vztahuje na všechny typy právnických osob.</w:t>
            </w:r>
          </w:p>
          <w:p w14:paraId="026BE35C" w14:textId="1FAC92D2"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sz w:val="20"/>
                <w:szCs w:val="20"/>
              </w:rPr>
              <w:t>Pokud by bylo možné výjimku z EET pro popsané případy dovodit z § 8 odst. 1 písm. b) zákona, navrhujeme tuto skutečnost výslovně uvést v důvodové zprávě.</w:t>
            </w:r>
          </w:p>
        </w:tc>
        <w:tc>
          <w:tcPr>
            <w:tcW w:w="1453" w:type="pct"/>
            <w:tcBorders>
              <w:top w:val="single" w:sz="4" w:space="0" w:color="auto"/>
              <w:left w:val="single" w:sz="4" w:space="0" w:color="auto"/>
              <w:right w:val="single" w:sz="4" w:space="0" w:color="auto"/>
            </w:tcBorders>
            <w:shd w:val="clear" w:color="auto" w:fill="auto"/>
          </w:tcPr>
          <w:p w14:paraId="6F571D01" w14:textId="0A62EE65" w:rsidR="000B4BD4" w:rsidRPr="0035187E" w:rsidRDefault="009F76C7" w:rsidP="0035187E">
            <w:pPr>
              <w:jc w:val="both"/>
              <w:rPr>
                <w:rFonts w:ascii="Times New Roman" w:hAnsi="Times New Roman" w:cs="Times New Roman"/>
                <w:b/>
                <w:iCs/>
                <w:sz w:val="20"/>
                <w:szCs w:val="20"/>
              </w:rPr>
            </w:pPr>
            <w:r w:rsidRPr="0035187E">
              <w:rPr>
                <w:rFonts w:ascii="Times New Roman" w:hAnsi="Times New Roman" w:cs="Times New Roman"/>
                <w:b/>
                <w:iCs/>
                <w:sz w:val="20"/>
                <w:szCs w:val="20"/>
              </w:rPr>
              <w:lastRenderedPageBreak/>
              <w:t>Nevyhověno.</w:t>
            </w:r>
          </w:p>
          <w:p w14:paraId="10605CE1" w14:textId="155FFBAE" w:rsidR="009F76C7" w:rsidRPr="0035187E" w:rsidRDefault="009F76C7"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 xml:space="preserve">Pravidlo pro fyzické osoby není modifikováno samotným návrhem zákona v části upravující evidenci tržeb. Vychází z odlišného pojetí klasifikace </w:t>
            </w:r>
            <w:r w:rsidRPr="0035187E">
              <w:rPr>
                <w:rFonts w:ascii="Times New Roman" w:hAnsi="Times New Roman" w:cs="Times New Roman"/>
                <w:iCs/>
                <w:sz w:val="20"/>
                <w:szCs w:val="20"/>
              </w:rPr>
              <w:lastRenderedPageBreak/>
              <w:t>podnikatelských příjmů podle zákona o daních z příjmů.</w:t>
            </w:r>
          </w:p>
          <w:p w14:paraId="7FFDF4B8" w14:textId="17E21D01" w:rsidR="000B4BD4" w:rsidRPr="0035187E" w:rsidRDefault="000B4BD4" w:rsidP="0035187E">
            <w:pPr>
              <w:jc w:val="both"/>
              <w:rPr>
                <w:rFonts w:ascii="Times New Roman" w:hAnsi="Times New Roman" w:cs="Times New Roman"/>
                <w:i/>
                <w:sz w:val="20"/>
                <w:szCs w:val="20"/>
              </w:rPr>
            </w:pPr>
          </w:p>
        </w:tc>
      </w:tr>
      <w:tr w:rsidR="0035187E" w:rsidRPr="0035187E" w14:paraId="7D618744"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4EA7E44" w14:textId="2CA9BB4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46.</w:t>
            </w:r>
          </w:p>
        </w:tc>
        <w:tc>
          <w:tcPr>
            <w:tcW w:w="583" w:type="pct"/>
            <w:tcBorders>
              <w:top w:val="single" w:sz="4" w:space="0" w:color="auto"/>
              <w:left w:val="single" w:sz="4" w:space="0" w:color="auto"/>
              <w:right w:val="single" w:sz="4" w:space="0" w:color="auto"/>
            </w:tcBorders>
            <w:shd w:val="clear" w:color="auto" w:fill="auto"/>
          </w:tcPr>
          <w:p w14:paraId="32FA999F" w14:textId="0681D84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Komora daňových poradců ČR</w:t>
            </w:r>
          </w:p>
        </w:tc>
        <w:tc>
          <w:tcPr>
            <w:tcW w:w="168" w:type="pct"/>
            <w:tcBorders>
              <w:top w:val="single" w:sz="4" w:space="0" w:color="auto"/>
              <w:left w:val="single" w:sz="4" w:space="0" w:color="auto"/>
              <w:right w:val="single" w:sz="4" w:space="0" w:color="auto"/>
            </w:tcBorders>
            <w:shd w:val="clear" w:color="auto" w:fill="auto"/>
          </w:tcPr>
          <w:p w14:paraId="52E434F7" w14:textId="76BF346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17.</w:t>
            </w:r>
          </w:p>
        </w:tc>
        <w:tc>
          <w:tcPr>
            <w:tcW w:w="169" w:type="pct"/>
            <w:tcBorders>
              <w:top w:val="single" w:sz="4" w:space="0" w:color="auto"/>
              <w:left w:val="single" w:sz="4" w:space="0" w:color="auto"/>
              <w:right w:val="single" w:sz="4" w:space="0" w:color="auto"/>
            </w:tcBorders>
            <w:shd w:val="clear" w:color="auto" w:fill="auto"/>
          </w:tcPr>
          <w:p w14:paraId="17D0B728" w14:textId="204B34D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16B1B4B" w14:textId="77777777" w:rsidR="000B4BD4" w:rsidRPr="0035187E" w:rsidRDefault="000B4BD4" w:rsidP="0035187E">
            <w:pPr>
              <w:numPr>
                <w:ilvl w:val="0"/>
                <w:numId w:val="53"/>
              </w:numPr>
              <w:ind w:left="0" w:firstLine="0"/>
              <w:contextualSpacing/>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 xml:space="preserve">K 14 odst. 3 </w:t>
            </w:r>
          </w:p>
          <w:p w14:paraId="3D0F41B0" w14:textId="3A708C1C"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sz w:val="20"/>
                <w:szCs w:val="20"/>
              </w:rPr>
              <w:t>Jak se míra zapojení zákazníka bude odrážet u samoobslužných kiosků – Ikea, McDonald? Jedou na NFC platby a je to spíše jako samoobslužná pokladna. Takže automaty budou vyňaty a kiosky ne? Doporučujeme popsat v důvodové zprávě, případně upravit text zákona.</w:t>
            </w:r>
          </w:p>
        </w:tc>
        <w:tc>
          <w:tcPr>
            <w:tcW w:w="1453" w:type="pct"/>
            <w:tcBorders>
              <w:top w:val="single" w:sz="4" w:space="0" w:color="auto"/>
              <w:left w:val="single" w:sz="4" w:space="0" w:color="auto"/>
              <w:right w:val="single" w:sz="4" w:space="0" w:color="auto"/>
            </w:tcBorders>
            <w:shd w:val="clear" w:color="auto" w:fill="auto"/>
          </w:tcPr>
          <w:p w14:paraId="35EDD7ED" w14:textId="77777777" w:rsidR="000B4BD4" w:rsidRPr="0035187E" w:rsidRDefault="00BF7A34" w:rsidP="0035187E">
            <w:pPr>
              <w:jc w:val="both"/>
              <w:rPr>
                <w:rFonts w:ascii="Times New Roman" w:hAnsi="Times New Roman" w:cs="Times New Roman"/>
                <w:b/>
                <w:iCs/>
                <w:sz w:val="20"/>
                <w:szCs w:val="20"/>
              </w:rPr>
            </w:pPr>
            <w:r w:rsidRPr="0035187E">
              <w:rPr>
                <w:rFonts w:ascii="Times New Roman" w:hAnsi="Times New Roman" w:cs="Times New Roman"/>
                <w:b/>
                <w:iCs/>
                <w:sz w:val="20"/>
                <w:szCs w:val="20"/>
              </w:rPr>
              <w:t>Vyhověno.</w:t>
            </w:r>
          </w:p>
          <w:p w14:paraId="0D57D3B5" w14:textId="3361214E" w:rsidR="00BF7A34" w:rsidRPr="0035187E" w:rsidRDefault="00BF7A34" w:rsidP="0035187E">
            <w:pPr>
              <w:jc w:val="both"/>
              <w:rPr>
                <w:rFonts w:ascii="Times New Roman" w:hAnsi="Times New Roman" w:cs="Times New Roman"/>
                <w:i/>
                <w:sz w:val="20"/>
                <w:szCs w:val="20"/>
              </w:rPr>
            </w:pPr>
            <w:r w:rsidRPr="0035187E">
              <w:rPr>
                <w:rFonts w:ascii="Times New Roman" w:hAnsi="Times New Roman" w:cs="Times New Roman"/>
                <w:iCs/>
                <w:sz w:val="20"/>
                <w:szCs w:val="20"/>
              </w:rPr>
              <w:t>Rozdíl mezi automatem a jiným samoobslužným zařízením je popsán v důvodové zprávě a došlo k jeho dalšímu rozšíření.</w:t>
            </w:r>
          </w:p>
        </w:tc>
      </w:tr>
      <w:tr w:rsidR="0035187E" w:rsidRPr="0035187E" w14:paraId="4CCEF1DD"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18F249B" w14:textId="3E52D49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46.</w:t>
            </w:r>
          </w:p>
        </w:tc>
        <w:tc>
          <w:tcPr>
            <w:tcW w:w="583" w:type="pct"/>
            <w:tcBorders>
              <w:top w:val="single" w:sz="4" w:space="0" w:color="auto"/>
              <w:left w:val="single" w:sz="4" w:space="0" w:color="auto"/>
              <w:right w:val="single" w:sz="4" w:space="0" w:color="auto"/>
            </w:tcBorders>
            <w:shd w:val="clear" w:color="auto" w:fill="auto"/>
          </w:tcPr>
          <w:p w14:paraId="0B7C0D2D" w14:textId="0AB2728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Komora daňových poradců ČR</w:t>
            </w:r>
          </w:p>
        </w:tc>
        <w:tc>
          <w:tcPr>
            <w:tcW w:w="168" w:type="pct"/>
            <w:tcBorders>
              <w:top w:val="single" w:sz="4" w:space="0" w:color="auto"/>
              <w:left w:val="single" w:sz="4" w:space="0" w:color="auto"/>
              <w:right w:val="single" w:sz="4" w:space="0" w:color="auto"/>
            </w:tcBorders>
            <w:shd w:val="clear" w:color="auto" w:fill="auto"/>
          </w:tcPr>
          <w:p w14:paraId="31123A09" w14:textId="179A4F6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18.</w:t>
            </w:r>
          </w:p>
        </w:tc>
        <w:tc>
          <w:tcPr>
            <w:tcW w:w="169" w:type="pct"/>
            <w:tcBorders>
              <w:top w:val="single" w:sz="4" w:space="0" w:color="auto"/>
              <w:left w:val="single" w:sz="4" w:space="0" w:color="auto"/>
              <w:right w:val="single" w:sz="4" w:space="0" w:color="auto"/>
            </w:tcBorders>
            <w:shd w:val="clear" w:color="auto" w:fill="auto"/>
          </w:tcPr>
          <w:p w14:paraId="23493813" w14:textId="15E4194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40D538D" w14:textId="77777777" w:rsidR="000B4BD4" w:rsidRPr="0035187E" w:rsidRDefault="000B4BD4" w:rsidP="0035187E">
            <w:pPr>
              <w:numPr>
                <w:ilvl w:val="0"/>
                <w:numId w:val="53"/>
              </w:numPr>
              <w:ind w:left="0" w:firstLine="0"/>
              <w:contextualSpacing/>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K § 14 odst. 4</w:t>
            </w:r>
          </w:p>
          <w:p w14:paraId="4AF8EB59" w14:textId="76EE1221"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i/>
                <w:iCs/>
                <w:sz w:val="20"/>
                <w:szCs w:val="20"/>
              </w:rPr>
              <w:t>“které se nachází mimo provozovnu”</w:t>
            </w:r>
            <w:r w:rsidRPr="0035187E">
              <w:rPr>
                <w:rFonts w:ascii="Times New Roman" w:hAnsi="Times New Roman" w:cs="Times New Roman"/>
                <w:sz w:val="20"/>
                <w:szCs w:val="20"/>
              </w:rPr>
              <w:t xml:space="preserve"> - v důvodové zprávě je uvedeno, že lesní bar není provozovnou. Historicky jsem se setkali s výkladem, že lesní bar je jednoznačně provozovnou ve smyslu živnostenského zákona. Doporučujeme tedy zvážit, jestli je tato část důvodové zprávy správně.</w:t>
            </w:r>
          </w:p>
        </w:tc>
        <w:tc>
          <w:tcPr>
            <w:tcW w:w="1453" w:type="pct"/>
            <w:tcBorders>
              <w:top w:val="single" w:sz="4" w:space="0" w:color="auto"/>
              <w:left w:val="single" w:sz="4" w:space="0" w:color="auto"/>
              <w:right w:val="single" w:sz="4" w:space="0" w:color="auto"/>
            </w:tcBorders>
            <w:shd w:val="clear" w:color="auto" w:fill="auto"/>
          </w:tcPr>
          <w:p w14:paraId="2488182F" w14:textId="77777777" w:rsidR="000B4BD4" w:rsidRPr="0035187E" w:rsidRDefault="00BF7A34" w:rsidP="0035187E">
            <w:pPr>
              <w:jc w:val="both"/>
              <w:rPr>
                <w:rFonts w:ascii="Times New Roman" w:hAnsi="Times New Roman" w:cs="Times New Roman"/>
                <w:b/>
                <w:iCs/>
                <w:sz w:val="20"/>
                <w:szCs w:val="20"/>
              </w:rPr>
            </w:pPr>
            <w:r w:rsidRPr="0035187E">
              <w:rPr>
                <w:rFonts w:ascii="Times New Roman" w:hAnsi="Times New Roman" w:cs="Times New Roman"/>
                <w:b/>
                <w:iCs/>
                <w:sz w:val="20"/>
                <w:szCs w:val="20"/>
              </w:rPr>
              <w:t>Vysvětleno.</w:t>
            </w:r>
          </w:p>
          <w:p w14:paraId="4A6982E2" w14:textId="7EFE0C10" w:rsidR="00BF7A34" w:rsidRPr="0035187E" w:rsidRDefault="00BF7A34" w:rsidP="0035187E">
            <w:pPr>
              <w:jc w:val="both"/>
              <w:rPr>
                <w:rFonts w:ascii="Times New Roman" w:hAnsi="Times New Roman" w:cs="Times New Roman"/>
                <w:i/>
                <w:sz w:val="20"/>
                <w:szCs w:val="20"/>
              </w:rPr>
            </w:pPr>
            <w:r w:rsidRPr="0035187E">
              <w:rPr>
                <w:rFonts w:ascii="Times New Roman" w:hAnsi="Times New Roman" w:cs="Times New Roman"/>
                <w:iCs/>
                <w:sz w:val="20"/>
                <w:szCs w:val="20"/>
              </w:rPr>
              <w:t>Důvodová zpráva neříká, že lesní bar není provozovnou.</w:t>
            </w:r>
          </w:p>
        </w:tc>
      </w:tr>
      <w:tr w:rsidR="0035187E" w:rsidRPr="0035187E" w14:paraId="4A03B841"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A219C5A" w14:textId="7AE1994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46.</w:t>
            </w:r>
          </w:p>
        </w:tc>
        <w:tc>
          <w:tcPr>
            <w:tcW w:w="583" w:type="pct"/>
            <w:tcBorders>
              <w:top w:val="single" w:sz="4" w:space="0" w:color="auto"/>
              <w:left w:val="single" w:sz="4" w:space="0" w:color="auto"/>
              <w:right w:val="single" w:sz="4" w:space="0" w:color="auto"/>
            </w:tcBorders>
            <w:shd w:val="clear" w:color="auto" w:fill="auto"/>
          </w:tcPr>
          <w:p w14:paraId="36780635" w14:textId="3BC26E5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Komora daňových poradců ČR</w:t>
            </w:r>
          </w:p>
        </w:tc>
        <w:tc>
          <w:tcPr>
            <w:tcW w:w="168" w:type="pct"/>
            <w:tcBorders>
              <w:top w:val="single" w:sz="4" w:space="0" w:color="auto"/>
              <w:left w:val="single" w:sz="4" w:space="0" w:color="auto"/>
              <w:right w:val="single" w:sz="4" w:space="0" w:color="auto"/>
            </w:tcBorders>
            <w:shd w:val="clear" w:color="auto" w:fill="auto"/>
          </w:tcPr>
          <w:p w14:paraId="3592ED1B" w14:textId="252EC2B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19.</w:t>
            </w:r>
          </w:p>
        </w:tc>
        <w:tc>
          <w:tcPr>
            <w:tcW w:w="169" w:type="pct"/>
            <w:tcBorders>
              <w:top w:val="single" w:sz="4" w:space="0" w:color="auto"/>
              <w:left w:val="single" w:sz="4" w:space="0" w:color="auto"/>
              <w:right w:val="single" w:sz="4" w:space="0" w:color="auto"/>
            </w:tcBorders>
            <w:shd w:val="clear" w:color="auto" w:fill="auto"/>
          </w:tcPr>
          <w:p w14:paraId="609EF415" w14:textId="0DF08DE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D9194AD" w14:textId="77777777" w:rsidR="000B4BD4" w:rsidRPr="0035187E" w:rsidRDefault="000B4BD4" w:rsidP="0035187E">
            <w:pPr>
              <w:numPr>
                <w:ilvl w:val="0"/>
                <w:numId w:val="53"/>
              </w:numPr>
              <w:ind w:left="0" w:firstLine="0"/>
              <w:contextualSpacing/>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K § 15</w:t>
            </w:r>
          </w:p>
          <w:p w14:paraId="650194BA"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Návrh umožňuje získat certifikát pouze prostřednictvím daňové informační schránky. To fakticky znemožňuje využít pro získání certifikátu institut zastoupení, resp. zmocnění. Mnoho poplatníků přenechává plnění svých daňových a jiných povinností zmocněnci (daňový poradce, advokát, účetní apod.) a svojí daňovou informační schránku neobsluhuje. </w:t>
            </w:r>
          </w:p>
          <w:p w14:paraId="08B38249"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Získání certifikátu výhradně prostřednictvím daňové informační schránky tak vyžaduje ze strany každého poplatníka, včetně malých OSVČ, „osobní návštěvu“ daňové informační schránky buď za účelem přímo získání certifikátu nebo za účelem pověření jiného uživatele přístupem do daňové informační schránky.  Tato skutečnost může být v případě zejména starších OSVČ výraznou administrativní překážkou. </w:t>
            </w:r>
          </w:p>
          <w:p w14:paraId="6999CE68"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Předešlý zákon o EET (112/2016 Sb.) umožňoval získat tzv. autentizační údaje na základě prostého zmocnění podle § 27 DŘ.</w:t>
            </w:r>
          </w:p>
          <w:p w14:paraId="4C906C35"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Navrhujeme proto technicky i právně přizpůsobit proces získání certifikátu tak, aby jej bylo možno získat i na základě písemného zmocnění.</w:t>
            </w:r>
          </w:p>
          <w:p w14:paraId="4D06AA36" w14:textId="78F29724"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sz w:val="20"/>
                <w:szCs w:val="20"/>
              </w:rPr>
              <w:t>Obdobně navrhujeme i přístup k evidovaným údajům (dle § 23) umožnit prostřednictvím jiného systému, než DIS+.</w:t>
            </w:r>
          </w:p>
        </w:tc>
        <w:tc>
          <w:tcPr>
            <w:tcW w:w="1453" w:type="pct"/>
            <w:tcBorders>
              <w:top w:val="single" w:sz="4" w:space="0" w:color="auto"/>
              <w:left w:val="single" w:sz="4" w:space="0" w:color="auto"/>
              <w:right w:val="single" w:sz="4" w:space="0" w:color="auto"/>
            </w:tcBorders>
            <w:shd w:val="clear" w:color="auto" w:fill="auto"/>
          </w:tcPr>
          <w:p w14:paraId="36B0D994" w14:textId="77777777" w:rsidR="00BF7A34" w:rsidRPr="0035187E" w:rsidRDefault="00BF7A34" w:rsidP="0035187E">
            <w:pPr>
              <w:jc w:val="both"/>
              <w:rPr>
                <w:rFonts w:ascii="Times New Roman" w:hAnsi="Times New Roman" w:cs="Times New Roman"/>
                <w:b/>
                <w:sz w:val="20"/>
                <w:szCs w:val="20"/>
              </w:rPr>
            </w:pPr>
            <w:r w:rsidRPr="0035187E">
              <w:rPr>
                <w:rFonts w:ascii="Times New Roman" w:hAnsi="Times New Roman" w:cs="Times New Roman"/>
                <w:b/>
                <w:sz w:val="20"/>
                <w:szCs w:val="20"/>
              </w:rPr>
              <w:t>Nevyhověno.</w:t>
            </w:r>
          </w:p>
          <w:p w14:paraId="13BCB8A1" w14:textId="62DDB3F7" w:rsidR="000B4BD4" w:rsidRPr="0035187E" w:rsidRDefault="00BF7A34" w:rsidP="0035187E">
            <w:pPr>
              <w:jc w:val="both"/>
              <w:rPr>
                <w:rFonts w:ascii="Times New Roman" w:hAnsi="Times New Roman" w:cs="Times New Roman"/>
                <w:i/>
                <w:sz w:val="20"/>
                <w:szCs w:val="20"/>
              </w:rPr>
            </w:pPr>
            <w:r w:rsidRPr="0035187E">
              <w:rPr>
                <w:rFonts w:ascii="Times New Roman" w:hAnsi="Times New Roman" w:cs="Times New Roman"/>
                <w:sz w:val="20"/>
                <w:szCs w:val="20"/>
              </w:rPr>
              <w:t xml:space="preserve">Využití daňové informační schránky představuje do značné míry samoobslužný režim, který nevyžaduje interakci ve věci zkoumání zmocnění a jeho správně nastaveného rozsahu (a s tím související obtíže a značné zdržení). Pro poplatníky to sice obnáší nutnost prvotního osobního přihlášení (s možnou asistencí), ale další aktivita se může být díky následné delegaci příslušných oprávnění na fyzické osoby pověřené skrze daňovou informační schránku obejít bez jejich dalšího osobního zapojení. Jde o princip obdobný (nikoli </w:t>
            </w:r>
            <w:proofErr w:type="gramStart"/>
            <w:r w:rsidRPr="0035187E">
              <w:rPr>
                <w:rFonts w:ascii="Times New Roman" w:hAnsi="Times New Roman" w:cs="Times New Roman"/>
                <w:sz w:val="20"/>
                <w:szCs w:val="20"/>
              </w:rPr>
              <w:t>stejný)  jako</w:t>
            </w:r>
            <w:proofErr w:type="gramEnd"/>
            <w:r w:rsidRPr="0035187E">
              <w:rPr>
                <w:rFonts w:ascii="Times New Roman" w:hAnsi="Times New Roman" w:cs="Times New Roman"/>
                <w:sz w:val="20"/>
                <w:szCs w:val="20"/>
              </w:rPr>
              <w:t xml:space="preserve"> při využívání datových schránek. Ve výše uvedeném nelze spatřovat natolik zásadní obtíž, která by mohla způsobit obtížně překonatelnou překážku bránící podnikatelům řádné plnění jejich povinností.</w:t>
            </w:r>
          </w:p>
        </w:tc>
      </w:tr>
      <w:tr w:rsidR="0035187E" w:rsidRPr="0035187E" w14:paraId="2ED9490F"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BC05F32" w14:textId="2D10044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46.</w:t>
            </w:r>
          </w:p>
        </w:tc>
        <w:tc>
          <w:tcPr>
            <w:tcW w:w="583" w:type="pct"/>
            <w:tcBorders>
              <w:top w:val="single" w:sz="4" w:space="0" w:color="auto"/>
              <w:left w:val="single" w:sz="4" w:space="0" w:color="auto"/>
              <w:right w:val="single" w:sz="4" w:space="0" w:color="auto"/>
            </w:tcBorders>
            <w:shd w:val="clear" w:color="auto" w:fill="auto"/>
          </w:tcPr>
          <w:p w14:paraId="6E10C2E0" w14:textId="5A81F21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Komora daňových poradců ČR</w:t>
            </w:r>
          </w:p>
        </w:tc>
        <w:tc>
          <w:tcPr>
            <w:tcW w:w="168" w:type="pct"/>
            <w:tcBorders>
              <w:top w:val="single" w:sz="4" w:space="0" w:color="auto"/>
              <w:left w:val="single" w:sz="4" w:space="0" w:color="auto"/>
              <w:right w:val="single" w:sz="4" w:space="0" w:color="auto"/>
            </w:tcBorders>
            <w:shd w:val="clear" w:color="auto" w:fill="auto"/>
          </w:tcPr>
          <w:p w14:paraId="1410F0AE" w14:textId="621834B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20.</w:t>
            </w:r>
          </w:p>
        </w:tc>
        <w:tc>
          <w:tcPr>
            <w:tcW w:w="169" w:type="pct"/>
            <w:tcBorders>
              <w:top w:val="single" w:sz="4" w:space="0" w:color="auto"/>
              <w:left w:val="single" w:sz="4" w:space="0" w:color="auto"/>
              <w:right w:val="single" w:sz="4" w:space="0" w:color="auto"/>
            </w:tcBorders>
            <w:shd w:val="clear" w:color="auto" w:fill="auto"/>
          </w:tcPr>
          <w:p w14:paraId="68EE0CDD" w14:textId="55AC204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F5750A3" w14:textId="77777777" w:rsidR="000B4BD4" w:rsidRPr="0035187E" w:rsidRDefault="000B4BD4" w:rsidP="0035187E">
            <w:pPr>
              <w:numPr>
                <w:ilvl w:val="0"/>
                <w:numId w:val="53"/>
              </w:numPr>
              <w:ind w:left="0" w:firstLine="0"/>
              <w:contextualSpacing/>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 xml:space="preserve">K § 17 </w:t>
            </w:r>
          </w:p>
          <w:p w14:paraId="0F706955" w14:textId="24E153A1"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sz w:val="20"/>
                <w:szCs w:val="20"/>
              </w:rPr>
              <w:t xml:space="preserve">Požadavek zákona evidovat tržbu již při jejím zadání je vysvětlen v důvodové zprávě. Zákon samotný by měl být formulován tak, aby byl srozumitelný bez čtení důvodové </w:t>
            </w:r>
            <w:r w:rsidRPr="0035187E">
              <w:rPr>
                <w:rFonts w:ascii="Times New Roman" w:hAnsi="Times New Roman" w:cs="Times New Roman"/>
                <w:sz w:val="20"/>
                <w:szCs w:val="20"/>
              </w:rPr>
              <w:lastRenderedPageBreak/>
              <w:t>zprávy. Navrhujeme zpřesnit formulaci požadavku na evidování tržby při zadání, aby bylo zřejmé, že se poplatník o zadání musí nezpochybnitelným způsobem dozvědět.</w:t>
            </w:r>
          </w:p>
        </w:tc>
        <w:tc>
          <w:tcPr>
            <w:tcW w:w="1453" w:type="pct"/>
            <w:tcBorders>
              <w:top w:val="single" w:sz="4" w:space="0" w:color="auto"/>
              <w:left w:val="single" w:sz="4" w:space="0" w:color="auto"/>
              <w:right w:val="single" w:sz="4" w:space="0" w:color="auto"/>
            </w:tcBorders>
            <w:shd w:val="clear" w:color="auto" w:fill="auto"/>
          </w:tcPr>
          <w:p w14:paraId="6D6ADDE5" w14:textId="77777777" w:rsidR="000B4BD4" w:rsidRPr="0035187E" w:rsidRDefault="008A5C47" w:rsidP="0035187E">
            <w:pPr>
              <w:jc w:val="both"/>
              <w:rPr>
                <w:rFonts w:ascii="Times New Roman" w:hAnsi="Times New Roman" w:cs="Times New Roman"/>
                <w:b/>
                <w:iCs/>
                <w:sz w:val="20"/>
                <w:szCs w:val="20"/>
              </w:rPr>
            </w:pPr>
            <w:r w:rsidRPr="0035187E">
              <w:rPr>
                <w:rFonts w:ascii="Times New Roman" w:hAnsi="Times New Roman" w:cs="Times New Roman"/>
                <w:b/>
                <w:iCs/>
                <w:sz w:val="20"/>
                <w:szCs w:val="20"/>
              </w:rPr>
              <w:lastRenderedPageBreak/>
              <w:t>Vysvětleno.</w:t>
            </w:r>
          </w:p>
          <w:p w14:paraId="579B100C" w14:textId="77777777" w:rsidR="001C117E" w:rsidRPr="0035187E" w:rsidRDefault="008A5C47"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Není zřejmé, odkud připomínkové místo dovozuje požadavek na zaevidování tržby při jejím „</w:t>
            </w:r>
            <w:r w:rsidRPr="0035187E">
              <w:rPr>
                <w:rFonts w:ascii="Times New Roman" w:hAnsi="Times New Roman" w:cs="Times New Roman"/>
                <w:i/>
                <w:iCs/>
                <w:sz w:val="20"/>
                <w:szCs w:val="20"/>
              </w:rPr>
              <w:t>zadání“</w:t>
            </w:r>
            <w:r w:rsidRPr="0035187E">
              <w:rPr>
                <w:rFonts w:ascii="Times New Roman" w:hAnsi="Times New Roman" w:cs="Times New Roman"/>
                <w:iCs/>
                <w:sz w:val="20"/>
                <w:szCs w:val="20"/>
              </w:rPr>
              <w:t xml:space="preserve">. </w:t>
            </w:r>
            <w:r w:rsidRPr="0035187E">
              <w:rPr>
                <w:rFonts w:ascii="Times New Roman" w:hAnsi="Times New Roman" w:cs="Times New Roman"/>
                <w:iCs/>
                <w:sz w:val="20"/>
                <w:szCs w:val="20"/>
              </w:rPr>
              <w:lastRenderedPageBreak/>
              <w:t>Návrh v tomto ohledu pracuje s pojmem „</w:t>
            </w:r>
            <w:r w:rsidRPr="0035187E">
              <w:rPr>
                <w:rFonts w:ascii="Times New Roman" w:hAnsi="Times New Roman" w:cs="Times New Roman"/>
                <w:i/>
                <w:iCs/>
                <w:sz w:val="20"/>
                <w:szCs w:val="20"/>
              </w:rPr>
              <w:t>uskutečnění“</w:t>
            </w:r>
            <w:r w:rsidRPr="0035187E">
              <w:rPr>
                <w:rFonts w:ascii="Times New Roman" w:hAnsi="Times New Roman" w:cs="Times New Roman"/>
                <w:iCs/>
                <w:sz w:val="20"/>
                <w:szCs w:val="20"/>
              </w:rPr>
              <w:t xml:space="preserve">, který vymezuje v § 17 odst. 2. </w:t>
            </w:r>
          </w:p>
          <w:p w14:paraId="66859CB2" w14:textId="2A4F0319" w:rsidR="001C117E" w:rsidRPr="0035187E" w:rsidRDefault="008A5C47" w:rsidP="0035187E">
            <w:pPr>
              <w:jc w:val="both"/>
              <w:rPr>
                <w:rFonts w:ascii="Times New Roman" w:hAnsi="Times New Roman" w:cs="Times New Roman"/>
                <w:i/>
                <w:sz w:val="20"/>
                <w:szCs w:val="20"/>
              </w:rPr>
            </w:pPr>
            <w:r w:rsidRPr="0035187E">
              <w:rPr>
                <w:rFonts w:ascii="Times New Roman" w:hAnsi="Times New Roman" w:cs="Times New Roman"/>
                <w:iCs/>
                <w:sz w:val="20"/>
                <w:szCs w:val="20"/>
              </w:rPr>
              <w:t>Zadáním by bylo možné rozumět aktivitu poplatníka směřující k zaslání údajů o evidované tržbě (zpravidla obsluhou pokladního zařízení). Vhledem k tomu, že jde o aktivitu poplatníka (</w:t>
            </w:r>
            <w:r w:rsidR="001C117E" w:rsidRPr="0035187E">
              <w:rPr>
                <w:rFonts w:ascii="Times New Roman" w:hAnsi="Times New Roman" w:cs="Times New Roman"/>
                <w:iCs/>
                <w:sz w:val="20"/>
                <w:szCs w:val="20"/>
              </w:rPr>
              <w:t xml:space="preserve">zpravidla </w:t>
            </w:r>
            <w:r w:rsidRPr="0035187E">
              <w:rPr>
                <w:rFonts w:ascii="Times New Roman" w:hAnsi="Times New Roman" w:cs="Times New Roman"/>
                <w:iCs/>
                <w:sz w:val="20"/>
                <w:szCs w:val="20"/>
              </w:rPr>
              <w:t xml:space="preserve">osoby </w:t>
            </w:r>
            <w:r w:rsidR="001C117E" w:rsidRPr="0035187E">
              <w:rPr>
                <w:rFonts w:ascii="Times New Roman" w:hAnsi="Times New Roman" w:cs="Times New Roman"/>
                <w:iCs/>
                <w:sz w:val="20"/>
                <w:szCs w:val="20"/>
              </w:rPr>
              <w:t>obsluhující pokladní zařízení</w:t>
            </w:r>
            <w:r w:rsidRPr="0035187E">
              <w:rPr>
                <w:rFonts w:ascii="Times New Roman" w:hAnsi="Times New Roman" w:cs="Times New Roman"/>
                <w:iCs/>
                <w:sz w:val="20"/>
                <w:szCs w:val="20"/>
              </w:rPr>
              <w:t>), není jasné, jak by se o této aktivitě nemohl dozvědět.</w:t>
            </w:r>
            <w:r w:rsidR="001C117E" w:rsidRPr="0035187E">
              <w:rPr>
                <w:rFonts w:ascii="Times New Roman" w:hAnsi="Times New Roman" w:cs="Times New Roman"/>
                <w:iCs/>
                <w:sz w:val="20"/>
                <w:szCs w:val="20"/>
              </w:rPr>
              <w:t xml:space="preserve"> Nicméně zákon ani důvodová zpráva s pojmem „zadání“ v souvislosti s povinností zaevidovat tržbu nepracuje a text připomínky je tedy zmatečný.</w:t>
            </w:r>
          </w:p>
        </w:tc>
      </w:tr>
      <w:tr w:rsidR="0035187E" w:rsidRPr="0035187E" w14:paraId="634572FD"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0D4899B" w14:textId="46320AD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46.</w:t>
            </w:r>
          </w:p>
        </w:tc>
        <w:tc>
          <w:tcPr>
            <w:tcW w:w="583" w:type="pct"/>
            <w:tcBorders>
              <w:top w:val="single" w:sz="4" w:space="0" w:color="auto"/>
              <w:left w:val="single" w:sz="4" w:space="0" w:color="auto"/>
              <w:right w:val="single" w:sz="4" w:space="0" w:color="auto"/>
            </w:tcBorders>
            <w:shd w:val="clear" w:color="auto" w:fill="auto"/>
          </w:tcPr>
          <w:p w14:paraId="54AFF23F" w14:textId="08D6BED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Komora daňových poradců ČR</w:t>
            </w:r>
          </w:p>
        </w:tc>
        <w:tc>
          <w:tcPr>
            <w:tcW w:w="168" w:type="pct"/>
            <w:tcBorders>
              <w:top w:val="single" w:sz="4" w:space="0" w:color="auto"/>
              <w:left w:val="single" w:sz="4" w:space="0" w:color="auto"/>
              <w:right w:val="single" w:sz="4" w:space="0" w:color="auto"/>
            </w:tcBorders>
            <w:shd w:val="clear" w:color="auto" w:fill="auto"/>
          </w:tcPr>
          <w:p w14:paraId="7CED4D26" w14:textId="40D3A8E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21.</w:t>
            </w:r>
          </w:p>
        </w:tc>
        <w:tc>
          <w:tcPr>
            <w:tcW w:w="169" w:type="pct"/>
            <w:tcBorders>
              <w:top w:val="single" w:sz="4" w:space="0" w:color="auto"/>
              <w:left w:val="single" w:sz="4" w:space="0" w:color="auto"/>
              <w:right w:val="single" w:sz="4" w:space="0" w:color="auto"/>
            </w:tcBorders>
            <w:shd w:val="clear" w:color="auto" w:fill="auto"/>
          </w:tcPr>
          <w:p w14:paraId="36B5AB15" w14:textId="1302CA0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19CA5D3" w14:textId="77777777" w:rsidR="000B4BD4" w:rsidRPr="0035187E" w:rsidRDefault="000B4BD4" w:rsidP="0035187E">
            <w:pPr>
              <w:numPr>
                <w:ilvl w:val="0"/>
                <w:numId w:val="53"/>
              </w:numPr>
              <w:ind w:left="0" w:firstLine="0"/>
              <w:contextualSpacing/>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K § 17 odst. 1</w:t>
            </w:r>
          </w:p>
          <w:p w14:paraId="41923C03"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i/>
                <w:iCs/>
                <w:sz w:val="20"/>
                <w:szCs w:val="20"/>
              </w:rPr>
              <w:t>„nejpozději při jejím uskutečnění”</w:t>
            </w:r>
            <w:r w:rsidRPr="0035187E">
              <w:rPr>
                <w:rFonts w:ascii="Times New Roman" w:hAnsi="Times New Roman" w:cs="Times New Roman"/>
                <w:sz w:val="20"/>
                <w:szCs w:val="20"/>
              </w:rPr>
              <w:t xml:space="preserve"> - zákon požaduje odeslání zprávy v momentě přijetí tržby, což u drobného podnikatele bez pokladního systému nemusí být prakticky možné. Zákon klade bezdůvodné požadavky. Není totiž vůbec zřejmé, jak je ohrožen smysl a účel zákona tím, jestli bude tržba evidována v momentě přijetí tržby, nebo o minutu a půl později, či na konci dne.</w:t>
            </w:r>
          </w:p>
          <w:p w14:paraId="72711D44" w14:textId="77777777" w:rsidR="000B4BD4" w:rsidRPr="0035187E" w:rsidRDefault="000B4BD4" w:rsidP="0035187E">
            <w:pPr>
              <w:pStyle w:val="Odstavecseseznamem"/>
              <w:ind w:left="0"/>
              <w:contextualSpacing w:val="0"/>
              <w:jc w:val="both"/>
              <w:rPr>
                <w:rFonts w:ascii="Times New Roman" w:hAnsi="Times New Roman"/>
                <w:bCs/>
                <w:sz w:val="20"/>
                <w:szCs w:val="20"/>
              </w:rPr>
            </w:pPr>
          </w:p>
        </w:tc>
        <w:tc>
          <w:tcPr>
            <w:tcW w:w="1453" w:type="pct"/>
            <w:tcBorders>
              <w:top w:val="single" w:sz="4" w:space="0" w:color="auto"/>
              <w:left w:val="single" w:sz="4" w:space="0" w:color="auto"/>
              <w:right w:val="single" w:sz="4" w:space="0" w:color="auto"/>
            </w:tcBorders>
            <w:shd w:val="clear" w:color="auto" w:fill="auto"/>
          </w:tcPr>
          <w:p w14:paraId="71694116" w14:textId="15F1DFD5" w:rsidR="000B4BD4" w:rsidRPr="0035187E" w:rsidRDefault="006E6CCE" w:rsidP="0035187E">
            <w:pPr>
              <w:jc w:val="both"/>
              <w:rPr>
                <w:rFonts w:ascii="Times New Roman" w:hAnsi="Times New Roman" w:cs="Times New Roman"/>
                <w:b/>
                <w:iCs/>
                <w:sz w:val="20"/>
                <w:szCs w:val="20"/>
              </w:rPr>
            </w:pPr>
            <w:r w:rsidRPr="0035187E">
              <w:rPr>
                <w:rFonts w:ascii="Times New Roman" w:hAnsi="Times New Roman" w:cs="Times New Roman"/>
                <w:b/>
                <w:iCs/>
                <w:sz w:val="20"/>
                <w:szCs w:val="20"/>
              </w:rPr>
              <w:t>Bere se na vědomí.</w:t>
            </w:r>
          </w:p>
          <w:p w14:paraId="787CB555" w14:textId="2A12EC52" w:rsidR="004F0DBA" w:rsidRPr="0035187E" w:rsidRDefault="006E6CCE" w:rsidP="0035187E">
            <w:pPr>
              <w:jc w:val="both"/>
              <w:rPr>
                <w:rFonts w:ascii="Times New Roman" w:hAnsi="Times New Roman" w:cs="Times New Roman"/>
                <w:sz w:val="20"/>
                <w:szCs w:val="20"/>
              </w:rPr>
            </w:pPr>
            <w:r w:rsidRPr="0035187E">
              <w:rPr>
                <w:rFonts w:ascii="Times New Roman" w:hAnsi="Times New Roman" w:cs="Times New Roman"/>
                <w:sz w:val="20"/>
                <w:szCs w:val="20"/>
              </w:rPr>
              <w:t>Způsob evidování tržeb je postaven na principu on-line evidence v reálném čase. Taková metoda zajišťuje významné snížení rizika pozdější manipulace s daty a jejich zkreslování.</w:t>
            </w:r>
          </w:p>
        </w:tc>
      </w:tr>
      <w:tr w:rsidR="0035187E" w:rsidRPr="0035187E" w14:paraId="57DF4A2F"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A595083" w14:textId="3162E9D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46.</w:t>
            </w:r>
          </w:p>
        </w:tc>
        <w:tc>
          <w:tcPr>
            <w:tcW w:w="583" w:type="pct"/>
            <w:tcBorders>
              <w:top w:val="single" w:sz="4" w:space="0" w:color="auto"/>
              <w:left w:val="single" w:sz="4" w:space="0" w:color="auto"/>
              <w:right w:val="single" w:sz="4" w:space="0" w:color="auto"/>
            </w:tcBorders>
            <w:shd w:val="clear" w:color="auto" w:fill="auto"/>
          </w:tcPr>
          <w:p w14:paraId="4F72B46A" w14:textId="3AB17A0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Komora daňových poradců ČR</w:t>
            </w:r>
          </w:p>
        </w:tc>
        <w:tc>
          <w:tcPr>
            <w:tcW w:w="168" w:type="pct"/>
            <w:tcBorders>
              <w:top w:val="single" w:sz="4" w:space="0" w:color="auto"/>
              <w:left w:val="single" w:sz="4" w:space="0" w:color="auto"/>
              <w:right w:val="single" w:sz="4" w:space="0" w:color="auto"/>
            </w:tcBorders>
            <w:shd w:val="clear" w:color="auto" w:fill="auto"/>
          </w:tcPr>
          <w:p w14:paraId="7E80260A" w14:textId="18108EA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22.</w:t>
            </w:r>
          </w:p>
        </w:tc>
        <w:tc>
          <w:tcPr>
            <w:tcW w:w="169" w:type="pct"/>
            <w:tcBorders>
              <w:top w:val="single" w:sz="4" w:space="0" w:color="auto"/>
              <w:left w:val="single" w:sz="4" w:space="0" w:color="auto"/>
              <w:right w:val="single" w:sz="4" w:space="0" w:color="auto"/>
            </w:tcBorders>
            <w:shd w:val="clear" w:color="auto" w:fill="auto"/>
          </w:tcPr>
          <w:p w14:paraId="15403E2E" w14:textId="4E3E8C4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F992ADD" w14:textId="77777777" w:rsidR="000B4BD4" w:rsidRPr="0035187E" w:rsidRDefault="000B4BD4" w:rsidP="0035187E">
            <w:pPr>
              <w:numPr>
                <w:ilvl w:val="0"/>
                <w:numId w:val="53"/>
              </w:numPr>
              <w:ind w:left="0" w:firstLine="0"/>
              <w:contextualSpacing/>
              <w:jc w:val="both"/>
              <w:rPr>
                <w:rFonts w:ascii="Times New Roman" w:eastAsia="Calibri" w:hAnsi="Times New Roman" w:cs="Times New Roman"/>
                <w:b/>
                <w:sz w:val="20"/>
                <w:szCs w:val="20"/>
                <w:lang w:eastAsia="en-US"/>
              </w:rPr>
            </w:pPr>
            <w:r w:rsidRPr="0035187E">
              <w:rPr>
                <w:rFonts w:ascii="Times New Roman" w:eastAsia="Calibri" w:hAnsi="Times New Roman" w:cs="Times New Roman"/>
                <w:b/>
                <w:sz w:val="20"/>
                <w:szCs w:val="20"/>
                <w:lang w:eastAsia="en-US"/>
              </w:rPr>
              <w:t xml:space="preserve">K § </w:t>
            </w:r>
            <w:r w:rsidRPr="0035187E">
              <w:rPr>
                <w:rFonts w:ascii="Times New Roman" w:eastAsia="Calibri" w:hAnsi="Times New Roman" w:cs="Times New Roman"/>
                <w:b/>
                <w:bCs/>
                <w:sz w:val="20"/>
                <w:szCs w:val="20"/>
                <w:lang w:eastAsia="en-US"/>
              </w:rPr>
              <w:t>17</w:t>
            </w:r>
            <w:r w:rsidRPr="0035187E">
              <w:rPr>
                <w:rFonts w:ascii="Times New Roman" w:eastAsia="Calibri" w:hAnsi="Times New Roman" w:cs="Times New Roman"/>
                <w:b/>
                <w:sz w:val="20"/>
                <w:szCs w:val="20"/>
                <w:lang w:eastAsia="en-US"/>
              </w:rPr>
              <w:t xml:space="preserve"> odst. 2</w:t>
            </w:r>
          </w:p>
          <w:p w14:paraId="620E43DD"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Navrhujeme blíže definovat okamžik uskutečnění tržby s ohledem na okamžik, kdy se poplatník o přijetí tržby mohl dozvědět. V případě bezhotovostních plateb plátce vždy vydává příkaz k provedení evidované tržby dříve, než je evidovaná tržba přijata na účet příjemce platby, přičemž návrh zákona spojuje povinnost evidence s objektivním skutečností (vydání příkazu k platbě), nikoliv se subjektivní možností (plátce se o přijetí tržby dozvěděl nebo dozvědět mohl). Návrh zákona nestanoví objektivní ani subjektivní lhůtu, ve které lze nejpozději tržbu evidovat.  </w:t>
            </w:r>
          </w:p>
          <w:p w14:paraId="5C9E1797" w14:textId="5C522B1B"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sz w:val="20"/>
                <w:szCs w:val="20"/>
              </w:rPr>
              <w:t>Navrhujeme zavést možnost souhrnné denní evidence tržeb, přičemž evidenční povinnost by bylo možné splnit např. do konce následujícího pracovního dne.</w:t>
            </w:r>
          </w:p>
        </w:tc>
        <w:tc>
          <w:tcPr>
            <w:tcW w:w="1453" w:type="pct"/>
            <w:tcBorders>
              <w:top w:val="single" w:sz="4" w:space="0" w:color="auto"/>
              <w:left w:val="single" w:sz="4" w:space="0" w:color="auto"/>
              <w:right w:val="single" w:sz="4" w:space="0" w:color="auto"/>
            </w:tcBorders>
            <w:shd w:val="clear" w:color="auto" w:fill="auto"/>
          </w:tcPr>
          <w:p w14:paraId="2C9A17EA" w14:textId="7DC00808" w:rsidR="003D744E" w:rsidRPr="0035187E" w:rsidRDefault="003D744E" w:rsidP="0035187E">
            <w:pPr>
              <w:jc w:val="both"/>
              <w:rPr>
                <w:rFonts w:ascii="Times New Roman" w:hAnsi="Times New Roman" w:cs="Times New Roman"/>
                <w:b/>
                <w:iCs/>
                <w:sz w:val="20"/>
                <w:szCs w:val="20"/>
              </w:rPr>
            </w:pPr>
            <w:r w:rsidRPr="0035187E">
              <w:rPr>
                <w:rFonts w:ascii="Times New Roman" w:hAnsi="Times New Roman" w:cs="Times New Roman"/>
                <w:b/>
                <w:iCs/>
                <w:sz w:val="20"/>
                <w:szCs w:val="20"/>
              </w:rPr>
              <w:t>Nevyhověno.</w:t>
            </w:r>
          </w:p>
          <w:p w14:paraId="2E942F98" w14:textId="77777777" w:rsidR="003D744E" w:rsidRPr="0035187E" w:rsidRDefault="003D744E" w:rsidP="0035187E">
            <w:pPr>
              <w:jc w:val="both"/>
              <w:rPr>
                <w:rFonts w:ascii="Times New Roman" w:hAnsi="Times New Roman" w:cs="Times New Roman"/>
                <w:sz w:val="20"/>
                <w:szCs w:val="20"/>
              </w:rPr>
            </w:pPr>
            <w:r w:rsidRPr="0035187E">
              <w:rPr>
                <w:rFonts w:ascii="Times New Roman" w:hAnsi="Times New Roman" w:cs="Times New Roman"/>
                <w:sz w:val="20"/>
                <w:szCs w:val="20"/>
              </w:rPr>
              <w:t>Způsob evidování tržeb je postaven na principu on-line evidence v reálném čase. Taková metoda zajišťuje významné snížení rizika pozdější manipulace s daty a jejich zkreslování.</w:t>
            </w:r>
          </w:p>
          <w:p w14:paraId="37FBF47E" w14:textId="6FA1E76D" w:rsidR="000B4BD4" w:rsidRPr="0035187E" w:rsidRDefault="000B4BD4" w:rsidP="0035187E">
            <w:pPr>
              <w:jc w:val="both"/>
              <w:rPr>
                <w:rFonts w:ascii="Times New Roman" w:hAnsi="Times New Roman" w:cs="Times New Roman"/>
                <w:i/>
                <w:sz w:val="20"/>
                <w:szCs w:val="20"/>
              </w:rPr>
            </w:pPr>
          </w:p>
        </w:tc>
      </w:tr>
      <w:tr w:rsidR="0035187E" w:rsidRPr="0035187E" w14:paraId="1C59E8AF"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C2DC0B2" w14:textId="45A33CB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46.</w:t>
            </w:r>
          </w:p>
        </w:tc>
        <w:tc>
          <w:tcPr>
            <w:tcW w:w="583" w:type="pct"/>
            <w:tcBorders>
              <w:top w:val="single" w:sz="4" w:space="0" w:color="auto"/>
              <w:left w:val="single" w:sz="4" w:space="0" w:color="auto"/>
              <w:right w:val="single" w:sz="4" w:space="0" w:color="auto"/>
            </w:tcBorders>
            <w:shd w:val="clear" w:color="auto" w:fill="auto"/>
          </w:tcPr>
          <w:p w14:paraId="72463B69" w14:textId="225D91C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Komora daňových poradců ČR</w:t>
            </w:r>
          </w:p>
        </w:tc>
        <w:tc>
          <w:tcPr>
            <w:tcW w:w="168" w:type="pct"/>
            <w:tcBorders>
              <w:top w:val="single" w:sz="4" w:space="0" w:color="auto"/>
              <w:left w:val="single" w:sz="4" w:space="0" w:color="auto"/>
              <w:right w:val="single" w:sz="4" w:space="0" w:color="auto"/>
            </w:tcBorders>
            <w:shd w:val="clear" w:color="auto" w:fill="auto"/>
          </w:tcPr>
          <w:p w14:paraId="0B6227AE" w14:textId="69297BC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23.</w:t>
            </w:r>
          </w:p>
        </w:tc>
        <w:tc>
          <w:tcPr>
            <w:tcW w:w="169" w:type="pct"/>
            <w:tcBorders>
              <w:top w:val="single" w:sz="4" w:space="0" w:color="auto"/>
              <w:left w:val="single" w:sz="4" w:space="0" w:color="auto"/>
              <w:right w:val="single" w:sz="4" w:space="0" w:color="auto"/>
            </w:tcBorders>
            <w:shd w:val="clear" w:color="auto" w:fill="auto"/>
          </w:tcPr>
          <w:p w14:paraId="4F98ED7D" w14:textId="777F01C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FD0E9F1" w14:textId="77777777" w:rsidR="000B4BD4" w:rsidRPr="0035187E" w:rsidRDefault="000B4BD4" w:rsidP="0035187E">
            <w:pPr>
              <w:numPr>
                <w:ilvl w:val="0"/>
                <w:numId w:val="53"/>
              </w:numPr>
              <w:ind w:left="0" w:firstLine="0"/>
              <w:contextualSpacing/>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K § 18 odst. 1</w:t>
            </w:r>
          </w:p>
          <w:p w14:paraId="38DBC5DA" w14:textId="32C38F4F"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sz w:val="20"/>
                <w:szCs w:val="20"/>
              </w:rPr>
              <w:t xml:space="preserve">Není zřejmé, co znamená označení </w:t>
            </w:r>
            <w:r w:rsidRPr="0035187E">
              <w:rPr>
                <w:rFonts w:ascii="Times New Roman" w:hAnsi="Times New Roman" w:cs="Times New Roman"/>
                <w:i/>
                <w:iCs/>
                <w:sz w:val="20"/>
                <w:szCs w:val="20"/>
              </w:rPr>
              <w:t>„pokladního označení“</w:t>
            </w:r>
            <w:r w:rsidRPr="0035187E">
              <w:rPr>
                <w:rFonts w:ascii="Times New Roman" w:hAnsi="Times New Roman" w:cs="Times New Roman"/>
                <w:sz w:val="20"/>
                <w:szCs w:val="20"/>
              </w:rPr>
              <w:t>, na kterém je tržba evidována. Navrhujeme tuto skutečnost specifikovat přímo v textu zákona. Stejně jako v případě připomínky k § 16 dále navrhujeme, aby případné nesprávné uvedení tohoto údaje (i zde se obáváme možného subjektivního vlivu) nepodléhalo žádné sankci.</w:t>
            </w:r>
          </w:p>
        </w:tc>
        <w:tc>
          <w:tcPr>
            <w:tcW w:w="1453" w:type="pct"/>
            <w:tcBorders>
              <w:top w:val="single" w:sz="4" w:space="0" w:color="auto"/>
              <w:left w:val="single" w:sz="4" w:space="0" w:color="auto"/>
              <w:right w:val="single" w:sz="4" w:space="0" w:color="auto"/>
            </w:tcBorders>
            <w:shd w:val="clear" w:color="auto" w:fill="auto"/>
          </w:tcPr>
          <w:p w14:paraId="39876D68" w14:textId="77777777" w:rsidR="000B4BD4" w:rsidRPr="0035187E" w:rsidRDefault="003D744E" w:rsidP="0035187E">
            <w:pPr>
              <w:jc w:val="both"/>
              <w:rPr>
                <w:rFonts w:ascii="Times New Roman" w:hAnsi="Times New Roman" w:cs="Times New Roman"/>
                <w:b/>
                <w:iCs/>
                <w:sz w:val="20"/>
                <w:szCs w:val="20"/>
              </w:rPr>
            </w:pPr>
            <w:r w:rsidRPr="0035187E">
              <w:rPr>
                <w:rFonts w:ascii="Times New Roman" w:hAnsi="Times New Roman" w:cs="Times New Roman"/>
                <w:b/>
                <w:iCs/>
                <w:sz w:val="20"/>
                <w:szCs w:val="20"/>
              </w:rPr>
              <w:t>Vysvětleno.</w:t>
            </w:r>
          </w:p>
          <w:p w14:paraId="6242162F" w14:textId="145803F3" w:rsidR="00093CDF" w:rsidRPr="0035187E" w:rsidRDefault="00351827" w:rsidP="0035187E">
            <w:pPr>
              <w:jc w:val="both"/>
              <w:rPr>
                <w:rFonts w:ascii="Times New Roman" w:hAnsi="Times New Roman" w:cs="Times New Roman"/>
                <w:sz w:val="20"/>
                <w:szCs w:val="20"/>
              </w:rPr>
            </w:pPr>
            <w:r w:rsidRPr="0035187E">
              <w:rPr>
                <w:rFonts w:ascii="Times New Roman" w:hAnsi="Times New Roman" w:cs="Times New Roman"/>
                <w:sz w:val="20"/>
                <w:szCs w:val="20"/>
              </w:rPr>
              <w:t>P</w:t>
            </w:r>
            <w:r w:rsidR="00E059E5" w:rsidRPr="0035187E">
              <w:rPr>
                <w:rFonts w:ascii="Times New Roman" w:hAnsi="Times New Roman" w:cs="Times New Roman"/>
                <w:sz w:val="20"/>
                <w:szCs w:val="20"/>
              </w:rPr>
              <w:t>řipomínkové místo mělo zřejmě na mysli „</w:t>
            </w:r>
            <w:r w:rsidR="00E059E5" w:rsidRPr="0035187E">
              <w:rPr>
                <w:rFonts w:ascii="Times New Roman" w:hAnsi="Times New Roman" w:cs="Times New Roman"/>
                <w:i/>
                <w:sz w:val="20"/>
                <w:szCs w:val="20"/>
              </w:rPr>
              <w:t>označení pokladního zařízení</w:t>
            </w:r>
            <w:r w:rsidR="00E059E5" w:rsidRPr="0035187E">
              <w:rPr>
                <w:rFonts w:ascii="Times New Roman" w:hAnsi="Times New Roman" w:cs="Times New Roman"/>
                <w:sz w:val="20"/>
                <w:szCs w:val="20"/>
              </w:rPr>
              <w:t xml:space="preserve">“. </w:t>
            </w:r>
            <w:r w:rsidR="003D744E" w:rsidRPr="0035187E">
              <w:rPr>
                <w:rFonts w:ascii="Times New Roman" w:hAnsi="Times New Roman" w:cs="Times New Roman"/>
                <w:sz w:val="20"/>
                <w:szCs w:val="20"/>
              </w:rPr>
              <w:t xml:space="preserve">Obsah </w:t>
            </w:r>
            <w:r w:rsidR="00E059E5" w:rsidRPr="0035187E">
              <w:rPr>
                <w:rFonts w:ascii="Times New Roman" w:hAnsi="Times New Roman" w:cs="Times New Roman"/>
                <w:sz w:val="20"/>
                <w:szCs w:val="20"/>
              </w:rPr>
              <w:t xml:space="preserve">tohoto </w:t>
            </w:r>
            <w:r w:rsidR="003D744E" w:rsidRPr="0035187E">
              <w:rPr>
                <w:rFonts w:ascii="Times New Roman" w:hAnsi="Times New Roman" w:cs="Times New Roman"/>
                <w:sz w:val="20"/>
                <w:szCs w:val="20"/>
              </w:rPr>
              <w:t>pojmu, který používal i předchozí zákon o evidenci tržeb, aniž by v praxi působil výkladové nejasnosti, plyne z obecného významu slov. Označení jednotlivých pokladních zařízení má význam tam, kde podnikatel k prodeji zboží nebo služeb využívá v dané provozovně více míst (typicky pokladny v supermarketech). Ty je zapotřebí číselně odlišit, aby při kontrole bylo patrné, u které pokladny</w:t>
            </w:r>
            <w:r w:rsidR="00093CDF" w:rsidRPr="0035187E">
              <w:rPr>
                <w:rFonts w:ascii="Times New Roman" w:hAnsi="Times New Roman" w:cs="Times New Roman"/>
                <w:sz w:val="20"/>
                <w:szCs w:val="20"/>
              </w:rPr>
              <w:t xml:space="preserve"> došlo k zaevidování tržby.</w:t>
            </w:r>
          </w:p>
        </w:tc>
      </w:tr>
      <w:tr w:rsidR="0035187E" w:rsidRPr="0035187E" w14:paraId="705953E1"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404052B9" w14:textId="7AAE297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46.</w:t>
            </w:r>
          </w:p>
        </w:tc>
        <w:tc>
          <w:tcPr>
            <w:tcW w:w="583" w:type="pct"/>
            <w:tcBorders>
              <w:top w:val="single" w:sz="4" w:space="0" w:color="auto"/>
              <w:left w:val="single" w:sz="4" w:space="0" w:color="auto"/>
              <w:right w:val="single" w:sz="4" w:space="0" w:color="auto"/>
            </w:tcBorders>
            <w:shd w:val="clear" w:color="auto" w:fill="auto"/>
          </w:tcPr>
          <w:p w14:paraId="7EB2522E" w14:textId="067A114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Komora daňových poradců ČR</w:t>
            </w:r>
          </w:p>
        </w:tc>
        <w:tc>
          <w:tcPr>
            <w:tcW w:w="168" w:type="pct"/>
            <w:tcBorders>
              <w:top w:val="single" w:sz="4" w:space="0" w:color="auto"/>
              <w:left w:val="single" w:sz="4" w:space="0" w:color="auto"/>
              <w:right w:val="single" w:sz="4" w:space="0" w:color="auto"/>
            </w:tcBorders>
            <w:shd w:val="clear" w:color="auto" w:fill="auto"/>
          </w:tcPr>
          <w:p w14:paraId="1A0799C9" w14:textId="3EDC15F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24.</w:t>
            </w:r>
          </w:p>
        </w:tc>
        <w:tc>
          <w:tcPr>
            <w:tcW w:w="169" w:type="pct"/>
            <w:tcBorders>
              <w:top w:val="single" w:sz="4" w:space="0" w:color="auto"/>
              <w:left w:val="single" w:sz="4" w:space="0" w:color="auto"/>
              <w:right w:val="single" w:sz="4" w:space="0" w:color="auto"/>
            </w:tcBorders>
            <w:shd w:val="clear" w:color="auto" w:fill="auto"/>
          </w:tcPr>
          <w:p w14:paraId="30A37D3A" w14:textId="1C433BE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49718F9" w14:textId="77777777" w:rsidR="000B4BD4" w:rsidRPr="0035187E" w:rsidRDefault="000B4BD4" w:rsidP="0035187E">
            <w:pPr>
              <w:numPr>
                <w:ilvl w:val="0"/>
                <w:numId w:val="53"/>
              </w:numPr>
              <w:ind w:left="0" w:firstLine="0"/>
              <w:contextualSpacing/>
              <w:jc w:val="both"/>
              <w:rPr>
                <w:rFonts w:ascii="Times New Roman" w:eastAsia="Calibri" w:hAnsi="Times New Roman" w:cs="Times New Roman"/>
                <w:b/>
                <w:sz w:val="20"/>
                <w:szCs w:val="20"/>
                <w:lang w:eastAsia="en-US"/>
              </w:rPr>
            </w:pPr>
            <w:r w:rsidRPr="0035187E">
              <w:rPr>
                <w:rFonts w:ascii="Times New Roman" w:eastAsia="Calibri" w:hAnsi="Times New Roman" w:cs="Times New Roman"/>
                <w:b/>
                <w:sz w:val="20"/>
                <w:szCs w:val="20"/>
                <w:lang w:eastAsia="en-US"/>
              </w:rPr>
              <w:t>K § 19</w:t>
            </w:r>
          </w:p>
          <w:p w14:paraId="0B07DF4F" w14:textId="2BA085E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 xml:space="preserve">V odstavci 1 dle našeho názoru chybí slovo </w:t>
            </w:r>
            <w:r w:rsidRPr="0035187E">
              <w:rPr>
                <w:rFonts w:ascii="Times New Roman" w:hAnsi="Times New Roman" w:cs="Times New Roman"/>
                <w:bCs/>
                <w:i/>
                <w:iCs/>
                <w:sz w:val="20"/>
                <w:szCs w:val="20"/>
              </w:rPr>
              <w:t>„poplatníka“.</w:t>
            </w:r>
          </w:p>
        </w:tc>
        <w:tc>
          <w:tcPr>
            <w:tcW w:w="1453" w:type="pct"/>
            <w:tcBorders>
              <w:top w:val="single" w:sz="4" w:space="0" w:color="auto"/>
              <w:left w:val="single" w:sz="4" w:space="0" w:color="auto"/>
              <w:right w:val="single" w:sz="4" w:space="0" w:color="auto"/>
            </w:tcBorders>
            <w:shd w:val="clear" w:color="auto" w:fill="auto"/>
          </w:tcPr>
          <w:p w14:paraId="5B4AFF1C" w14:textId="77777777" w:rsidR="000B4BD4" w:rsidRPr="0035187E" w:rsidRDefault="000B4BD4" w:rsidP="0035187E">
            <w:pPr>
              <w:jc w:val="both"/>
              <w:rPr>
                <w:rFonts w:ascii="Times New Roman" w:hAnsi="Times New Roman" w:cs="Times New Roman"/>
                <w:b/>
                <w:bCs/>
                <w:iCs/>
                <w:sz w:val="20"/>
                <w:szCs w:val="20"/>
              </w:rPr>
            </w:pPr>
            <w:r w:rsidRPr="0035187E">
              <w:rPr>
                <w:rFonts w:ascii="Times New Roman" w:hAnsi="Times New Roman" w:cs="Times New Roman"/>
                <w:b/>
                <w:bCs/>
                <w:iCs/>
                <w:sz w:val="20"/>
                <w:szCs w:val="20"/>
              </w:rPr>
              <w:t>Vyhověno.</w:t>
            </w:r>
          </w:p>
          <w:p w14:paraId="480E86E1" w14:textId="0F9C2ED6" w:rsidR="000B4BD4" w:rsidRPr="0035187E" w:rsidRDefault="000B4BD4"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Mat</w:t>
            </w:r>
            <w:r w:rsidR="00351827" w:rsidRPr="0035187E">
              <w:rPr>
                <w:rFonts w:ascii="Times New Roman" w:hAnsi="Times New Roman" w:cs="Times New Roman"/>
                <w:iCs/>
                <w:sz w:val="20"/>
                <w:szCs w:val="20"/>
              </w:rPr>
              <w:t>e</w:t>
            </w:r>
            <w:r w:rsidRPr="0035187E">
              <w:rPr>
                <w:rFonts w:ascii="Times New Roman" w:hAnsi="Times New Roman" w:cs="Times New Roman"/>
                <w:iCs/>
                <w:sz w:val="20"/>
                <w:szCs w:val="20"/>
              </w:rPr>
              <w:t>riál byl upraven.</w:t>
            </w:r>
          </w:p>
        </w:tc>
      </w:tr>
      <w:tr w:rsidR="0035187E" w:rsidRPr="0035187E" w14:paraId="57DF619D"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DF3DF64" w14:textId="13F5904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46.</w:t>
            </w:r>
          </w:p>
        </w:tc>
        <w:tc>
          <w:tcPr>
            <w:tcW w:w="583" w:type="pct"/>
            <w:tcBorders>
              <w:top w:val="single" w:sz="4" w:space="0" w:color="auto"/>
              <w:left w:val="single" w:sz="4" w:space="0" w:color="auto"/>
              <w:right w:val="single" w:sz="4" w:space="0" w:color="auto"/>
            </w:tcBorders>
            <w:shd w:val="clear" w:color="auto" w:fill="auto"/>
          </w:tcPr>
          <w:p w14:paraId="7FCDD485" w14:textId="4EAC080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Komora daňových poradců ČR</w:t>
            </w:r>
          </w:p>
        </w:tc>
        <w:tc>
          <w:tcPr>
            <w:tcW w:w="168" w:type="pct"/>
            <w:tcBorders>
              <w:top w:val="single" w:sz="4" w:space="0" w:color="auto"/>
              <w:left w:val="single" w:sz="4" w:space="0" w:color="auto"/>
              <w:right w:val="single" w:sz="4" w:space="0" w:color="auto"/>
            </w:tcBorders>
            <w:shd w:val="clear" w:color="auto" w:fill="auto"/>
          </w:tcPr>
          <w:p w14:paraId="165EE050" w14:textId="5167EFF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25.</w:t>
            </w:r>
          </w:p>
        </w:tc>
        <w:tc>
          <w:tcPr>
            <w:tcW w:w="169" w:type="pct"/>
            <w:tcBorders>
              <w:top w:val="single" w:sz="4" w:space="0" w:color="auto"/>
              <w:left w:val="single" w:sz="4" w:space="0" w:color="auto"/>
              <w:right w:val="single" w:sz="4" w:space="0" w:color="auto"/>
            </w:tcBorders>
            <w:shd w:val="clear" w:color="auto" w:fill="auto"/>
          </w:tcPr>
          <w:p w14:paraId="50D0296A" w14:textId="1B6EA37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B102BA3" w14:textId="77777777" w:rsidR="000B4BD4" w:rsidRPr="0035187E" w:rsidRDefault="000B4BD4" w:rsidP="0035187E">
            <w:pPr>
              <w:numPr>
                <w:ilvl w:val="0"/>
                <w:numId w:val="53"/>
              </w:numPr>
              <w:ind w:left="0" w:firstLine="0"/>
              <w:contextualSpacing/>
              <w:jc w:val="both"/>
              <w:rPr>
                <w:rFonts w:ascii="Times New Roman" w:eastAsia="Calibri" w:hAnsi="Times New Roman" w:cs="Times New Roman"/>
                <w:b/>
                <w:sz w:val="20"/>
                <w:szCs w:val="20"/>
                <w:lang w:eastAsia="en-US"/>
              </w:rPr>
            </w:pPr>
            <w:r w:rsidRPr="0035187E">
              <w:rPr>
                <w:rFonts w:ascii="Times New Roman" w:eastAsia="Calibri" w:hAnsi="Times New Roman" w:cs="Times New Roman"/>
                <w:b/>
                <w:sz w:val="20"/>
                <w:szCs w:val="20"/>
                <w:lang w:eastAsia="en-US"/>
              </w:rPr>
              <w:t>K § 20</w:t>
            </w:r>
          </w:p>
          <w:p w14:paraId="5666DEDC" w14:textId="77777777" w:rsidR="000B4BD4" w:rsidRPr="0035187E" w:rsidRDefault="000B4BD4" w:rsidP="0035187E">
            <w:pPr>
              <w:jc w:val="both"/>
              <w:rPr>
                <w:rFonts w:ascii="Times New Roman" w:hAnsi="Times New Roman" w:cs="Times New Roman"/>
                <w:bCs/>
                <w:i/>
                <w:iCs/>
                <w:sz w:val="20"/>
                <w:szCs w:val="20"/>
              </w:rPr>
            </w:pPr>
            <w:r w:rsidRPr="0035187E">
              <w:rPr>
                <w:rFonts w:ascii="Times New Roman" w:hAnsi="Times New Roman" w:cs="Times New Roman"/>
                <w:bCs/>
                <w:sz w:val="20"/>
                <w:szCs w:val="20"/>
              </w:rPr>
              <w:t xml:space="preserve">Navrhujeme odstranit část věty </w:t>
            </w:r>
            <w:r w:rsidRPr="0035187E">
              <w:rPr>
                <w:rFonts w:ascii="Times New Roman" w:hAnsi="Times New Roman" w:cs="Times New Roman"/>
                <w:bCs/>
                <w:i/>
                <w:iCs/>
                <w:sz w:val="20"/>
                <w:szCs w:val="20"/>
              </w:rPr>
              <w:t xml:space="preserve">“podle druhu a způsobu vykonávané činnosti tak, aby se jejím stanovením nemařil průběh evidence tržeb vzhledem k druhu a kvalitě připojení k veřejné datové síti”. </w:t>
            </w:r>
          </w:p>
          <w:p w14:paraId="5CD1A4DE" w14:textId="69449123"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Jedná se subjektivní hodnocení, vzhledem k výši pokut není na místě. Domníváme se, že časový limit by měl být objektivní a nevytvářet spory tím, že se správce daně domnívá, že v daném konkrétním čase a místě by mohlo být sekund 6.</w:t>
            </w:r>
          </w:p>
        </w:tc>
        <w:tc>
          <w:tcPr>
            <w:tcW w:w="1453" w:type="pct"/>
            <w:tcBorders>
              <w:top w:val="single" w:sz="4" w:space="0" w:color="auto"/>
              <w:left w:val="single" w:sz="4" w:space="0" w:color="auto"/>
              <w:right w:val="single" w:sz="4" w:space="0" w:color="auto"/>
            </w:tcBorders>
            <w:shd w:val="clear" w:color="auto" w:fill="auto"/>
          </w:tcPr>
          <w:p w14:paraId="2038F3BB" w14:textId="77777777" w:rsidR="000B4BD4" w:rsidRPr="0035187E" w:rsidRDefault="00093CDF" w:rsidP="0035187E">
            <w:pPr>
              <w:jc w:val="both"/>
              <w:rPr>
                <w:rFonts w:ascii="Times New Roman" w:hAnsi="Times New Roman" w:cs="Times New Roman"/>
                <w:b/>
                <w:iCs/>
                <w:sz w:val="20"/>
                <w:szCs w:val="20"/>
              </w:rPr>
            </w:pPr>
            <w:r w:rsidRPr="0035187E">
              <w:rPr>
                <w:rFonts w:ascii="Times New Roman" w:hAnsi="Times New Roman" w:cs="Times New Roman"/>
                <w:b/>
                <w:iCs/>
                <w:sz w:val="20"/>
                <w:szCs w:val="20"/>
              </w:rPr>
              <w:t>Nevyhověno.</w:t>
            </w:r>
          </w:p>
          <w:p w14:paraId="71AEBEEC" w14:textId="5127221E" w:rsidR="00694418" w:rsidRPr="0035187E" w:rsidRDefault="00093CDF" w:rsidP="0035187E">
            <w:pPr>
              <w:jc w:val="both"/>
              <w:rPr>
                <w:rFonts w:ascii="Times New Roman" w:hAnsi="Times New Roman" w:cs="Times New Roman"/>
                <w:i/>
                <w:sz w:val="20"/>
                <w:szCs w:val="20"/>
              </w:rPr>
            </w:pPr>
            <w:r w:rsidRPr="0035187E">
              <w:rPr>
                <w:rFonts w:ascii="Times New Roman" w:hAnsi="Times New Roman" w:cs="Times New Roman"/>
                <w:iCs/>
                <w:sz w:val="20"/>
                <w:szCs w:val="20"/>
              </w:rPr>
              <w:t>Jde o objektivní materiální kritérium, jakkoli jeho obsah může být vnímán jednotlivci různě. Jedná se o koncepci převzatou z původního zákona o evidenci tržeb.</w:t>
            </w:r>
          </w:p>
        </w:tc>
      </w:tr>
      <w:tr w:rsidR="0035187E" w:rsidRPr="0035187E" w14:paraId="59DCAE0C"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E3786C1" w14:textId="38BD868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46.</w:t>
            </w:r>
          </w:p>
        </w:tc>
        <w:tc>
          <w:tcPr>
            <w:tcW w:w="583" w:type="pct"/>
            <w:tcBorders>
              <w:top w:val="single" w:sz="4" w:space="0" w:color="auto"/>
              <w:left w:val="single" w:sz="4" w:space="0" w:color="auto"/>
              <w:right w:val="single" w:sz="4" w:space="0" w:color="auto"/>
            </w:tcBorders>
            <w:shd w:val="clear" w:color="auto" w:fill="auto"/>
          </w:tcPr>
          <w:p w14:paraId="73396F27" w14:textId="59DFD96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Komora daňových poradců ČR</w:t>
            </w:r>
          </w:p>
        </w:tc>
        <w:tc>
          <w:tcPr>
            <w:tcW w:w="168" w:type="pct"/>
            <w:tcBorders>
              <w:top w:val="single" w:sz="4" w:space="0" w:color="auto"/>
              <w:left w:val="single" w:sz="4" w:space="0" w:color="auto"/>
              <w:right w:val="single" w:sz="4" w:space="0" w:color="auto"/>
            </w:tcBorders>
            <w:shd w:val="clear" w:color="auto" w:fill="auto"/>
          </w:tcPr>
          <w:p w14:paraId="7D6A3196" w14:textId="36096FE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26.</w:t>
            </w:r>
          </w:p>
        </w:tc>
        <w:tc>
          <w:tcPr>
            <w:tcW w:w="169" w:type="pct"/>
            <w:tcBorders>
              <w:top w:val="single" w:sz="4" w:space="0" w:color="auto"/>
              <w:left w:val="single" w:sz="4" w:space="0" w:color="auto"/>
              <w:right w:val="single" w:sz="4" w:space="0" w:color="auto"/>
            </w:tcBorders>
            <w:shd w:val="clear" w:color="auto" w:fill="auto"/>
          </w:tcPr>
          <w:p w14:paraId="6DFD4299" w14:textId="2316862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8DAC6D2" w14:textId="77777777" w:rsidR="000B4BD4" w:rsidRPr="0035187E" w:rsidRDefault="000B4BD4" w:rsidP="0035187E">
            <w:pPr>
              <w:numPr>
                <w:ilvl w:val="0"/>
                <w:numId w:val="53"/>
              </w:numPr>
              <w:ind w:left="0" w:firstLine="0"/>
              <w:contextualSpacing/>
              <w:jc w:val="both"/>
              <w:rPr>
                <w:rFonts w:ascii="Times New Roman" w:eastAsia="Calibri" w:hAnsi="Times New Roman" w:cs="Times New Roman"/>
                <w:b/>
                <w:sz w:val="20"/>
                <w:szCs w:val="20"/>
                <w:lang w:eastAsia="en-US"/>
              </w:rPr>
            </w:pPr>
            <w:r w:rsidRPr="0035187E">
              <w:rPr>
                <w:rFonts w:ascii="Times New Roman" w:eastAsia="Calibri" w:hAnsi="Times New Roman" w:cs="Times New Roman"/>
                <w:b/>
                <w:sz w:val="20"/>
                <w:szCs w:val="20"/>
                <w:lang w:eastAsia="en-US"/>
              </w:rPr>
              <w:t xml:space="preserve">K § 24 a k § 25 </w:t>
            </w:r>
          </w:p>
          <w:p w14:paraId="27F0D235" w14:textId="6EA401FB"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 xml:space="preserve">Z textu právní normy chybí při ukládání sankcí zohlednění skutečnosti, kdy podnikatel učiní vše, co je po něm možné spravedlivě požadovat, ale k pochybení v oblasti EET dojde z důvodu, která je jednoznačně přičitatelná zaměstnanci poplatníka. V takovéto situaci by mělo být možné sankci neudělit, případně tuto sankci prominout. </w:t>
            </w:r>
          </w:p>
        </w:tc>
        <w:tc>
          <w:tcPr>
            <w:tcW w:w="1453" w:type="pct"/>
            <w:tcBorders>
              <w:top w:val="single" w:sz="4" w:space="0" w:color="auto"/>
              <w:left w:val="single" w:sz="4" w:space="0" w:color="auto"/>
              <w:right w:val="single" w:sz="4" w:space="0" w:color="auto"/>
            </w:tcBorders>
            <w:shd w:val="clear" w:color="auto" w:fill="auto"/>
          </w:tcPr>
          <w:p w14:paraId="14D234BA" w14:textId="77777777" w:rsidR="000B4BD4" w:rsidRPr="0035187E" w:rsidRDefault="00592DCD" w:rsidP="0035187E">
            <w:pPr>
              <w:jc w:val="both"/>
              <w:rPr>
                <w:rFonts w:ascii="Times New Roman" w:hAnsi="Times New Roman" w:cs="Times New Roman"/>
                <w:b/>
                <w:iCs/>
                <w:sz w:val="20"/>
                <w:szCs w:val="20"/>
              </w:rPr>
            </w:pPr>
            <w:r w:rsidRPr="0035187E">
              <w:rPr>
                <w:rFonts w:ascii="Times New Roman" w:hAnsi="Times New Roman" w:cs="Times New Roman"/>
                <w:b/>
                <w:iCs/>
                <w:sz w:val="20"/>
                <w:szCs w:val="20"/>
              </w:rPr>
              <w:t>Vysvětleno.</w:t>
            </w:r>
          </w:p>
          <w:p w14:paraId="5CBD0103" w14:textId="1277A9D1" w:rsidR="00694418" w:rsidRPr="0035187E" w:rsidRDefault="00592DCD" w:rsidP="0035187E">
            <w:pPr>
              <w:jc w:val="both"/>
              <w:rPr>
                <w:rFonts w:ascii="Times New Roman" w:hAnsi="Times New Roman" w:cs="Times New Roman"/>
                <w:i/>
                <w:sz w:val="20"/>
                <w:szCs w:val="20"/>
              </w:rPr>
            </w:pPr>
            <w:r w:rsidRPr="0035187E">
              <w:rPr>
                <w:rFonts w:ascii="Times New Roman" w:hAnsi="Times New Roman" w:cs="Times New Roman"/>
                <w:iCs/>
                <w:sz w:val="20"/>
                <w:szCs w:val="20"/>
              </w:rPr>
              <w:t>Vzhledem k tomu, že pochybení v souvislosti s plněním povinnosti evidovat tržby je koncipováno jako naplnění skutkové podstaty přestupku, uplatní se pro jeho ukládání standardní pravidla podle zákona o odpovědnosti za přestupky a řízení o nich. Situace, kdy je určitý prohřešek zapříčiněn zaměstnancem právnické osoby nebo podnikající fyzické osoby není z pohledu přestupků nikterak ojedinělý. Jde o zcela standardní situaci. Nebylo by systémovým řešením vytvářet na poli evidence tržeb speciální pravidla pro jejich řešení. To ovšem neznamená, že</w:t>
            </w:r>
            <w:r w:rsidR="00694418" w:rsidRPr="0035187E">
              <w:rPr>
                <w:rFonts w:ascii="Times New Roman" w:hAnsi="Times New Roman" w:cs="Times New Roman"/>
                <w:iCs/>
                <w:sz w:val="20"/>
                <w:szCs w:val="20"/>
              </w:rPr>
              <w:t xml:space="preserve"> v rámci řízení o přestupku nebude k polehčujícím či liberačním skutečnostem přihlédnuto v rámci aplikace diskreční pravomoci.</w:t>
            </w:r>
          </w:p>
        </w:tc>
      </w:tr>
      <w:tr w:rsidR="0035187E" w:rsidRPr="0035187E" w14:paraId="7B5CE4F2"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20DFA06" w14:textId="7BA3A91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46.</w:t>
            </w:r>
          </w:p>
        </w:tc>
        <w:tc>
          <w:tcPr>
            <w:tcW w:w="583" w:type="pct"/>
            <w:tcBorders>
              <w:top w:val="single" w:sz="4" w:space="0" w:color="auto"/>
              <w:left w:val="single" w:sz="4" w:space="0" w:color="auto"/>
              <w:right w:val="single" w:sz="4" w:space="0" w:color="auto"/>
            </w:tcBorders>
            <w:shd w:val="clear" w:color="auto" w:fill="auto"/>
          </w:tcPr>
          <w:p w14:paraId="6D3D6EBA" w14:textId="5099E5E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Komora daňových poradců ČR</w:t>
            </w:r>
          </w:p>
        </w:tc>
        <w:tc>
          <w:tcPr>
            <w:tcW w:w="168" w:type="pct"/>
            <w:tcBorders>
              <w:top w:val="single" w:sz="4" w:space="0" w:color="auto"/>
              <w:left w:val="single" w:sz="4" w:space="0" w:color="auto"/>
              <w:right w:val="single" w:sz="4" w:space="0" w:color="auto"/>
            </w:tcBorders>
            <w:shd w:val="clear" w:color="auto" w:fill="auto"/>
          </w:tcPr>
          <w:p w14:paraId="68CDB867" w14:textId="3CDDC7A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27.</w:t>
            </w:r>
          </w:p>
        </w:tc>
        <w:tc>
          <w:tcPr>
            <w:tcW w:w="169" w:type="pct"/>
            <w:tcBorders>
              <w:top w:val="single" w:sz="4" w:space="0" w:color="auto"/>
              <w:left w:val="single" w:sz="4" w:space="0" w:color="auto"/>
              <w:right w:val="single" w:sz="4" w:space="0" w:color="auto"/>
            </w:tcBorders>
            <w:shd w:val="clear" w:color="auto" w:fill="auto"/>
          </w:tcPr>
          <w:p w14:paraId="3728284D" w14:textId="2341471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DBB9097" w14:textId="77777777" w:rsidR="000B4BD4" w:rsidRPr="0035187E" w:rsidRDefault="000B4BD4" w:rsidP="0035187E">
            <w:pPr>
              <w:numPr>
                <w:ilvl w:val="0"/>
                <w:numId w:val="50"/>
              </w:numPr>
              <w:ind w:left="0" w:firstLine="0"/>
              <w:contextualSpacing/>
              <w:jc w:val="both"/>
              <w:rPr>
                <w:rFonts w:ascii="Times New Roman" w:eastAsia="Calibri" w:hAnsi="Times New Roman" w:cs="Times New Roman"/>
                <w:b/>
                <w:sz w:val="20"/>
                <w:szCs w:val="20"/>
                <w:lang w:eastAsia="en-US"/>
              </w:rPr>
            </w:pPr>
            <w:r w:rsidRPr="0035187E">
              <w:rPr>
                <w:rFonts w:ascii="Times New Roman" w:eastAsia="Calibri" w:hAnsi="Times New Roman" w:cs="Times New Roman"/>
                <w:b/>
                <w:sz w:val="20"/>
                <w:szCs w:val="20"/>
                <w:lang w:eastAsia="en-US"/>
              </w:rPr>
              <w:t>Část druhá – změna zákona o daních z příjmů</w:t>
            </w:r>
          </w:p>
          <w:p w14:paraId="7FA6CDEA" w14:textId="77777777" w:rsidR="000B4BD4" w:rsidRPr="0035187E" w:rsidRDefault="000B4BD4" w:rsidP="0035187E">
            <w:pPr>
              <w:contextualSpacing/>
              <w:jc w:val="both"/>
              <w:rPr>
                <w:rFonts w:ascii="Times New Roman" w:eastAsia="Calibri" w:hAnsi="Times New Roman" w:cs="Times New Roman"/>
                <w:b/>
                <w:sz w:val="20"/>
                <w:szCs w:val="20"/>
                <w:lang w:eastAsia="en-US"/>
              </w:rPr>
            </w:pPr>
          </w:p>
          <w:p w14:paraId="3D367AC7" w14:textId="77777777" w:rsidR="000B4BD4" w:rsidRPr="0035187E" w:rsidRDefault="000B4BD4" w:rsidP="0035187E">
            <w:pPr>
              <w:numPr>
                <w:ilvl w:val="0"/>
                <w:numId w:val="54"/>
              </w:numPr>
              <w:ind w:left="0" w:firstLine="0"/>
              <w:contextualSpacing/>
              <w:jc w:val="both"/>
              <w:rPr>
                <w:rFonts w:ascii="Times New Roman" w:eastAsia="Calibri" w:hAnsi="Times New Roman" w:cs="Times New Roman"/>
                <w:b/>
                <w:sz w:val="20"/>
                <w:szCs w:val="20"/>
                <w:lang w:eastAsia="en-US"/>
              </w:rPr>
            </w:pPr>
            <w:r w:rsidRPr="0035187E">
              <w:rPr>
                <w:rFonts w:ascii="Times New Roman" w:eastAsia="Calibri" w:hAnsi="Times New Roman" w:cs="Times New Roman"/>
                <w:b/>
                <w:sz w:val="20"/>
                <w:szCs w:val="20"/>
                <w:lang w:eastAsia="en-US"/>
              </w:rPr>
              <w:t>K bodu 1 (§ 2b odst. 1 písm. a))</w:t>
            </w:r>
          </w:p>
          <w:p w14:paraId="6E10E601" w14:textId="7777777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 xml:space="preserve">Navrhujeme legislativně zpřesnit pojem </w:t>
            </w:r>
            <w:r w:rsidRPr="0035187E">
              <w:rPr>
                <w:rFonts w:ascii="Times New Roman" w:hAnsi="Times New Roman" w:cs="Times New Roman"/>
                <w:bCs/>
                <w:i/>
                <w:iCs/>
                <w:sz w:val="20"/>
                <w:szCs w:val="20"/>
              </w:rPr>
              <w:t>„příjmy ze samostatné činnosti“</w:t>
            </w:r>
            <w:r w:rsidRPr="0035187E">
              <w:rPr>
                <w:rFonts w:ascii="Times New Roman" w:hAnsi="Times New Roman" w:cs="Times New Roman"/>
                <w:bCs/>
                <w:sz w:val="20"/>
                <w:szCs w:val="20"/>
              </w:rPr>
              <w:t>.</w:t>
            </w:r>
          </w:p>
          <w:p w14:paraId="195499AB" w14:textId="7777777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Odůvodnění:</w:t>
            </w:r>
          </w:p>
          <w:p w14:paraId="5D97FEC6" w14:textId="7777777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Limit 1 000 000 Kč představuje klíčovou podmínku pro možnost přihlášení k přirážce zprošťující povinnost evidovat tržby. Použitý pojem „příjmy ze samostatné činnosti“ však není v návrhu blíže specifikován a není zřejmé, zda se jedná o všechny příjmy podle § 7 zákona o daních z příjmů nebo o příjmy rozhodné pro vstup do paušálního režimu. Upřesnění pojmu by přispělo k odstranění případných výkladových nejasností při aplikaci zákona.</w:t>
            </w:r>
          </w:p>
          <w:p w14:paraId="2B15E0FA" w14:textId="7777777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Návrh řešení:</w:t>
            </w:r>
          </w:p>
          <w:p w14:paraId="1A9EE67F" w14:textId="2865BBC6"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Doplnit explicitní odkaz na definici příjmů rozhodných pro vstup do paušálního režimu nebo pojem legislativně vymezit.</w:t>
            </w:r>
          </w:p>
        </w:tc>
        <w:tc>
          <w:tcPr>
            <w:tcW w:w="1453" w:type="pct"/>
            <w:tcBorders>
              <w:top w:val="single" w:sz="4" w:space="0" w:color="auto"/>
              <w:left w:val="single" w:sz="4" w:space="0" w:color="auto"/>
              <w:right w:val="single" w:sz="4" w:space="0" w:color="auto"/>
            </w:tcBorders>
            <w:shd w:val="clear" w:color="auto" w:fill="auto"/>
          </w:tcPr>
          <w:p w14:paraId="5EF1A5BA" w14:textId="77777777" w:rsidR="0021550B" w:rsidRPr="0035187E" w:rsidRDefault="0021550B" w:rsidP="0035187E">
            <w:pPr>
              <w:jc w:val="both"/>
              <w:rPr>
                <w:rFonts w:ascii="Times New Roman" w:hAnsi="Times New Roman" w:cs="Times New Roman"/>
                <w:b/>
                <w:sz w:val="20"/>
                <w:szCs w:val="20"/>
              </w:rPr>
            </w:pPr>
            <w:r w:rsidRPr="0035187E">
              <w:rPr>
                <w:rFonts w:ascii="Times New Roman" w:hAnsi="Times New Roman" w:cs="Times New Roman"/>
                <w:b/>
                <w:sz w:val="20"/>
                <w:szCs w:val="20"/>
              </w:rPr>
              <w:t>Vyhověno.</w:t>
            </w:r>
          </w:p>
          <w:p w14:paraId="776FB665" w14:textId="259EBE37" w:rsidR="0021550B" w:rsidRPr="0035187E" w:rsidRDefault="0021550B" w:rsidP="0035187E">
            <w:pPr>
              <w:tabs>
                <w:tab w:val="left" w:pos="567"/>
              </w:tabs>
              <w:jc w:val="both"/>
              <w:rPr>
                <w:rFonts w:ascii="Times New Roman" w:hAnsi="Times New Roman" w:cs="Times New Roman"/>
                <w:bCs/>
                <w:sz w:val="20"/>
                <w:szCs w:val="20"/>
              </w:rPr>
            </w:pPr>
            <w:r w:rsidRPr="0035187E">
              <w:rPr>
                <w:rFonts w:ascii="Times New Roman" w:hAnsi="Times New Roman" w:cs="Times New Roman"/>
                <w:sz w:val="20"/>
                <w:szCs w:val="20"/>
              </w:rPr>
              <w:t xml:space="preserve">Legislativně upraveno tak, aby na příjmy ze samostatné činnosti uvedené v novém ustanovení § 2b odst. 1 písm. a) bylo možné aplikovat </w:t>
            </w:r>
            <w:proofErr w:type="spellStart"/>
            <w:r w:rsidRPr="0035187E">
              <w:rPr>
                <w:rFonts w:ascii="Times New Roman" w:hAnsi="Times New Roman" w:cs="Times New Roman"/>
                <w:sz w:val="20"/>
                <w:szCs w:val="20"/>
              </w:rPr>
              <w:t>ust</w:t>
            </w:r>
            <w:proofErr w:type="spellEnd"/>
            <w:r w:rsidRPr="0035187E">
              <w:rPr>
                <w:rFonts w:ascii="Times New Roman" w:hAnsi="Times New Roman" w:cs="Times New Roman"/>
                <w:sz w:val="20"/>
                <w:szCs w:val="20"/>
              </w:rPr>
              <w:t>. § 2a odst. 6.</w:t>
            </w:r>
          </w:p>
          <w:p w14:paraId="5CFD456A" w14:textId="3C8F425C" w:rsidR="000B4BD4" w:rsidRPr="0035187E" w:rsidRDefault="000B4BD4" w:rsidP="0035187E">
            <w:pPr>
              <w:jc w:val="both"/>
              <w:rPr>
                <w:rFonts w:ascii="Times New Roman" w:hAnsi="Times New Roman" w:cs="Times New Roman"/>
                <w:iCs/>
                <w:sz w:val="20"/>
                <w:szCs w:val="20"/>
              </w:rPr>
            </w:pPr>
          </w:p>
        </w:tc>
      </w:tr>
      <w:tr w:rsidR="0035187E" w:rsidRPr="0035187E" w14:paraId="2E214635"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5C81844" w14:textId="3B161BD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46.</w:t>
            </w:r>
          </w:p>
        </w:tc>
        <w:tc>
          <w:tcPr>
            <w:tcW w:w="583" w:type="pct"/>
            <w:tcBorders>
              <w:top w:val="single" w:sz="4" w:space="0" w:color="auto"/>
              <w:left w:val="single" w:sz="4" w:space="0" w:color="auto"/>
              <w:right w:val="single" w:sz="4" w:space="0" w:color="auto"/>
            </w:tcBorders>
            <w:shd w:val="clear" w:color="auto" w:fill="auto"/>
          </w:tcPr>
          <w:p w14:paraId="5857C863" w14:textId="5A37258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Komora daňových poradců ČR</w:t>
            </w:r>
          </w:p>
        </w:tc>
        <w:tc>
          <w:tcPr>
            <w:tcW w:w="168" w:type="pct"/>
            <w:tcBorders>
              <w:top w:val="single" w:sz="4" w:space="0" w:color="auto"/>
              <w:left w:val="single" w:sz="4" w:space="0" w:color="auto"/>
              <w:right w:val="single" w:sz="4" w:space="0" w:color="auto"/>
            </w:tcBorders>
            <w:shd w:val="clear" w:color="auto" w:fill="auto"/>
          </w:tcPr>
          <w:p w14:paraId="3AAF5615" w14:textId="2249EFC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28.</w:t>
            </w:r>
          </w:p>
        </w:tc>
        <w:tc>
          <w:tcPr>
            <w:tcW w:w="169" w:type="pct"/>
            <w:tcBorders>
              <w:top w:val="single" w:sz="4" w:space="0" w:color="auto"/>
              <w:left w:val="single" w:sz="4" w:space="0" w:color="auto"/>
              <w:right w:val="single" w:sz="4" w:space="0" w:color="auto"/>
            </w:tcBorders>
            <w:shd w:val="clear" w:color="auto" w:fill="auto"/>
          </w:tcPr>
          <w:p w14:paraId="73862E7B" w14:textId="097FB9A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7FA1C56" w14:textId="77777777" w:rsidR="000B4BD4" w:rsidRPr="0035187E" w:rsidRDefault="000B4BD4" w:rsidP="0035187E">
            <w:pPr>
              <w:numPr>
                <w:ilvl w:val="0"/>
                <w:numId w:val="54"/>
              </w:numPr>
              <w:ind w:left="0" w:firstLine="0"/>
              <w:contextualSpacing/>
              <w:jc w:val="both"/>
              <w:rPr>
                <w:rFonts w:ascii="Times New Roman" w:eastAsia="Calibri" w:hAnsi="Times New Roman" w:cs="Times New Roman"/>
                <w:b/>
                <w:sz w:val="20"/>
                <w:szCs w:val="20"/>
                <w:lang w:eastAsia="en-US"/>
              </w:rPr>
            </w:pPr>
            <w:r w:rsidRPr="0035187E">
              <w:rPr>
                <w:rFonts w:ascii="Times New Roman" w:eastAsia="Calibri" w:hAnsi="Times New Roman" w:cs="Times New Roman"/>
                <w:b/>
                <w:sz w:val="20"/>
                <w:szCs w:val="20"/>
                <w:lang w:eastAsia="en-US"/>
              </w:rPr>
              <w:t>K § 6 odst. 9 písm. d)</w:t>
            </w:r>
          </w:p>
          <w:p w14:paraId="011E04F5" w14:textId="7777777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Navrhujeme zvážit úpravu § 6 odst. 9 písm. d) ZDP, který podmiňuje osvobození nepeněžního plnění pořízením zboží zdravotního, léčebného, hygienického a obdobného charakteru od zdravotnických zařízení. Takto nastavená podmínka podle našeho názoru není zcela racionální, neboť rozhodující by měla být především povaha pořizovaného zboží, nikoli osoba poskytovatele.</w:t>
            </w:r>
          </w:p>
          <w:p w14:paraId="77B0EC30" w14:textId="7777777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lastRenderedPageBreak/>
              <w:t>Současná úprava totiž vylučuje případy, kdy zaměstnavatel pořizuje dané zboží přímo od výrobce, ačkoli jediným rozdílem je nižší pořizovací cena. Konstrukce ustanovení tak může zaměstnavatele nepřímo motivovat k dražšímu pořízení tohoto zboží prostřednictvím zdravotnických zařízení, což z ekonomického hlediska nedává smysl a může být současně v rozporu s povinností péče řádného hospodáře podle zákona o obchodních korporacích. Navrhovaná úprava by přitom nebyla v rozporu s účelem daného osvobození.</w:t>
            </w:r>
          </w:p>
          <w:p w14:paraId="7DB21021" w14:textId="026E1563"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Doporučujeme proto zvážit úpravu textu ustanovení tak, aby rozhodujícím kritériem byla povaha pořizovaného zboží, nikoli osoba jeho poskytovatele.</w:t>
            </w:r>
          </w:p>
        </w:tc>
        <w:tc>
          <w:tcPr>
            <w:tcW w:w="1453" w:type="pct"/>
            <w:tcBorders>
              <w:top w:val="single" w:sz="4" w:space="0" w:color="auto"/>
              <w:left w:val="single" w:sz="4" w:space="0" w:color="auto"/>
              <w:right w:val="single" w:sz="4" w:space="0" w:color="auto"/>
            </w:tcBorders>
            <w:shd w:val="clear" w:color="auto" w:fill="auto"/>
          </w:tcPr>
          <w:p w14:paraId="00AFF3A8" w14:textId="77777777" w:rsidR="00924283" w:rsidRPr="0035187E" w:rsidRDefault="00924283"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Nevyhověno.</w:t>
            </w:r>
          </w:p>
          <w:p w14:paraId="79232050" w14:textId="77777777" w:rsidR="00924283" w:rsidRPr="0035187E" w:rsidRDefault="00924283"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 xml:space="preserve">Stávající znění § 6 odst. 9 písm. d) zákona o daních z příjmů, které osvobození nepeněžního plnění váže na pořízení zboží od zdravotnických zařízení, představuje věcně opodstatněné a dlouhodobě funkční kritérium. Toto vymezení zajišťuje právní jistotu, kontrolovatelnost a jasný rámec pro správu </w:t>
            </w:r>
            <w:r w:rsidRPr="0035187E">
              <w:rPr>
                <w:rFonts w:ascii="Times New Roman" w:hAnsi="Times New Roman" w:cs="Times New Roman"/>
                <w:iCs/>
                <w:sz w:val="20"/>
                <w:szCs w:val="20"/>
              </w:rPr>
              <w:lastRenderedPageBreak/>
              <w:t>daní, přičemž bylo v praxi aplikováno bez významnějších interpretačních problémů.</w:t>
            </w:r>
          </w:p>
          <w:p w14:paraId="3321AE1C" w14:textId="539B8450" w:rsidR="000B4BD4" w:rsidRPr="0035187E" w:rsidRDefault="00924283" w:rsidP="0035187E">
            <w:pPr>
              <w:jc w:val="both"/>
              <w:rPr>
                <w:rFonts w:ascii="Times New Roman" w:hAnsi="Times New Roman" w:cs="Times New Roman"/>
                <w:i/>
                <w:sz w:val="20"/>
                <w:szCs w:val="20"/>
              </w:rPr>
            </w:pPr>
            <w:r w:rsidRPr="0035187E">
              <w:rPr>
                <w:rFonts w:ascii="Times New Roman" w:hAnsi="Times New Roman" w:cs="Times New Roman"/>
                <w:iCs/>
                <w:sz w:val="20"/>
                <w:szCs w:val="20"/>
              </w:rPr>
              <w:t>Vázání osvobození na poskytovatele zároveň slouží jako preventivní opatření proti možnému zneužívání daňového režimu, protože umožňuje spolehlivě ověřit zdravotní charakter plnění. Posuzování pouze podle povahy zboží by vedlo k nejednoznačnostem, složitějšímu dokazování a zvýšenému riziku sporů se správcem daně, což by mohlo ohrozit účelnost a efektivitu daňového osvobození.</w:t>
            </w:r>
          </w:p>
        </w:tc>
      </w:tr>
      <w:tr w:rsidR="0035187E" w:rsidRPr="0035187E" w14:paraId="3C3DC263"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4D8F3785" w14:textId="10A69F4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46.</w:t>
            </w:r>
          </w:p>
        </w:tc>
        <w:tc>
          <w:tcPr>
            <w:tcW w:w="583" w:type="pct"/>
            <w:tcBorders>
              <w:top w:val="single" w:sz="4" w:space="0" w:color="auto"/>
              <w:left w:val="single" w:sz="4" w:space="0" w:color="auto"/>
              <w:right w:val="single" w:sz="4" w:space="0" w:color="auto"/>
            </w:tcBorders>
            <w:shd w:val="clear" w:color="auto" w:fill="auto"/>
          </w:tcPr>
          <w:p w14:paraId="0A51C21C" w14:textId="63384ED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Komora daňových poradců ČR</w:t>
            </w:r>
          </w:p>
        </w:tc>
        <w:tc>
          <w:tcPr>
            <w:tcW w:w="168" w:type="pct"/>
            <w:tcBorders>
              <w:top w:val="single" w:sz="4" w:space="0" w:color="auto"/>
              <w:left w:val="single" w:sz="4" w:space="0" w:color="auto"/>
              <w:right w:val="single" w:sz="4" w:space="0" w:color="auto"/>
            </w:tcBorders>
            <w:shd w:val="clear" w:color="auto" w:fill="auto"/>
          </w:tcPr>
          <w:p w14:paraId="7D906903" w14:textId="543E70C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29.</w:t>
            </w:r>
          </w:p>
        </w:tc>
        <w:tc>
          <w:tcPr>
            <w:tcW w:w="169" w:type="pct"/>
            <w:tcBorders>
              <w:top w:val="single" w:sz="4" w:space="0" w:color="auto"/>
              <w:left w:val="single" w:sz="4" w:space="0" w:color="auto"/>
              <w:right w:val="single" w:sz="4" w:space="0" w:color="auto"/>
            </w:tcBorders>
            <w:shd w:val="clear" w:color="auto" w:fill="auto"/>
          </w:tcPr>
          <w:p w14:paraId="281984D0" w14:textId="7A7926C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12D5762" w14:textId="77777777" w:rsidR="000B4BD4" w:rsidRPr="0035187E" w:rsidRDefault="000B4BD4" w:rsidP="0035187E">
            <w:pPr>
              <w:numPr>
                <w:ilvl w:val="0"/>
                <w:numId w:val="54"/>
              </w:numPr>
              <w:ind w:left="0" w:firstLine="0"/>
              <w:contextualSpacing/>
              <w:jc w:val="both"/>
              <w:rPr>
                <w:rFonts w:ascii="Times New Roman" w:eastAsia="Calibri" w:hAnsi="Times New Roman" w:cs="Times New Roman"/>
                <w:b/>
                <w:sz w:val="20"/>
                <w:szCs w:val="20"/>
                <w:lang w:eastAsia="en-US"/>
              </w:rPr>
            </w:pPr>
            <w:r w:rsidRPr="0035187E">
              <w:rPr>
                <w:rFonts w:ascii="Times New Roman" w:eastAsia="Calibri" w:hAnsi="Times New Roman" w:cs="Times New Roman"/>
                <w:b/>
                <w:sz w:val="20"/>
                <w:szCs w:val="20"/>
                <w:lang w:eastAsia="en-US"/>
              </w:rPr>
              <w:t>K § 6 odst. 9 písm. d) bod 1</w:t>
            </w:r>
          </w:p>
          <w:p w14:paraId="537E3B85" w14:textId="7777777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U benefitů dle tohoto ustanovení je z úplného znění zřejmé, že zůstává zachován limit pro osvobození ve výši průměrné mzdy. Jelikož se důvodová zpráva o této skutečnosti vůbec nezmiňuje, není zřejmé, zda jde o záměr, či nikoliv a zda limit nebyl ponechán pouze nedopatřením.</w:t>
            </w:r>
          </w:p>
          <w:p w14:paraId="7608E89D" w14:textId="6BDF9E5F"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V případě, že záměrem skutečně je u těchto benefitů limit pro osvobození zachovat, považujeme za důležité tuto skutečnost v důvodové zprávě výslovně uvést a zároveň vysvětlit důvody zachování limitu v těchto případech. Toto odůvodnění by se mělo promítnout i do zprávy RIA.</w:t>
            </w:r>
          </w:p>
        </w:tc>
        <w:tc>
          <w:tcPr>
            <w:tcW w:w="1453" w:type="pct"/>
            <w:tcBorders>
              <w:top w:val="single" w:sz="4" w:space="0" w:color="auto"/>
              <w:left w:val="single" w:sz="4" w:space="0" w:color="auto"/>
              <w:right w:val="single" w:sz="4" w:space="0" w:color="auto"/>
            </w:tcBorders>
            <w:shd w:val="clear" w:color="auto" w:fill="auto"/>
          </w:tcPr>
          <w:p w14:paraId="4631E90E" w14:textId="77777777" w:rsidR="00924283" w:rsidRPr="0035187E" w:rsidRDefault="00924283"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Nevyhověno.</w:t>
            </w:r>
          </w:p>
          <w:p w14:paraId="03C69E5F" w14:textId="77777777" w:rsidR="00924283" w:rsidRPr="0035187E" w:rsidRDefault="00924283"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Zachování limitu pro zdravotní benefity je věcně opodstatněné. Zatímco volnočasové benefity mají převážně společenský nebo relaxační charakter a jejich hodnotové limity nemají přímý vliv na prevenci nemocí ani udržení pracovní schopnosti, zdravotní benefity přímo podporují zdraví zaměstnanců, prevenci nemocí a přispívají k dlouhodobé pracovní výkonnosti.</w:t>
            </w:r>
          </w:p>
          <w:p w14:paraId="75B665A5" w14:textId="77777777" w:rsidR="00924283" w:rsidRPr="0035187E" w:rsidRDefault="00924283"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Zrušení limitu by mohlo vést k jejich zneužívání pro daňovou optimalizaci, kdy výhody přesahující skutečné zdravotní potřeby zaměstnanců by byly osvobozeny od daně, aniž by přinášely reálný zdravotní prospěch. Zachování limitu proto umožňuje cílené a efektivní využití těchto benefitů s pozitivním dopadem jak pro zaměstnance, tak pro veřejný zdravotní systém.</w:t>
            </w:r>
          </w:p>
          <w:p w14:paraId="4ED0D30F" w14:textId="7166618D" w:rsidR="000B4BD4" w:rsidRPr="0035187E" w:rsidRDefault="00924283" w:rsidP="0035187E">
            <w:pPr>
              <w:jc w:val="both"/>
              <w:rPr>
                <w:rFonts w:ascii="Times New Roman" w:hAnsi="Times New Roman" w:cs="Times New Roman"/>
                <w:i/>
                <w:sz w:val="20"/>
                <w:szCs w:val="20"/>
              </w:rPr>
            </w:pPr>
            <w:r w:rsidRPr="0035187E">
              <w:rPr>
                <w:rFonts w:ascii="Times New Roman" w:hAnsi="Times New Roman" w:cs="Times New Roman"/>
                <w:iCs/>
                <w:sz w:val="20"/>
                <w:szCs w:val="20"/>
              </w:rPr>
              <w:t>Odlišné zacházení s volnočasovými a zdravotními benefity tak odpovídá jejich rozdílné společenské a ekonomické hodnotě a účelu, který sledují.</w:t>
            </w:r>
          </w:p>
        </w:tc>
      </w:tr>
      <w:tr w:rsidR="0035187E" w:rsidRPr="0035187E" w14:paraId="0E147311"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85724EF" w14:textId="023559D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46.</w:t>
            </w:r>
          </w:p>
        </w:tc>
        <w:tc>
          <w:tcPr>
            <w:tcW w:w="583" w:type="pct"/>
            <w:tcBorders>
              <w:top w:val="single" w:sz="4" w:space="0" w:color="auto"/>
              <w:left w:val="single" w:sz="4" w:space="0" w:color="auto"/>
              <w:right w:val="single" w:sz="4" w:space="0" w:color="auto"/>
            </w:tcBorders>
            <w:shd w:val="clear" w:color="auto" w:fill="auto"/>
          </w:tcPr>
          <w:p w14:paraId="3230BDEA" w14:textId="53C518E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Komora daňových poradců ČR</w:t>
            </w:r>
          </w:p>
        </w:tc>
        <w:tc>
          <w:tcPr>
            <w:tcW w:w="168" w:type="pct"/>
            <w:tcBorders>
              <w:top w:val="single" w:sz="4" w:space="0" w:color="auto"/>
              <w:left w:val="single" w:sz="4" w:space="0" w:color="auto"/>
              <w:right w:val="single" w:sz="4" w:space="0" w:color="auto"/>
            </w:tcBorders>
            <w:shd w:val="clear" w:color="auto" w:fill="auto"/>
          </w:tcPr>
          <w:p w14:paraId="12F292BA" w14:textId="665347A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30.</w:t>
            </w:r>
          </w:p>
        </w:tc>
        <w:tc>
          <w:tcPr>
            <w:tcW w:w="169" w:type="pct"/>
            <w:tcBorders>
              <w:top w:val="single" w:sz="4" w:space="0" w:color="auto"/>
              <w:left w:val="single" w:sz="4" w:space="0" w:color="auto"/>
              <w:right w:val="single" w:sz="4" w:space="0" w:color="auto"/>
            </w:tcBorders>
            <w:shd w:val="clear" w:color="auto" w:fill="auto"/>
          </w:tcPr>
          <w:p w14:paraId="7EF39F71" w14:textId="23F0098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62E85C4" w14:textId="77777777" w:rsidR="000B4BD4" w:rsidRPr="0035187E" w:rsidRDefault="000B4BD4" w:rsidP="0035187E">
            <w:pPr>
              <w:numPr>
                <w:ilvl w:val="0"/>
                <w:numId w:val="54"/>
              </w:numPr>
              <w:ind w:left="0" w:firstLine="0"/>
              <w:contextualSpacing/>
              <w:jc w:val="both"/>
              <w:rPr>
                <w:rFonts w:ascii="Times New Roman" w:eastAsia="Calibri" w:hAnsi="Times New Roman" w:cs="Times New Roman"/>
                <w:b/>
                <w:sz w:val="20"/>
                <w:szCs w:val="20"/>
                <w:lang w:eastAsia="en-US"/>
              </w:rPr>
            </w:pPr>
            <w:r w:rsidRPr="0035187E">
              <w:rPr>
                <w:rFonts w:ascii="Times New Roman" w:eastAsia="Calibri" w:hAnsi="Times New Roman" w:cs="Times New Roman"/>
                <w:b/>
                <w:sz w:val="20"/>
                <w:szCs w:val="20"/>
                <w:lang w:eastAsia="en-US"/>
              </w:rPr>
              <w:t>K bodu 4 (§ 6 odst. 9 písm. d) bod 2)</w:t>
            </w:r>
          </w:p>
          <w:p w14:paraId="21CE992E" w14:textId="7777777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 xml:space="preserve">Navrhujeme v důvodové zprávě blíže vymezit podmínku </w:t>
            </w:r>
            <w:r w:rsidRPr="0035187E">
              <w:rPr>
                <w:rFonts w:ascii="Times New Roman" w:hAnsi="Times New Roman" w:cs="Times New Roman"/>
                <w:bCs/>
                <w:i/>
                <w:iCs/>
                <w:sz w:val="20"/>
                <w:szCs w:val="20"/>
              </w:rPr>
              <w:t>„obvyklosti“</w:t>
            </w:r>
            <w:r w:rsidRPr="0035187E">
              <w:rPr>
                <w:rFonts w:ascii="Times New Roman" w:hAnsi="Times New Roman" w:cs="Times New Roman"/>
                <w:bCs/>
                <w:sz w:val="20"/>
                <w:szCs w:val="20"/>
              </w:rPr>
              <w:t xml:space="preserve"> při poskytování příspěvku na kulturní nebo sportovní akce, a to včetně uvedení ilustrativních příkladů. </w:t>
            </w:r>
          </w:p>
          <w:p w14:paraId="6338A2E4" w14:textId="1AED4634"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Současně doporučujeme upřesnit, že obvyklost má být posuzována zejména s ohledem na typ a velikost zaměstnavatele. Samotná skutečnost, že v určité lokalitě není poskytování takového benefitu s ohledem na povahu zaměstnavatele běžné, by neměla být považována za překážku. Zároveň by mělo být v důvodové zprávě výslovně vyjádřeno, že účelem uvedené podmínky je především zamezit zjevným excesům při poskytování těchto benefitů, nikoli vytvářet jakousi „mapu“ obvyklosti jejich poskytování v jednotlivých regionech.</w:t>
            </w:r>
          </w:p>
        </w:tc>
        <w:tc>
          <w:tcPr>
            <w:tcW w:w="1453" w:type="pct"/>
            <w:tcBorders>
              <w:top w:val="single" w:sz="4" w:space="0" w:color="auto"/>
              <w:left w:val="single" w:sz="4" w:space="0" w:color="auto"/>
              <w:right w:val="single" w:sz="4" w:space="0" w:color="auto"/>
            </w:tcBorders>
            <w:shd w:val="clear" w:color="auto" w:fill="auto"/>
          </w:tcPr>
          <w:p w14:paraId="7CBD4631" w14:textId="77777777" w:rsidR="00924283" w:rsidRPr="0035187E" w:rsidRDefault="00924283"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Nevyhověno.</w:t>
            </w:r>
          </w:p>
          <w:p w14:paraId="043AB06D" w14:textId="77777777" w:rsidR="00924283" w:rsidRPr="0035187E" w:rsidRDefault="00924283"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Kritérium obvyklosti vychází z dosavadního § 6 odst. 9 písm. g) zákona o daních z příjmů, který upravuje daňové osvobození nepeněžních příjmů plynoucích z účasti zaměstnance nebo jeho rodinného příslušníka na společenské akci pořádané zaměstnavatelem pro omezený okruh účastníků, a to včetně akcí s kulturním či sportovním prvkem. Toto ustanovení bude v návaznosti na zrušení příslušného stropu v § 6 odst. 9 písm. d) bodu 2 zákona o daních z příjmů zrušeno, přičemž dané akce budou nově podřazeny pod toto ustanovení. </w:t>
            </w:r>
          </w:p>
          <w:p w14:paraId="5A8F0B5B" w14:textId="77777777" w:rsidR="00924283" w:rsidRPr="0035187E" w:rsidRDefault="00924283" w:rsidP="0035187E">
            <w:pPr>
              <w:jc w:val="both"/>
              <w:rPr>
                <w:rFonts w:ascii="Times New Roman" w:hAnsi="Times New Roman" w:cs="Times New Roman"/>
                <w:sz w:val="20"/>
                <w:szCs w:val="20"/>
              </w:rPr>
            </w:pPr>
            <w:r w:rsidRPr="0035187E">
              <w:rPr>
                <w:rFonts w:ascii="Times New Roman" w:hAnsi="Times New Roman" w:cs="Times New Roman"/>
                <w:sz w:val="20"/>
                <w:szCs w:val="20"/>
              </w:rPr>
              <w:lastRenderedPageBreak/>
              <w:t>Výklad jednotlivých kritérií uvedených v dosavadním § 6 odst. 9 písm. g) zákona o daních z příjmů, rozpracovává metodická informace GFŘ k zaměstnaneckým benefitům z roku 2024. Ta mimo jiné uvádí, že obvyklost pořádání akce se posuzuje zejména s ohledem na běžné standardy v podnikatelské praxi, a to ve vazbě na okruh účastníků (např. pouze zaměstnanci, zaměstnanci včetně rodinných příslušníků či obchodní partneři), charakter akce (např. sportovní den pro děti, zaměstnanecké sportovní hry apod.) a její pravidelnost.</w:t>
            </w:r>
          </w:p>
          <w:p w14:paraId="0ECDF3F3" w14:textId="3CB38005" w:rsidR="000B4BD4" w:rsidRPr="0035187E" w:rsidRDefault="00924283" w:rsidP="0035187E">
            <w:pPr>
              <w:jc w:val="both"/>
              <w:rPr>
                <w:rFonts w:ascii="Times New Roman" w:hAnsi="Times New Roman" w:cs="Times New Roman"/>
                <w:i/>
                <w:sz w:val="20"/>
                <w:szCs w:val="20"/>
              </w:rPr>
            </w:pPr>
            <w:r w:rsidRPr="0035187E">
              <w:rPr>
                <w:rFonts w:ascii="Times New Roman" w:hAnsi="Times New Roman" w:cs="Times New Roman"/>
                <w:sz w:val="20"/>
                <w:szCs w:val="20"/>
              </w:rPr>
              <w:t>Navrhuje se toto kritérium výslovně zakotvit nejen pro akce pořádané přímo zaměstnavatelem, ale i pro sportovní a kulturní akce zajišťované zaměstnavatelem prostřednictvím externích subjektů (např. cestovních kanceláří). Takové upřesnění poskytne potřebnou legislativní oporu pro posuzování případů, které mohou spíše nasvědčovat zneužívání daňové podpory než skutečné snaze o podporu a stabilizaci pracovního prostředí.</w:t>
            </w:r>
          </w:p>
        </w:tc>
      </w:tr>
      <w:tr w:rsidR="0035187E" w:rsidRPr="0035187E" w14:paraId="16E6048E"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418F1916" w14:textId="4B59107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46.</w:t>
            </w:r>
          </w:p>
        </w:tc>
        <w:tc>
          <w:tcPr>
            <w:tcW w:w="583" w:type="pct"/>
            <w:tcBorders>
              <w:top w:val="single" w:sz="4" w:space="0" w:color="auto"/>
              <w:left w:val="single" w:sz="4" w:space="0" w:color="auto"/>
              <w:right w:val="single" w:sz="4" w:space="0" w:color="auto"/>
            </w:tcBorders>
            <w:shd w:val="clear" w:color="auto" w:fill="auto"/>
          </w:tcPr>
          <w:p w14:paraId="29C22687" w14:textId="32D8843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Komora daňových poradců ČR</w:t>
            </w:r>
          </w:p>
        </w:tc>
        <w:tc>
          <w:tcPr>
            <w:tcW w:w="168" w:type="pct"/>
            <w:tcBorders>
              <w:top w:val="single" w:sz="4" w:space="0" w:color="auto"/>
              <w:left w:val="single" w:sz="4" w:space="0" w:color="auto"/>
              <w:right w:val="single" w:sz="4" w:space="0" w:color="auto"/>
            </w:tcBorders>
            <w:shd w:val="clear" w:color="auto" w:fill="auto"/>
          </w:tcPr>
          <w:p w14:paraId="184CD21A" w14:textId="2986CEC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31.</w:t>
            </w:r>
          </w:p>
        </w:tc>
        <w:tc>
          <w:tcPr>
            <w:tcW w:w="169" w:type="pct"/>
            <w:tcBorders>
              <w:top w:val="single" w:sz="4" w:space="0" w:color="auto"/>
              <w:left w:val="single" w:sz="4" w:space="0" w:color="auto"/>
              <w:right w:val="single" w:sz="4" w:space="0" w:color="auto"/>
            </w:tcBorders>
            <w:shd w:val="clear" w:color="auto" w:fill="auto"/>
          </w:tcPr>
          <w:p w14:paraId="5624E6BE" w14:textId="33B6C63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2CE4B1B" w14:textId="77777777" w:rsidR="000B4BD4" w:rsidRPr="0035187E" w:rsidRDefault="000B4BD4" w:rsidP="0035187E">
            <w:pPr>
              <w:numPr>
                <w:ilvl w:val="0"/>
                <w:numId w:val="54"/>
              </w:numPr>
              <w:ind w:left="0" w:firstLine="0"/>
              <w:contextualSpacing/>
              <w:jc w:val="both"/>
              <w:rPr>
                <w:rFonts w:ascii="Times New Roman" w:eastAsia="Calibri" w:hAnsi="Times New Roman" w:cs="Times New Roman"/>
                <w:b/>
                <w:sz w:val="20"/>
                <w:szCs w:val="20"/>
                <w:lang w:eastAsia="en-US"/>
              </w:rPr>
            </w:pPr>
            <w:r w:rsidRPr="0035187E">
              <w:rPr>
                <w:rFonts w:ascii="Times New Roman" w:eastAsia="Calibri" w:hAnsi="Times New Roman" w:cs="Times New Roman"/>
                <w:b/>
                <w:sz w:val="20"/>
                <w:szCs w:val="20"/>
                <w:lang w:eastAsia="en-US"/>
              </w:rPr>
              <w:t>K bodu 4 (§ 6 odst. 9 písm. d) bod 2)</w:t>
            </w:r>
          </w:p>
          <w:p w14:paraId="60B4E2CF" w14:textId="4E417628"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Text zákona je již tak komplikovaný, že si nejsme jisti, zda se obvyklost vztahuje nebo nevztahuje na použití vzdělávacích nebo rekreačních zařízení, použití zařízení péče o děti předškolního věku včetně mateřské školy podle školského zákona, knihovny zaměstnavatele nebo tělovýchovných a sportovních zařízení.</w:t>
            </w:r>
          </w:p>
        </w:tc>
        <w:tc>
          <w:tcPr>
            <w:tcW w:w="1453" w:type="pct"/>
            <w:tcBorders>
              <w:top w:val="single" w:sz="4" w:space="0" w:color="auto"/>
              <w:left w:val="single" w:sz="4" w:space="0" w:color="auto"/>
              <w:right w:val="single" w:sz="4" w:space="0" w:color="auto"/>
            </w:tcBorders>
            <w:shd w:val="clear" w:color="auto" w:fill="auto"/>
          </w:tcPr>
          <w:p w14:paraId="694AC356" w14:textId="59FD01F3" w:rsidR="00924283" w:rsidRPr="0035187E" w:rsidRDefault="00924283" w:rsidP="0035187E">
            <w:pPr>
              <w:jc w:val="both"/>
              <w:rPr>
                <w:rFonts w:ascii="Times New Roman" w:hAnsi="Times New Roman" w:cs="Times New Roman"/>
                <w:iCs/>
                <w:sz w:val="20"/>
                <w:szCs w:val="20"/>
              </w:rPr>
            </w:pPr>
            <w:r w:rsidRPr="0035187E">
              <w:rPr>
                <w:rFonts w:ascii="Times New Roman" w:hAnsi="Times New Roman" w:cs="Times New Roman"/>
                <w:b/>
                <w:iCs/>
                <w:sz w:val="20"/>
                <w:szCs w:val="20"/>
              </w:rPr>
              <w:t>Vysvětleno</w:t>
            </w:r>
            <w:r w:rsidRPr="0035187E">
              <w:rPr>
                <w:rFonts w:ascii="Times New Roman" w:hAnsi="Times New Roman" w:cs="Times New Roman"/>
                <w:iCs/>
                <w:sz w:val="20"/>
                <w:szCs w:val="20"/>
              </w:rPr>
              <w:t>.</w:t>
            </w:r>
          </w:p>
          <w:p w14:paraId="3AF88CDA" w14:textId="77777777" w:rsidR="000B4BD4" w:rsidRDefault="00924283"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 xml:space="preserve">Kritérium „obvyklosti“ se vztahuje pouze na plnění uvedená v části věty za středníkem – tedy na společenské akce, včetně těch s kulturním či sportovním prvkem, pořádané zaměstnavatelem nebo kulturní a sportovní akce zajišťované zaměstnavatelem prostřednictvím externích subjektů, v návaznosti na zrušení současného znění § 6 odst. 9 písm. g) zákona o daních z příjmů a jeho začlenění do písm. d) téhož ustanovení. Takové upřesnění poskytuje jasnou legislativní oporu pro posuzování případů, kdy by mohlo dojít k zneužití daňového osvobození, a zároveň umožňuje podporovat skutečné aktivity zaměstnavatelů, které slouží stabilizaci pracovního prostředí a motivaci zaměstnanců. Tento typ plnění </w:t>
            </w:r>
            <w:r w:rsidRPr="0035187E">
              <w:rPr>
                <w:rFonts w:ascii="Times New Roman" w:hAnsi="Times New Roman" w:cs="Times New Roman"/>
                <w:iCs/>
                <w:sz w:val="20"/>
                <w:szCs w:val="20"/>
              </w:rPr>
              <w:t>se oproti jiným benefitům vyznačuje zvýšeným rizikem zneužití, a proto je vhodné uplatnění kritéria „obvyklosti“ explicitně zakotvit.</w:t>
            </w:r>
          </w:p>
          <w:p w14:paraId="166E0C99" w14:textId="6C404D67" w:rsidR="00101C38" w:rsidRPr="0035187E" w:rsidRDefault="00101C38" w:rsidP="0035187E">
            <w:pPr>
              <w:jc w:val="both"/>
              <w:rPr>
                <w:rFonts w:ascii="Times New Roman" w:hAnsi="Times New Roman" w:cs="Times New Roman"/>
                <w:i/>
                <w:sz w:val="20"/>
                <w:szCs w:val="20"/>
              </w:rPr>
            </w:pPr>
            <w:r w:rsidRPr="00101C38">
              <w:rPr>
                <w:rFonts w:ascii="Times New Roman" w:hAnsi="Times New Roman" w:cs="Times New Roman"/>
                <w:sz w:val="20"/>
                <w:szCs w:val="20"/>
              </w:rPr>
              <w:t>S ohledem na odstranění možných nejasností bude výše uvedené vysvětlení vhodně doplněno do důvodové zprávy.</w:t>
            </w:r>
          </w:p>
        </w:tc>
      </w:tr>
      <w:tr w:rsidR="0035187E" w:rsidRPr="0035187E" w14:paraId="6AEC19A2"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48533F0" w14:textId="3754D83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46.</w:t>
            </w:r>
          </w:p>
        </w:tc>
        <w:tc>
          <w:tcPr>
            <w:tcW w:w="583" w:type="pct"/>
            <w:tcBorders>
              <w:top w:val="single" w:sz="4" w:space="0" w:color="auto"/>
              <w:left w:val="single" w:sz="4" w:space="0" w:color="auto"/>
              <w:right w:val="single" w:sz="4" w:space="0" w:color="auto"/>
            </w:tcBorders>
            <w:shd w:val="clear" w:color="auto" w:fill="auto"/>
          </w:tcPr>
          <w:p w14:paraId="352672ED" w14:textId="4CF6C21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Komora daňových poradců ČR</w:t>
            </w:r>
          </w:p>
        </w:tc>
        <w:tc>
          <w:tcPr>
            <w:tcW w:w="168" w:type="pct"/>
            <w:tcBorders>
              <w:top w:val="single" w:sz="4" w:space="0" w:color="auto"/>
              <w:left w:val="single" w:sz="4" w:space="0" w:color="auto"/>
              <w:right w:val="single" w:sz="4" w:space="0" w:color="auto"/>
            </w:tcBorders>
            <w:shd w:val="clear" w:color="auto" w:fill="auto"/>
          </w:tcPr>
          <w:p w14:paraId="1F13C7F0" w14:textId="40D199B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32.</w:t>
            </w:r>
          </w:p>
        </w:tc>
        <w:tc>
          <w:tcPr>
            <w:tcW w:w="169" w:type="pct"/>
            <w:tcBorders>
              <w:top w:val="single" w:sz="4" w:space="0" w:color="auto"/>
              <w:left w:val="single" w:sz="4" w:space="0" w:color="auto"/>
              <w:right w:val="single" w:sz="4" w:space="0" w:color="auto"/>
            </w:tcBorders>
            <w:shd w:val="clear" w:color="auto" w:fill="auto"/>
          </w:tcPr>
          <w:p w14:paraId="54EA13DC" w14:textId="4403490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0B616F7" w14:textId="77777777" w:rsidR="000B4BD4" w:rsidRPr="0035187E" w:rsidRDefault="000B4BD4" w:rsidP="0035187E">
            <w:pPr>
              <w:numPr>
                <w:ilvl w:val="0"/>
                <w:numId w:val="54"/>
              </w:numPr>
              <w:ind w:left="0" w:firstLine="0"/>
              <w:contextualSpacing/>
              <w:jc w:val="both"/>
              <w:rPr>
                <w:rFonts w:ascii="Times New Roman" w:eastAsia="Calibri" w:hAnsi="Times New Roman" w:cs="Times New Roman"/>
                <w:b/>
                <w:sz w:val="20"/>
                <w:szCs w:val="20"/>
                <w:lang w:eastAsia="en-US"/>
              </w:rPr>
            </w:pPr>
            <w:r w:rsidRPr="0035187E">
              <w:rPr>
                <w:rFonts w:ascii="Times New Roman" w:eastAsia="Calibri" w:hAnsi="Times New Roman" w:cs="Times New Roman"/>
                <w:b/>
                <w:sz w:val="20"/>
                <w:szCs w:val="20"/>
                <w:lang w:eastAsia="en-US"/>
              </w:rPr>
              <w:t xml:space="preserve">K § 6 odst. 9 písm. d) a § 25 odst. 1 písm. h) </w:t>
            </w:r>
          </w:p>
          <w:p w14:paraId="3308B850" w14:textId="5F2A854C"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 xml:space="preserve">Přechodná ustanovení váží aplikaci § 6 odst. 9 písm. d) a § 25 odst. 1 písm. h) ZDP v novém znění na moment </w:t>
            </w:r>
            <w:r w:rsidRPr="0035187E">
              <w:rPr>
                <w:rFonts w:ascii="Times New Roman" w:hAnsi="Times New Roman" w:cs="Times New Roman"/>
                <w:bCs/>
                <w:i/>
                <w:iCs/>
                <w:sz w:val="20"/>
                <w:szCs w:val="20"/>
              </w:rPr>
              <w:t>“poskytnutí benefitu zaměstnanci”</w:t>
            </w:r>
            <w:r w:rsidRPr="0035187E">
              <w:rPr>
                <w:rFonts w:ascii="Times New Roman" w:hAnsi="Times New Roman" w:cs="Times New Roman"/>
                <w:bCs/>
                <w:sz w:val="20"/>
                <w:szCs w:val="20"/>
              </w:rPr>
              <w:t>. Pro právní jistotu poplatníků a eliminaci následných diskusí navrhujeme, aby byl pojem “poskytnutí benefitu zaměstnanci” vysvětlen v důvodové zprávě k těmto ustanovením.</w:t>
            </w:r>
          </w:p>
        </w:tc>
        <w:tc>
          <w:tcPr>
            <w:tcW w:w="1453" w:type="pct"/>
            <w:tcBorders>
              <w:top w:val="single" w:sz="4" w:space="0" w:color="auto"/>
              <w:left w:val="single" w:sz="4" w:space="0" w:color="auto"/>
              <w:right w:val="single" w:sz="4" w:space="0" w:color="auto"/>
            </w:tcBorders>
            <w:shd w:val="clear" w:color="auto" w:fill="auto"/>
          </w:tcPr>
          <w:p w14:paraId="29646A0B" w14:textId="77777777" w:rsidR="00924283" w:rsidRPr="0035187E" w:rsidRDefault="00924283" w:rsidP="0035187E">
            <w:pPr>
              <w:jc w:val="both"/>
              <w:rPr>
                <w:rFonts w:ascii="Times New Roman" w:hAnsi="Times New Roman" w:cs="Times New Roman"/>
                <w:iCs/>
                <w:sz w:val="20"/>
                <w:szCs w:val="20"/>
              </w:rPr>
            </w:pPr>
            <w:r w:rsidRPr="0035187E">
              <w:rPr>
                <w:rFonts w:ascii="Times New Roman" w:hAnsi="Times New Roman" w:cs="Times New Roman"/>
                <w:b/>
                <w:bCs/>
                <w:sz w:val="20"/>
                <w:szCs w:val="20"/>
              </w:rPr>
              <w:t>Nevyhověno.</w:t>
            </w:r>
          </w:p>
          <w:p w14:paraId="7093A349" w14:textId="0C44EE35" w:rsidR="000B4BD4" w:rsidRPr="0035187E" w:rsidRDefault="00924283" w:rsidP="0035187E">
            <w:pPr>
              <w:jc w:val="both"/>
              <w:rPr>
                <w:rFonts w:ascii="Times New Roman" w:hAnsi="Times New Roman" w:cs="Times New Roman"/>
                <w:i/>
                <w:sz w:val="20"/>
                <w:szCs w:val="20"/>
              </w:rPr>
            </w:pPr>
            <w:r w:rsidRPr="0035187E">
              <w:rPr>
                <w:rFonts w:ascii="Times New Roman" w:hAnsi="Times New Roman" w:cs="Times New Roman"/>
                <w:iCs/>
                <w:sz w:val="20"/>
                <w:szCs w:val="20"/>
              </w:rPr>
              <w:t>Pojem „poskytnutí benefitu zaměstnanci“ je vysvětlen v důvodové zprávě k přechodným ustanovením. Rozlišuje se zde mezi poskytnutím plnění a jeho čerpáním. Nová úprava § 6 odst. 9 písm. d) a § 25 odst. 1 písm. h) zákona o daních z příjmů se vztahuje na všechna nepeněžitá plnění poskytnutá zaměstnanci od 1. ledna 2027, bez ohledu na začátek zdaňovacího období zaměstnavatele.</w:t>
            </w:r>
          </w:p>
        </w:tc>
      </w:tr>
      <w:tr w:rsidR="0035187E" w:rsidRPr="0035187E" w14:paraId="27AA6378"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EA04E43" w14:textId="317FE01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46.</w:t>
            </w:r>
          </w:p>
        </w:tc>
        <w:tc>
          <w:tcPr>
            <w:tcW w:w="583" w:type="pct"/>
            <w:tcBorders>
              <w:top w:val="single" w:sz="4" w:space="0" w:color="auto"/>
              <w:left w:val="single" w:sz="4" w:space="0" w:color="auto"/>
              <w:right w:val="single" w:sz="4" w:space="0" w:color="auto"/>
            </w:tcBorders>
            <w:shd w:val="clear" w:color="auto" w:fill="auto"/>
          </w:tcPr>
          <w:p w14:paraId="66E76EA0" w14:textId="11C4AB0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Komora daňových poradců ČR</w:t>
            </w:r>
          </w:p>
        </w:tc>
        <w:tc>
          <w:tcPr>
            <w:tcW w:w="168" w:type="pct"/>
            <w:tcBorders>
              <w:top w:val="single" w:sz="4" w:space="0" w:color="auto"/>
              <w:left w:val="single" w:sz="4" w:space="0" w:color="auto"/>
              <w:right w:val="single" w:sz="4" w:space="0" w:color="auto"/>
            </w:tcBorders>
            <w:shd w:val="clear" w:color="auto" w:fill="auto"/>
          </w:tcPr>
          <w:p w14:paraId="578BEDEE" w14:textId="5E943D0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33.</w:t>
            </w:r>
          </w:p>
        </w:tc>
        <w:tc>
          <w:tcPr>
            <w:tcW w:w="169" w:type="pct"/>
            <w:tcBorders>
              <w:top w:val="single" w:sz="4" w:space="0" w:color="auto"/>
              <w:left w:val="single" w:sz="4" w:space="0" w:color="auto"/>
              <w:right w:val="single" w:sz="4" w:space="0" w:color="auto"/>
            </w:tcBorders>
            <w:shd w:val="clear" w:color="auto" w:fill="auto"/>
          </w:tcPr>
          <w:p w14:paraId="2E339C54" w14:textId="77F6FED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D042942" w14:textId="77777777" w:rsidR="000B4BD4" w:rsidRPr="0035187E" w:rsidRDefault="000B4BD4" w:rsidP="0035187E">
            <w:pPr>
              <w:numPr>
                <w:ilvl w:val="0"/>
                <w:numId w:val="54"/>
              </w:numPr>
              <w:ind w:left="0" w:firstLine="0"/>
              <w:contextualSpacing/>
              <w:jc w:val="both"/>
              <w:rPr>
                <w:rFonts w:ascii="Times New Roman" w:eastAsia="Calibri" w:hAnsi="Times New Roman" w:cs="Times New Roman"/>
                <w:b/>
                <w:sz w:val="20"/>
                <w:szCs w:val="20"/>
                <w:lang w:eastAsia="en-US"/>
              </w:rPr>
            </w:pPr>
            <w:r w:rsidRPr="0035187E">
              <w:rPr>
                <w:rFonts w:ascii="Times New Roman" w:eastAsia="Calibri" w:hAnsi="Times New Roman" w:cs="Times New Roman"/>
                <w:b/>
                <w:sz w:val="20"/>
                <w:szCs w:val="20"/>
                <w:lang w:eastAsia="en-US"/>
              </w:rPr>
              <w:t>K bodu 5 (§ 6 odst. 9 písm. d) bod 4)</w:t>
            </w:r>
          </w:p>
          <w:p w14:paraId="0D010654" w14:textId="29A1652D"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Navrhujeme do důvodové zprávy doplnit, jak plátce prakticky pozná, že se jedná o komunitní službu. Pokud není jednoduchý postup rozpoznání komunitní služby nebo postup vyžaduje nějaké subjektivní hodnocení ze strany plátce pak zvážit vypuštění podmínky komunitní služby.</w:t>
            </w:r>
          </w:p>
        </w:tc>
        <w:tc>
          <w:tcPr>
            <w:tcW w:w="1453" w:type="pct"/>
            <w:tcBorders>
              <w:top w:val="single" w:sz="4" w:space="0" w:color="auto"/>
              <w:left w:val="single" w:sz="4" w:space="0" w:color="auto"/>
              <w:right w:val="single" w:sz="4" w:space="0" w:color="auto"/>
            </w:tcBorders>
            <w:shd w:val="clear" w:color="auto" w:fill="auto"/>
          </w:tcPr>
          <w:p w14:paraId="485310EC" w14:textId="778AD13E" w:rsidR="00924283" w:rsidRPr="0035187E" w:rsidRDefault="000668E7" w:rsidP="0035187E">
            <w:pPr>
              <w:jc w:val="both"/>
              <w:rPr>
                <w:rFonts w:ascii="Times New Roman" w:hAnsi="Times New Roman" w:cs="Times New Roman"/>
                <w:iCs/>
                <w:sz w:val="20"/>
                <w:szCs w:val="20"/>
              </w:rPr>
            </w:pPr>
            <w:r>
              <w:rPr>
                <w:rFonts w:ascii="Times New Roman" w:hAnsi="Times New Roman" w:cs="Times New Roman"/>
                <w:b/>
                <w:bCs/>
                <w:sz w:val="20"/>
                <w:szCs w:val="20"/>
              </w:rPr>
              <w:t>Vysvětleno</w:t>
            </w:r>
            <w:r w:rsidR="00924283" w:rsidRPr="0035187E">
              <w:rPr>
                <w:rFonts w:ascii="Times New Roman" w:hAnsi="Times New Roman" w:cs="Times New Roman"/>
                <w:b/>
                <w:bCs/>
                <w:sz w:val="20"/>
                <w:szCs w:val="20"/>
              </w:rPr>
              <w:t>.</w:t>
            </w:r>
          </w:p>
          <w:p w14:paraId="35BD0E8B" w14:textId="77777777" w:rsidR="00924283" w:rsidRPr="0035187E" w:rsidRDefault="00924283"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 xml:space="preserve">Vymezení komunitní služby vychází z § 33a zákona o sociálních službách, který přesně stanoví podmínky, za nichž je služba považována za komunitní. </w:t>
            </w:r>
            <w:r w:rsidRPr="0035187E">
              <w:rPr>
                <w:rFonts w:ascii="Times New Roman" w:hAnsi="Times New Roman" w:cs="Times New Roman"/>
                <w:sz w:val="20"/>
                <w:szCs w:val="20"/>
              </w:rPr>
              <w:t xml:space="preserve">Odkaz na § 33a zákona č. 108/2006 Sb., o sociálních službách, ve znění pozdějších předpisů, je uveden v důvodové zprávě. </w:t>
            </w:r>
            <w:r w:rsidRPr="0035187E">
              <w:rPr>
                <w:rFonts w:ascii="Times New Roman" w:hAnsi="Times New Roman" w:cs="Times New Roman"/>
                <w:iCs/>
                <w:sz w:val="20"/>
                <w:szCs w:val="20"/>
              </w:rPr>
              <w:t>Nejde tedy o neurčitý pojem, ale o legislativně ukotvený institut s jasnou interpretací v souladu s právním řádem a aplikační praxí</w:t>
            </w:r>
            <w:r w:rsidRPr="0035187E">
              <w:rPr>
                <w:rFonts w:ascii="Times New Roman" w:hAnsi="Times New Roman" w:cs="Times New Roman"/>
                <w:sz w:val="20"/>
                <w:szCs w:val="20"/>
              </w:rPr>
              <w:t xml:space="preserve"> a z důvodové zprávy to jasně vyplývá</w:t>
            </w:r>
            <w:r w:rsidRPr="0035187E">
              <w:rPr>
                <w:rFonts w:ascii="Times New Roman" w:hAnsi="Times New Roman" w:cs="Times New Roman"/>
                <w:iCs/>
                <w:sz w:val="20"/>
                <w:szCs w:val="20"/>
              </w:rPr>
              <w:t xml:space="preserve">. </w:t>
            </w:r>
          </w:p>
          <w:p w14:paraId="30E3B80C" w14:textId="77777777" w:rsidR="00924283" w:rsidRPr="0035187E" w:rsidRDefault="00924283"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Cílem je podporovat služby komunitního typu, které umožňují osobám, zejména seniorům, setrvat v jejich přirozeném domácím prostředí. Tento účel naplňují především terénní služby a částečně služby ambulantní, nikoli služby pobytové.</w:t>
            </w:r>
          </w:p>
          <w:p w14:paraId="7B5C86C0" w14:textId="5EA18889" w:rsidR="000B4BD4" w:rsidRPr="0035187E" w:rsidRDefault="00924283" w:rsidP="0035187E">
            <w:pPr>
              <w:jc w:val="both"/>
              <w:rPr>
                <w:rFonts w:ascii="Times New Roman" w:hAnsi="Times New Roman" w:cs="Times New Roman"/>
                <w:i/>
                <w:sz w:val="20"/>
                <w:szCs w:val="20"/>
              </w:rPr>
            </w:pPr>
            <w:r w:rsidRPr="0035187E">
              <w:rPr>
                <w:rFonts w:ascii="Times New Roman" w:hAnsi="Times New Roman" w:cs="Times New Roman"/>
                <w:iCs/>
                <w:sz w:val="20"/>
                <w:szCs w:val="20"/>
              </w:rPr>
              <w:t>Zakotvení podmínky komunitního charakteru proto představuje věcně odůvodněné omezení, které zajišťuje cílené směřování daňové podpory na služby podporující nezávislý způsob života. Vypuštění této podmínky by umožnilo rozšíření daňové podpory na pobytové služby, jež nesplňují sledovaný veřejný zájem.</w:t>
            </w:r>
            <w:r w:rsidR="000668E7">
              <w:rPr>
                <w:rFonts w:ascii="Times New Roman" w:hAnsi="Times New Roman" w:cs="Times New Roman"/>
                <w:iCs/>
                <w:sz w:val="20"/>
                <w:szCs w:val="20"/>
              </w:rPr>
              <w:t xml:space="preserve"> V tomto duchu bude doplněna důvodová zpráva.</w:t>
            </w:r>
          </w:p>
        </w:tc>
      </w:tr>
      <w:tr w:rsidR="0035187E" w:rsidRPr="0035187E" w14:paraId="3C50217E"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4EB6C5D7" w14:textId="40E0CDE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46.</w:t>
            </w:r>
          </w:p>
        </w:tc>
        <w:tc>
          <w:tcPr>
            <w:tcW w:w="583" w:type="pct"/>
            <w:tcBorders>
              <w:top w:val="single" w:sz="4" w:space="0" w:color="auto"/>
              <w:left w:val="single" w:sz="4" w:space="0" w:color="auto"/>
              <w:right w:val="single" w:sz="4" w:space="0" w:color="auto"/>
            </w:tcBorders>
            <w:shd w:val="clear" w:color="auto" w:fill="auto"/>
          </w:tcPr>
          <w:p w14:paraId="54D09B60" w14:textId="0B480BE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Komora daňových poradců ČR</w:t>
            </w:r>
          </w:p>
        </w:tc>
        <w:tc>
          <w:tcPr>
            <w:tcW w:w="168" w:type="pct"/>
            <w:tcBorders>
              <w:top w:val="single" w:sz="4" w:space="0" w:color="auto"/>
              <w:left w:val="single" w:sz="4" w:space="0" w:color="auto"/>
              <w:right w:val="single" w:sz="4" w:space="0" w:color="auto"/>
            </w:tcBorders>
            <w:shd w:val="clear" w:color="auto" w:fill="auto"/>
          </w:tcPr>
          <w:p w14:paraId="61E59CA5" w14:textId="5C85204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34.</w:t>
            </w:r>
          </w:p>
        </w:tc>
        <w:tc>
          <w:tcPr>
            <w:tcW w:w="169" w:type="pct"/>
            <w:tcBorders>
              <w:top w:val="single" w:sz="4" w:space="0" w:color="auto"/>
              <w:left w:val="single" w:sz="4" w:space="0" w:color="auto"/>
              <w:right w:val="single" w:sz="4" w:space="0" w:color="auto"/>
            </w:tcBorders>
            <w:shd w:val="clear" w:color="auto" w:fill="auto"/>
          </w:tcPr>
          <w:p w14:paraId="40B75FED" w14:textId="7A34DEC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3E04D6C" w14:textId="77777777" w:rsidR="000B4BD4" w:rsidRPr="0035187E" w:rsidRDefault="000B4BD4" w:rsidP="0035187E">
            <w:pPr>
              <w:numPr>
                <w:ilvl w:val="0"/>
                <w:numId w:val="54"/>
              </w:numPr>
              <w:ind w:left="0" w:firstLine="0"/>
              <w:contextualSpacing/>
              <w:jc w:val="both"/>
              <w:rPr>
                <w:rFonts w:ascii="Times New Roman" w:eastAsia="Calibri" w:hAnsi="Times New Roman" w:cs="Times New Roman"/>
                <w:b/>
                <w:sz w:val="20"/>
                <w:szCs w:val="20"/>
                <w:lang w:eastAsia="en-US"/>
              </w:rPr>
            </w:pPr>
            <w:r w:rsidRPr="0035187E">
              <w:rPr>
                <w:rFonts w:ascii="Times New Roman" w:eastAsia="Calibri" w:hAnsi="Times New Roman" w:cs="Times New Roman"/>
                <w:b/>
                <w:sz w:val="20"/>
                <w:szCs w:val="20"/>
                <w:lang w:eastAsia="en-US"/>
              </w:rPr>
              <w:t>K bodu 6 (§ 6 odst. 9 písm. g))</w:t>
            </w:r>
          </w:p>
          <w:p w14:paraId="1F06E202" w14:textId="7777777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V důvodové zprávě je uvedeno:</w:t>
            </w:r>
          </w:p>
          <w:p w14:paraId="66191BEC" w14:textId="77777777" w:rsidR="000B4BD4" w:rsidRPr="0035187E" w:rsidRDefault="000B4BD4" w:rsidP="0035187E">
            <w:pPr>
              <w:jc w:val="both"/>
              <w:rPr>
                <w:rFonts w:ascii="Times New Roman" w:hAnsi="Times New Roman" w:cs="Times New Roman"/>
                <w:bCs/>
                <w:i/>
                <w:iCs/>
                <w:sz w:val="20"/>
                <w:szCs w:val="20"/>
              </w:rPr>
            </w:pPr>
            <w:r w:rsidRPr="0035187E">
              <w:rPr>
                <w:rFonts w:ascii="Times New Roman" w:hAnsi="Times New Roman" w:cs="Times New Roman"/>
                <w:bCs/>
                <w:i/>
                <w:iCs/>
                <w:sz w:val="20"/>
                <w:szCs w:val="20"/>
              </w:rPr>
              <w:t xml:space="preserve">„Limit výše osvobozeného spropitného se stanoví za jednotlivé kalendářní měsíce a stanoví se jako 7 % z měsíčních příjmů zaměstnavatele ze stravovacích služeb za kalendářní měsíc, přičemž tento limit se vztahuje v úhrnu na všechny zaměstnance zaměstnavatele.  Zaměstnavatelům se tedy dává možnost rozdělit přijaté spropitné na jednotlivé zaměstnance, ale vždy tak, aby celková výše osvobozeného spropitného v úhrnu za všechny zaměstnance nepřesáhla 7 % měsíčních příjmů zaměstnavatele ze stravovacích služeb. Tak např. v situaci, kdy mají jednotliví zaměstnanci odlišné pracovní úvazky nebo někteří z nich v daný měsíc čerpají dovolenou, mohou jednotliví zaměstnanci dostat rozdílné podíly na celkovém spropitném a také jim může být „přidělena“ jiná část z limitu </w:t>
            </w:r>
            <w:r w:rsidRPr="0035187E">
              <w:rPr>
                <w:rFonts w:ascii="Times New Roman" w:hAnsi="Times New Roman" w:cs="Times New Roman"/>
                <w:bCs/>
                <w:i/>
                <w:iCs/>
                <w:sz w:val="20"/>
                <w:szCs w:val="20"/>
              </w:rPr>
              <w:lastRenderedPageBreak/>
              <w:t>pro osvobození spropitného. Ustanovení současně řeší situaci, kdy zaměstnavatel neurčí, jak je limit osvobozeného spropitného mezi zaměstnance rozdělen. V takovém případě se uplatní pravidlo stanovené v zákoně, že pro každého zaměstnance je limit pro osvobození roven podílu 7 % z měsíčních příjmů zaměstnavatele ze stravovacích služeb za daný kalendářní měsíc a počtu zaměstnanců tohoto zaměstnavatele, kteří za výkon činnosti u tohoto zaměstnavatele obdrželi za daný kalendářní měsíc spropitné. V takovém případě tedy bude limit výše osvobozeného spropitného pro všechny zaměstnance téhož zaměstnavatele totožný. Obecně z konstrukce limitu pro osvobození vyplývá, že limit bude každý měsíc jiný v závislosti na výši příjmů zaměstnavatele a také na tom, kolik zaměstnanců u něho bude daný měsíc vykonávat uvedenou činnost.”</w:t>
            </w:r>
          </w:p>
          <w:p w14:paraId="6C512B96" w14:textId="7777777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 xml:space="preserve">Nicméně navrhovaný text zákona je následující: </w:t>
            </w:r>
          </w:p>
          <w:p w14:paraId="01020731" w14:textId="77777777" w:rsidR="000B4BD4" w:rsidRPr="0035187E" w:rsidRDefault="000B4BD4" w:rsidP="0035187E">
            <w:pPr>
              <w:jc w:val="both"/>
              <w:rPr>
                <w:rFonts w:ascii="Times New Roman" w:hAnsi="Times New Roman" w:cs="Times New Roman"/>
                <w:bCs/>
                <w:i/>
                <w:iCs/>
                <w:sz w:val="20"/>
                <w:szCs w:val="20"/>
              </w:rPr>
            </w:pPr>
            <w:r w:rsidRPr="0035187E">
              <w:rPr>
                <w:rFonts w:ascii="Times New Roman" w:hAnsi="Times New Roman" w:cs="Times New Roman"/>
                <w:bCs/>
                <w:i/>
                <w:iCs/>
                <w:sz w:val="20"/>
                <w:szCs w:val="20"/>
              </w:rPr>
              <w:t>„spropitné ze stravovacích služeb za kalendářní měsíc do výše podílu 7 % z měsíčních příjmů ze stravovacích služeb zaměstnavatele, u kterého poplatník vykonává činnost, ze které mu plynou příjmy podle odstavce 1 písm. a) až c), a počtu zaměstnanců tohoto zaměstnavatele, kteří za výkon činnosti u tohoto zaměstnavatele obdrželi za daný kalendářní měsíc spropitné ze stravovacích služeb, nebo do výše určené zaměstnavatelem tak, aby úhrn osvobozeného spropitného ze stravovacích služeb zaměstnanců, kteří u něho v daném kalendářním měsíci vykonávají činnost, ze které plynou příjmy podle odstavce 1 písm. a) až c), nepřekročil 7 % z jeho měsíčních příjmů ze stravovacích služeb; spropitným ze stravovacích služeb se pro účely daní z příjmů rozumí spropitné poskytnuté dobrovolně zaměstnanci osobou odlišnou od zaměstnavatele, u kterého vykonává činnost, ze které mu plynou příjmy podle odstavce 1 písm. a) až c), v přímé souvislosti s poskytnutím stravovací služby, pokud</w:t>
            </w:r>
          </w:p>
          <w:p w14:paraId="45DA9348" w14:textId="77777777" w:rsidR="000B4BD4" w:rsidRPr="0035187E" w:rsidRDefault="000B4BD4" w:rsidP="0035187E">
            <w:pPr>
              <w:numPr>
                <w:ilvl w:val="0"/>
                <w:numId w:val="55"/>
              </w:numPr>
              <w:ind w:left="0" w:firstLine="0"/>
              <w:contextualSpacing/>
              <w:jc w:val="both"/>
              <w:rPr>
                <w:rFonts w:ascii="Times New Roman" w:eastAsia="Calibri" w:hAnsi="Times New Roman" w:cs="Times New Roman"/>
                <w:bCs/>
                <w:i/>
                <w:iCs/>
                <w:sz w:val="20"/>
                <w:szCs w:val="20"/>
                <w:lang w:eastAsia="en-US"/>
              </w:rPr>
            </w:pPr>
            <w:r w:rsidRPr="0035187E">
              <w:rPr>
                <w:rFonts w:ascii="Times New Roman" w:eastAsia="Calibri" w:hAnsi="Times New Roman" w:cs="Times New Roman"/>
                <w:bCs/>
                <w:i/>
                <w:iCs/>
                <w:sz w:val="20"/>
                <w:szCs w:val="20"/>
                <w:lang w:eastAsia="en-US"/>
              </w:rPr>
              <w:t xml:space="preserve">je stravovací služba poskytnuta v provozovně stravovacích služeb; provozovnou stravovacích služeb se pro účely daní z příjmů rozumí provozovna podle živnostenského zákona, v níž je provozována stravovací služba spočívající v přípravě a prodeji pokrmů k přímé spotřebě v této provozovně, a </w:t>
            </w:r>
          </w:p>
          <w:p w14:paraId="6D50F8A3" w14:textId="77777777" w:rsidR="000B4BD4" w:rsidRPr="0035187E" w:rsidRDefault="000B4BD4" w:rsidP="0035187E">
            <w:pPr>
              <w:numPr>
                <w:ilvl w:val="0"/>
                <w:numId w:val="55"/>
              </w:numPr>
              <w:ind w:left="0" w:firstLine="0"/>
              <w:contextualSpacing/>
              <w:jc w:val="both"/>
              <w:rPr>
                <w:rFonts w:ascii="Times New Roman" w:eastAsia="Calibri" w:hAnsi="Times New Roman" w:cs="Times New Roman"/>
                <w:bCs/>
                <w:i/>
                <w:iCs/>
                <w:sz w:val="20"/>
                <w:szCs w:val="20"/>
                <w:lang w:eastAsia="en-US"/>
              </w:rPr>
            </w:pPr>
            <w:r w:rsidRPr="0035187E">
              <w:rPr>
                <w:rFonts w:ascii="Times New Roman" w:eastAsia="Calibri" w:hAnsi="Times New Roman" w:cs="Times New Roman"/>
                <w:bCs/>
                <w:i/>
                <w:iCs/>
                <w:sz w:val="20"/>
                <w:szCs w:val="20"/>
                <w:lang w:eastAsia="en-US"/>
              </w:rPr>
              <w:t>je poskytování spropitného za činnost, kterou zaměstnanec vykonává, obvyklé,“</w:t>
            </w:r>
          </w:p>
          <w:p w14:paraId="55E7D5D9" w14:textId="3A418C63"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 xml:space="preserve">Výše uvedený text zákona lze číst jako měsíční limit 7 % příjmů na každého zaměstnance, nikoliv v úhrnu za všechny zaměstnance. Není z textu zákona srozumitelné, že výše uvedený limit by se měl podělit počtem zaměstnanců. Text zákona tak neodpovídá důvodové zprávě. </w:t>
            </w:r>
          </w:p>
        </w:tc>
        <w:tc>
          <w:tcPr>
            <w:tcW w:w="1453" w:type="pct"/>
            <w:tcBorders>
              <w:top w:val="single" w:sz="4" w:space="0" w:color="auto"/>
              <w:left w:val="single" w:sz="4" w:space="0" w:color="auto"/>
              <w:right w:val="single" w:sz="4" w:space="0" w:color="auto"/>
            </w:tcBorders>
            <w:shd w:val="clear" w:color="auto" w:fill="auto"/>
          </w:tcPr>
          <w:p w14:paraId="133916E1" w14:textId="77777777" w:rsidR="00924283" w:rsidRPr="0035187E" w:rsidRDefault="00924283" w:rsidP="0035187E">
            <w:pPr>
              <w:jc w:val="both"/>
              <w:rPr>
                <w:rFonts w:ascii="Times New Roman" w:hAnsi="Times New Roman" w:cs="Times New Roman"/>
                <w:iCs/>
                <w:sz w:val="20"/>
                <w:szCs w:val="20"/>
              </w:rPr>
            </w:pPr>
            <w:r w:rsidRPr="0035187E">
              <w:rPr>
                <w:rFonts w:ascii="Times New Roman" w:hAnsi="Times New Roman" w:cs="Times New Roman"/>
                <w:b/>
                <w:bCs/>
                <w:sz w:val="20"/>
                <w:szCs w:val="20"/>
              </w:rPr>
              <w:lastRenderedPageBreak/>
              <w:t>Nevyhověno.</w:t>
            </w:r>
          </w:p>
          <w:p w14:paraId="3A03BC00" w14:textId="102F6CF7" w:rsidR="000B4BD4" w:rsidRPr="0035187E" w:rsidRDefault="00924283" w:rsidP="0035187E">
            <w:pPr>
              <w:jc w:val="both"/>
              <w:rPr>
                <w:rFonts w:ascii="Times New Roman" w:hAnsi="Times New Roman" w:cs="Times New Roman"/>
                <w:i/>
                <w:sz w:val="20"/>
                <w:szCs w:val="20"/>
              </w:rPr>
            </w:pPr>
            <w:r w:rsidRPr="0035187E">
              <w:rPr>
                <w:rFonts w:ascii="Times New Roman" w:hAnsi="Times New Roman" w:cs="Times New Roman"/>
                <w:iCs/>
                <w:sz w:val="20"/>
                <w:szCs w:val="20"/>
              </w:rPr>
              <w:t xml:space="preserve">Navrhovaný text zákona odpovídá účelu uvedenému v důvodové zprávě, jen je formulován v jiném pořadí slov. Limit osvobozeného spropitného ve výši 7 % z měsíčních příjmů zaměstnavatele ze stravovacích služeb se vztahuje v úhrnu na všechny zaměstnance, přičemž zákon stanoví pravidlo dělení limitu mezi jednotlivé zaměstnance (vyjádřeno slovy „do výše </w:t>
            </w:r>
            <w:r w:rsidRPr="0035187E">
              <w:rPr>
                <w:rFonts w:ascii="Times New Roman" w:hAnsi="Times New Roman" w:cs="Times New Roman"/>
                <w:b/>
                <w:bCs/>
                <w:iCs/>
                <w:sz w:val="20"/>
                <w:szCs w:val="20"/>
              </w:rPr>
              <w:t>podílu</w:t>
            </w:r>
            <w:r w:rsidRPr="0035187E">
              <w:rPr>
                <w:rFonts w:ascii="Times New Roman" w:hAnsi="Times New Roman" w:cs="Times New Roman"/>
                <w:iCs/>
                <w:sz w:val="20"/>
                <w:szCs w:val="20"/>
              </w:rPr>
              <w:t xml:space="preserve"> 7 % z měsíčních příjmů … a počtu zaměstnanců“) v případě, že zaměstnavatel neurčí jeho rozdělení. Takto zůstává zachována možnost, </w:t>
            </w:r>
            <w:r w:rsidRPr="0035187E">
              <w:rPr>
                <w:rFonts w:ascii="Times New Roman" w:hAnsi="Times New Roman" w:cs="Times New Roman"/>
                <w:iCs/>
                <w:sz w:val="20"/>
                <w:szCs w:val="20"/>
              </w:rPr>
              <w:lastRenderedPageBreak/>
              <w:t>aby zaměstnavatel rozdělil spropitné individuálně podle pracovního úvazku nebo čerpání dovolené.</w:t>
            </w:r>
          </w:p>
        </w:tc>
      </w:tr>
      <w:tr w:rsidR="0035187E" w:rsidRPr="0035187E" w14:paraId="61237393"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921C247" w14:textId="65FCA55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46.</w:t>
            </w:r>
          </w:p>
        </w:tc>
        <w:tc>
          <w:tcPr>
            <w:tcW w:w="583" w:type="pct"/>
            <w:tcBorders>
              <w:top w:val="single" w:sz="4" w:space="0" w:color="auto"/>
              <w:left w:val="single" w:sz="4" w:space="0" w:color="auto"/>
              <w:right w:val="single" w:sz="4" w:space="0" w:color="auto"/>
            </w:tcBorders>
            <w:shd w:val="clear" w:color="auto" w:fill="auto"/>
          </w:tcPr>
          <w:p w14:paraId="4F270006" w14:textId="285F8B9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Komora daňových poradců ČR</w:t>
            </w:r>
          </w:p>
        </w:tc>
        <w:tc>
          <w:tcPr>
            <w:tcW w:w="168" w:type="pct"/>
            <w:tcBorders>
              <w:top w:val="single" w:sz="4" w:space="0" w:color="auto"/>
              <w:left w:val="single" w:sz="4" w:space="0" w:color="auto"/>
              <w:right w:val="single" w:sz="4" w:space="0" w:color="auto"/>
            </w:tcBorders>
            <w:shd w:val="clear" w:color="auto" w:fill="auto"/>
          </w:tcPr>
          <w:p w14:paraId="2638C50A" w14:textId="2B5E0A7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35.</w:t>
            </w:r>
          </w:p>
        </w:tc>
        <w:tc>
          <w:tcPr>
            <w:tcW w:w="169" w:type="pct"/>
            <w:tcBorders>
              <w:top w:val="single" w:sz="4" w:space="0" w:color="auto"/>
              <w:left w:val="single" w:sz="4" w:space="0" w:color="auto"/>
              <w:right w:val="single" w:sz="4" w:space="0" w:color="auto"/>
            </w:tcBorders>
            <w:shd w:val="clear" w:color="auto" w:fill="auto"/>
          </w:tcPr>
          <w:p w14:paraId="6AEBE8D2" w14:textId="51C5833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12EC75D" w14:textId="77777777" w:rsidR="000B4BD4" w:rsidRPr="0035187E" w:rsidRDefault="000B4BD4" w:rsidP="0035187E">
            <w:pPr>
              <w:numPr>
                <w:ilvl w:val="0"/>
                <w:numId w:val="54"/>
              </w:numPr>
              <w:ind w:left="0" w:firstLine="0"/>
              <w:contextualSpacing/>
              <w:jc w:val="both"/>
              <w:rPr>
                <w:rFonts w:ascii="Times New Roman" w:eastAsia="Calibri" w:hAnsi="Times New Roman" w:cs="Times New Roman"/>
                <w:b/>
                <w:sz w:val="20"/>
                <w:szCs w:val="20"/>
                <w:lang w:eastAsia="en-US"/>
              </w:rPr>
            </w:pPr>
            <w:r w:rsidRPr="0035187E">
              <w:rPr>
                <w:rFonts w:ascii="Times New Roman" w:eastAsia="Calibri" w:hAnsi="Times New Roman" w:cs="Times New Roman"/>
                <w:b/>
                <w:sz w:val="20"/>
                <w:szCs w:val="20"/>
                <w:lang w:eastAsia="en-US"/>
              </w:rPr>
              <w:t>K bodu 6 (§ 6 odst. 9 písm. g))</w:t>
            </w:r>
          </w:p>
          <w:p w14:paraId="2AA31C6B" w14:textId="77777777" w:rsidR="000B4BD4" w:rsidRPr="0035187E" w:rsidRDefault="000B4BD4" w:rsidP="0035187E">
            <w:pPr>
              <w:contextualSpacing/>
              <w:jc w:val="both"/>
              <w:rPr>
                <w:rFonts w:ascii="Times New Roman" w:eastAsia="Calibri" w:hAnsi="Times New Roman" w:cs="Times New Roman"/>
                <w:bCs/>
                <w:sz w:val="20"/>
                <w:szCs w:val="20"/>
                <w:lang w:eastAsia="en-US"/>
              </w:rPr>
            </w:pPr>
          </w:p>
          <w:p w14:paraId="4E86026C" w14:textId="77777777" w:rsidR="000B4BD4" w:rsidRPr="0035187E" w:rsidRDefault="000B4BD4" w:rsidP="0035187E">
            <w:pPr>
              <w:numPr>
                <w:ilvl w:val="1"/>
                <w:numId w:val="50"/>
              </w:numPr>
              <w:ind w:left="0" w:firstLine="0"/>
              <w:contextualSpacing/>
              <w:jc w:val="both"/>
              <w:rPr>
                <w:rFonts w:ascii="Times New Roman" w:eastAsia="Calibri" w:hAnsi="Times New Roman" w:cs="Times New Roman"/>
                <w:bCs/>
                <w:sz w:val="20"/>
                <w:szCs w:val="20"/>
                <w:lang w:eastAsia="en-US"/>
              </w:rPr>
            </w:pPr>
            <w:r w:rsidRPr="0035187E">
              <w:rPr>
                <w:rFonts w:ascii="Times New Roman" w:eastAsia="Calibri" w:hAnsi="Times New Roman" w:cs="Times New Roman"/>
                <w:bCs/>
                <w:sz w:val="20"/>
                <w:szCs w:val="20"/>
                <w:lang w:eastAsia="en-US"/>
              </w:rPr>
              <w:t xml:space="preserve">V textu návrhu je uvedeno, že pokud zaměstnavatel nestanoví limity jinak, limit má být rozpočítán na všechny zaměstnance, kteří obdrželi příjem. To je dle našeho názor nepřesné a zavádějící, neboť i s použitím důvodové zprávy se má limit rozpočítávat na všechny zaměstnance, kteří se podílejí a obsluze, případně přípravě jídla, proto navrhujeme v tomto ohledu text upravit. </w:t>
            </w:r>
          </w:p>
          <w:p w14:paraId="0617C301" w14:textId="77777777" w:rsidR="000B4BD4" w:rsidRPr="0035187E" w:rsidRDefault="000B4BD4" w:rsidP="0035187E">
            <w:pPr>
              <w:contextualSpacing/>
              <w:jc w:val="both"/>
              <w:rPr>
                <w:rFonts w:ascii="Times New Roman" w:eastAsia="Calibri" w:hAnsi="Times New Roman" w:cs="Times New Roman"/>
                <w:bCs/>
                <w:sz w:val="20"/>
                <w:szCs w:val="20"/>
                <w:lang w:eastAsia="en-US"/>
              </w:rPr>
            </w:pPr>
          </w:p>
          <w:p w14:paraId="58A0A1B4" w14:textId="77777777" w:rsidR="000B4BD4" w:rsidRPr="0035187E" w:rsidRDefault="000B4BD4" w:rsidP="0035187E">
            <w:pPr>
              <w:numPr>
                <w:ilvl w:val="1"/>
                <w:numId w:val="50"/>
              </w:numPr>
              <w:ind w:left="0" w:firstLine="0"/>
              <w:contextualSpacing/>
              <w:jc w:val="both"/>
              <w:rPr>
                <w:rFonts w:ascii="Times New Roman" w:eastAsia="Calibri" w:hAnsi="Times New Roman" w:cs="Times New Roman"/>
                <w:bCs/>
                <w:sz w:val="20"/>
                <w:szCs w:val="20"/>
                <w:lang w:eastAsia="en-US"/>
              </w:rPr>
            </w:pPr>
            <w:r w:rsidRPr="0035187E">
              <w:rPr>
                <w:rFonts w:ascii="Times New Roman" w:eastAsia="Calibri" w:hAnsi="Times New Roman" w:cs="Times New Roman"/>
                <w:bCs/>
                <w:sz w:val="20"/>
                <w:szCs w:val="20"/>
                <w:lang w:eastAsia="en-US"/>
              </w:rPr>
              <w:t xml:space="preserve">Minimálně v důvodové zprávě by mělo být popsáno, jak na spropitné bude pohlížet zaměstnavatel, to znamená, zda je spropitné předmětem daně z příjmů a DPH na straně zaměstnavatele. Pokud by tomu tak bylo, mělo by být výslovně uvedeno, že jeho </w:t>
            </w:r>
            <w:r w:rsidRPr="0035187E">
              <w:rPr>
                <w:rFonts w:ascii="Times New Roman" w:eastAsia="Calibri" w:hAnsi="Times New Roman" w:cs="Times New Roman"/>
                <w:bCs/>
                <w:sz w:val="20"/>
                <w:szCs w:val="20"/>
                <w:lang w:eastAsia="en-US"/>
              </w:rPr>
              <w:lastRenderedPageBreak/>
              <w:t>poskytnutí zaměstnancům je na straně zaměstnavatele daňově uznatelným výdajem dle § 24 odst. 2 písm. j) bod 4 ZDP. Pokud by nemělo spropitné podléhat zdanění na straně zaměstnavatele, je nutné se vypořádat s otázkou, kdo by v takovémto případě byl zaměstnavatel dle § 6 odst. 2 ZDP ve vazbě na § 38c ZDP, a proč by při této konstrukci jim nebyl zákazník, který poskytuje spropitné. Subjekt poskytující spropitné by mohl být považován dle ZDP za zaměstnavatele a případného plátce daně z příjmů ze závislé činnosti (tj. povinnosti vedení mzdového listu, odvodu daně a plnění povinností v rámci JMHZ). Navíc by tento příjem nemohl být od daně osvobozen, protože zaměstnavatel by nebyl zaměstnavatelem s příjmy ze stravovacích služeb. Proto je toto precizní vymezení velmi důležité.</w:t>
            </w:r>
          </w:p>
          <w:p w14:paraId="256853E7" w14:textId="77777777" w:rsidR="000B4BD4" w:rsidRPr="0035187E" w:rsidRDefault="000B4BD4" w:rsidP="0035187E">
            <w:pPr>
              <w:contextualSpacing/>
              <w:jc w:val="both"/>
              <w:rPr>
                <w:rFonts w:ascii="Times New Roman" w:eastAsia="Calibri" w:hAnsi="Times New Roman" w:cs="Times New Roman"/>
                <w:bCs/>
                <w:sz w:val="20"/>
                <w:szCs w:val="20"/>
                <w:lang w:eastAsia="en-US"/>
              </w:rPr>
            </w:pPr>
          </w:p>
          <w:p w14:paraId="774FB879" w14:textId="2E6792C5" w:rsidR="000B4BD4" w:rsidRPr="0035187E" w:rsidRDefault="000B4BD4" w:rsidP="0035187E">
            <w:pPr>
              <w:pStyle w:val="Odstavecseseznamem"/>
              <w:ind w:left="0"/>
              <w:contextualSpacing w:val="0"/>
              <w:jc w:val="both"/>
              <w:rPr>
                <w:rFonts w:ascii="Times New Roman" w:hAnsi="Times New Roman"/>
                <w:bCs/>
                <w:sz w:val="20"/>
                <w:szCs w:val="20"/>
              </w:rPr>
            </w:pPr>
            <w:r w:rsidRPr="0035187E">
              <w:rPr>
                <w:rFonts w:ascii="Times New Roman" w:eastAsia="Times New Roman" w:hAnsi="Times New Roman"/>
                <w:bCs/>
                <w:sz w:val="20"/>
                <w:szCs w:val="20"/>
                <w:lang w:eastAsia="cs-CZ"/>
              </w:rPr>
              <w:t xml:space="preserve">V důvodové zprávě bychom považovali za důležité uvést, zda osvobození spropitného dopadá i na stravování bufetového typu, kdy má možnost zákazník si jídlo odnést, typu </w:t>
            </w:r>
            <w:proofErr w:type="gramStart"/>
            <w:r w:rsidRPr="0035187E">
              <w:rPr>
                <w:rFonts w:ascii="Times New Roman" w:eastAsia="Times New Roman" w:hAnsi="Times New Roman"/>
                <w:bCs/>
                <w:sz w:val="20"/>
                <w:szCs w:val="20"/>
                <w:lang w:eastAsia="cs-CZ"/>
              </w:rPr>
              <w:t>McDonald ‘</w:t>
            </w:r>
            <w:proofErr w:type="gramEnd"/>
            <w:r w:rsidRPr="0035187E">
              <w:rPr>
                <w:rFonts w:ascii="Times New Roman" w:eastAsia="Times New Roman" w:hAnsi="Times New Roman"/>
                <w:bCs/>
                <w:sz w:val="20"/>
                <w:szCs w:val="20"/>
                <w:lang w:eastAsia="cs-CZ"/>
              </w:rPr>
              <w:t>s.</w:t>
            </w:r>
          </w:p>
        </w:tc>
        <w:tc>
          <w:tcPr>
            <w:tcW w:w="1453" w:type="pct"/>
            <w:tcBorders>
              <w:top w:val="single" w:sz="4" w:space="0" w:color="auto"/>
              <w:left w:val="single" w:sz="4" w:space="0" w:color="auto"/>
              <w:right w:val="single" w:sz="4" w:space="0" w:color="auto"/>
            </w:tcBorders>
            <w:shd w:val="clear" w:color="auto" w:fill="auto"/>
          </w:tcPr>
          <w:p w14:paraId="694EA794" w14:textId="77777777" w:rsidR="00924283" w:rsidRPr="0035187E" w:rsidRDefault="00924283" w:rsidP="0035187E">
            <w:pPr>
              <w:jc w:val="both"/>
              <w:rPr>
                <w:rFonts w:ascii="Times New Roman" w:hAnsi="Times New Roman" w:cs="Times New Roman"/>
                <w:b/>
                <w:bCs/>
                <w:iCs/>
                <w:sz w:val="20"/>
                <w:szCs w:val="20"/>
              </w:rPr>
            </w:pPr>
            <w:r w:rsidRPr="0035187E">
              <w:rPr>
                <w:rFonts w:ascii="Times New Roman" w:hAnsi="Times New Roman" w:cs="Times New Roman"/>
                <w:b/>
                <w:bCs/>
                <w:iCs/>
                <w:sz w:val="20"/>
                <w:szCs w:val="20"/>
              </w:rPr>
              <w:lastRenderedPageBreak/>
              <w:t>K bodu 1.</w:t>
            </w:r>
          </w:p>
          <w:p w14:paraId="097FB83A" w14:textId="77777777" w:rsidR="00924283" w:rsidRPr="0035187E" w:rsidRDefault="00924283" w:rsidP="0035187E">
            <w:pPr>
              <w:jc w:val="both"/>
              <w:rPr>
                <w:rFonts w:ascii="Times New Roman" w:hAnsi="Times New Roman" w:cs="Times New Roman"/>
                <w:b/>
                <w:bCs/>
                <w:iCs/>
                <w:sz w:val="20"/>
                <w:szCs w:val="20"/>
              </w:rPr>
            </w:pPr>
            <w:r w:rsidRPr="0035187E">
              <w:rPr>
                <w:rFonts w:ascii="Times New Roman" w:hAnsi="Times New Roman" w:cs="Times New Roman"/>
                <w:b/>
                <w:bCs/>
                <w:iCs/>
                <w:sz w:val="20"/>
                <w:szCs w:val="20"/>
              </w:rPr>
              <w:t>Vysvětleno.</w:t>
            </w:r>
          </w:p>
          <w:p w14:paraId="03CB4C49" w14:textId="77777777" w:rsidR="00924283" w:rsidRPr="0035187E" w:rsidRDefault="00924283" w:rsidP="0035187E">
            <w:pPr>
              <w:jc w:val="both"/>
              <w:rPr>
                <w:rFonts w:ascii="Times New Roman" w:hAnsi="Times New Roman" w:cs="Times New Roman"/>
                <w:bCs/>
                <w:iCs/>
                <w:sz w:val="20"/>
                <w:szCs w:val="20"/>
              </w:rPr>
            </w:pPr>
            <w:r w:rsidRPr="0035187E">
              <w:rPr>
                <w:rFonts w:ascii="Times New Roman" w:hAnsi="Times New Roman" w:cs="Times New Roman"/>
                <w:bCs/>
                <w:iCs/>
                <w:sz w:val="20"/>
                <w:szCs w:val="20"/>
              </w:rPr>
              <w:t xml:space="preserve">K otázce rozdělení limitu osvobozeného spropitného uvádíme, že tento limit se vztahuje na všechny zaměstnance, kteří v daném období obdrželi spropitné, a kteří se tím podílejí na poskytování stravovacích služeb, zejména na obsluze zákazníků a přípravě pokrmů. Tomu odpovídá i podmínka „obvyklosti“, která zajišťuje, že se osvobození uplatní pouze u těch zaměstnanců, u nichž je </w:t>
            </w:r>
            <w:r w:rsidRPr="0035187E">
              <w:rPr>
                <w:rFonts w:ascii="Times New Roman" w:hAnsi="Times New Roman" w:cs="Times New Roman"/>
                <w:bCs/>
                <w:iCs/>
                <w:sz w:val="20"/>
                <w:szCs w:val="20"/>
              </w:rPr>
              <w:lastRenderedPageBreak/>
              <w:t xml:space="preserve">přijímání spropitného v praxi běžné (např. číšníci, kuchaři nebo barmani). </w:t>
            </w:r>
          </w:p>
          <w:p w14:paraId="293A3D60" w14:textId="77777777" w:rsidR="00924283" w:rsidRPr="0035187E" w:rsidRDefault="00924283" w:rsidP="0035187E">
            <w:pPr>
              <w:jc w:val="both"/>
              <w:rPr>
                <w:rFonts w:ascii="Times New Roman" w:hAnsi="Times New Roman" w:cs="Times New Roman"/>
                <w:bCs/>
                <w:iCs/>
                <w:sz w:val="20"/>
                <w:szCs w:val="20"/>
              </w:rPr>
            </w:pPr>
          </w:p>
          <w:p w14:paraId="3A514FD6" w14:textId="77777777" w:rsidR="00924283" w:rsidRPr="0035187E" w:rsidRDefault="00924283" w:rsidP="0035187E">
            <w:pPr>
              <w:jc w:val="both"/>
              <w:rPr>
                <w:rFonts w:ascii="Times New Roman" w:hAnsi="Times New Roman" w:cs="Times New Roman"/>
                <w:b/>
                <w:bCs/>
                <w:iCs/>
                <w:sz w:val="20"/>
                <w:szCs w:val="20"/>
              </w:rPr>
            </w:pPr>
            <w:r w:rsidRPr="0035187E">
              <w:rPr>
                <w:rFonts w:ascii="Times New Roman" w:hAnsi="Times New Roman" w:cs="Times New Roman"/>
                <w:b/>
                <w:bCs/>
                <w:iCs/>
                <w:sz w:val="20"/>
                <w:szCs w:val="20"/>
              </w:rPr>
              <w:t xml:space="preserve">K bodu 2. </w:t>
            </w:r>
          </w:p>
          <w:p w14:paraId="5C7094EA" w14:textId="77777777" w:rsidR="00924283" w:rsidRPr="0035187E" w:rsidRDefault="00924283" w:rsidP="0035187E">
            <w:pPr>
              <w:jc w:val="both"/>
              <w:rPr>
                <w:rFonts w:ascii="Times New Roman" w:hAnsi="Times New Roman" w:cs="Times New Roman"/>
                <w:b/>
                <w:iCs/>
                <w:sz w:val="20"/>
                <w:szCs w:val="20"/>
              </w:rPr>
            </w:pPr>
            <w:r w:rsidRPr="0035187E">
              <w:rPr>
                <w:rFonts w:ascii="Times New Roman" w:hAnsi="Times New Roman" w:cs="Times New Roman"/>
                <w:b/>
                <w:bCs/>
                <w:iCs/>
                <w:sz w:val="20"/>
                <w:szCs w:val="20"/>
              </w:rPr>
              <w:t>Vyhověno/ Vysvětleno.</w:t>
            </w:r>
          </w:p>
          <w:p w14:paraId="660DBC7B" w14:textId="77777777" w:rsidR="00924283" w:rsidRPr="0035187E" w:rsidRDefault="00924283" w:rsidP="0035187E">
            <w:pPr>
              <w:jc w:val="both"/>
              <w:rPr>
                <w:rFonts w:ascii="Times New Roman" w:hAnsi="Times New Roman" w:cs="Times New Roman"/>
                <w:bCs/>
                <w:iCs/>
                <w:sz w:val="20"/>
                <w:szCs w:val="20"/>
              </w:rPr>
            </w:pPr>
            <w:r w:rsidRPr="0035187E">
              <w:rPr>
                <w:rFonts w:ascii="Times New Roman" w:hAnsi="Times New Roman" w:cs="Times New Roman"/>
                <w:bCs/>
                <w:iCs/>
                <w:sz w:val="20"/>
                <w:szCs w:val="20"/>
              </w:rPr>
              <w:t xml:space="preserve">Pro účely daňového osvobození spropitného a současně jeho zdanění v případě překročení zákonem o daních z příjmů stanoveného limitu na straně zaměstnance je nezbytné přesné vymezení pojmu „spropitné“. Podmínkou je, že se jedná o příjem plynoucí od třetí osoby, tj. od zákazníka takovému zaměstnanci. </w:t>
            </w:r>
          </w:p>
          <w:p w14:paraId="3804B4F8" w14:textId="77777777" w:rsidR="00924283" w:rsidRPr="0035187E" w:rsidRDefault="00924283" w:rsidP="0035187E">
            <w:pPr>
              <w:jc w:val="both"/>
              <w:rPr>
                <w:rFonts w:ascii="Times New Roman" w:hAnsi="Times New Roman" w:cs="Times New Roman"/>
                <w:bCs/>
                <w:iCs/>
                <w:sz w:val="20"/>
                <w:szCs w:val="20"/>
              </w:rPr>
            </w:pPr>
            <w:r w:rsidRPr="0035187E">
              <w:rPr>
                <w:rFonts w:ascii="Times New Roman" w:hAnsi="Times New Roman" w:cs="Times New Roman"/>
                <w:bCs/>
                <w:iCs/>
                <w:sz w:val="20"/>
                <w:szCs w:val="20"/>
              </w:rPr>
              <w:t xml:space="preserve">Faktickým příjemcem spropitného pro účely uplatnění příslušného daňového režimu je provozovatel stravovacích služeb, který vystupuje v postavení zaměstnavatele a plátce daně podle zákona o daních z příjmů. Provozovatel přijaté spropitné za poskytované stravovací služby následně přerozděluje mezi své zaměstnance, kteří tyto služby zákazníkům distribuují. </w:t>
            </w:r>
          </w:p>
          <w:p w14:paraId="6B626386" w14:textId="77777777" w:rsidR="000B4BD4" w:rsidRPr="0035187E" w:rsidRDefault="00924283" w:rsidP="0035187E">
            <w:pPr>
              <w:jc w:val="both"/>
              <w:rPr>
                <w:rFonts w:ascii="Times New Roman" w:hAnsi="Times New Roman" w:cs="Times New Roman"/>
                <w:bCs/>
                <w:iCs/>
                <w:sz w:val="20"/>
                <w:szCs w:val="20"/>
              </w:rPr>
            </w:pPr>
            <w:r w:rsidRPr="0035187E">
              <w:rPr>
                <w:rFonts w:ascii="Times New Roman" w:hAnsi="Times New Roman" w:cs="Times New Roman"/>
                <w:bCs/>
                <w:iCs/>
                <w:sz w:val="20"/>
                <w:szCs w:val="20"/>
              </w:rPr>
              <w:t>Tento postup, který reflektuje otázku postavení zaměstnavatele, je vhodné promítnout do důvodové zprávy.</w:t>
            </w:r>
          </w:p>
          <w:p w14:paraId="2A6E694E" w14:textId="77777777" w:rsidR="00924283" w:rsidRPr="0035187E" w:rsidRDefault="00924283" w:rsidP="0035187E">
            <w:pPr>
              <w:jc w:val="both"/>
              <w:rPr>
                <w:rFonts w:ascii="Times New Roman" w:hAnsi="Times New Roman" w:cs="Times New Roman"/>
                <w:bCs/>
                <w:iCs/>
                <w:sz w:val="20"/>
                <w:szCs w:val="20"/>
              </w:rPr>
            </w:pPr>
          </w:p>
          <w:p w14:paraId="68CAA49C" w14:textId="77777777" w:rsidR="00924283" w:rsidRPr="0035187E" w:rsidRDefault="00924283" w:rsidP="0035187E">
            <w:pPr>
              <w:jc w:val="both"/>
              <w:rPr>
                <w:rFonts w:ascii="Times New Roman" w:hAnsi="Times New Roman" w:cs="Times New Roman"/>
                <w:b/>
                <w:iCs/>
                <w:sz w:val="20"/>
                <w:szCs w:val="20"/>
              </w:rPr>
            </w:pPr>
            <w:r w:rsidRPr="0035187E">
              <w:rPr>
                <w:rFonts w:ascii="Times New Roman" w:hAnsi="Times New Roman" w:cs="Times New Roman"/>
                <w:b/>
                <w:iCs/>
                <w:sz w:val="20"/>
                <w:szCs w:val="20"/>
              </w:rPr>
              <w:t xml:space="preserve">Návrh textu důvodové zprávy: </w:t>
            </w:r>
          </w:p>
          <w:p w14:paraId="4119D541" w14:textId="77777777" w:rsidR="00924283" w:rsidRPr="0035187E" w:rsidRDefault="00924283" w:rsidP="0035187E">
            <w:pPr>
              <w:jc w:val="both"/>
              <w:rPr>
                <w:rFonts w:ascii="Times New Roman" w:hAnsi="Times New Roman" w:cs="Times New Roman"/>
                <w:bCs/>
                <w:i/>
                <w:iCs/>
                <w:sz w:val="20"/>
                <w:szCs w:val="20"/>
              </w:rPr>
            </w:pPr>
            <w:r w:rsidRPr="0035187E">
              <w:rPr>
                <w:rFonts w:ascii="Times New Roman" w:hAnsi="Times New Roman" w:cs="Times New Roman"/>
                <w:bCs/>
                <w:i/>
                <w:iCs/>
                <w:sz w:val="20"/>
                <w:szCs w:val="20"/>
              </w:rPr>
              <w:t xml:space="preserve">Pro účely daňového osvobození spropitného a současně jeho zdanění v případě překročení zákonem o daních z příjmů stanoveného limitu na straně zaměstnance je nezbytné přesně vymezit pojem „spropitné“. Podmínkou je, že se jedná o příjem plynoucí od třetí osoby, tj. od zákazníka, určený zaměstnanci. Faktickým příjemcem spropitného pro účely uplatnění příslušného daňového režimu je provozovatel stravovacích služeb, který vystupuje v postavení zaměstnavatele a plátce daně podle zákona o daních z příjmů. Tento provozovatel přijaté spropitné za poskytované stravovací služby následně přerozděluje mezi své zaměstnance, kteří tyto služby zákazníkům distribuují. </w:t>
            </w:r>
          </w:p>
          <w:p w14:paraId="1716FDA0" w14:textId="77777777" w:rsidR="00924283" w:rsidRPr="0035187E" w:rsidRDefault="00924283" w:rsidP="0035187E">
            <w:pPr>
              <w:jc w:val="both"/>
              <w:rPr>
                <w:rFonts w:ascii="Times New Roman" w:hAnsi="Times New Roman" w:cs="Times New Roman"/>
                <w:b/>
                <w:iCs/>
                <w:sz w:val="20"/>
                <w:szCs w:val="20"/>
              </w:rPr>
            </w:pPr>
          </w:p>
          <w:p w14:paraId="680CA2E3" w14:textId="77777777" w:rsidR="00924283" w:rsidRPr="0035187E" w:rsidRDefault="00924283" w:rsidP="0035187E">
            <w:pPr>
              <w:jc w:val="both"/>
              <w:rPr>
                <w:rFonts w:ascii="Times New Roman" w:hAnsi="Times New Roman" w:cs="Times New Roman"/>
                <w:b/>
                <w:bCs/>
                <w:iCs/>
                <w:sz w:val="20"/>
                <w:szCs w:val="20"/>
              </w:rPr>
            </w:pPr>
            <w:r w:rsidRPr="0035187E">
              <w:rPr>
                <w:rFonts w:ascii="Times New Roman" w:hAnsi="Times New Roman" w:cs="Times New Roman"/>
                <w:b/>
                <w:bCs/>
                <w:iCs/>
                <w:sz w:val="20"/>
                <w:szCs w:val="20"/>
              </w:rPr>
              <w:t xml:space="preserve">K bodu „stravování bufetového typu“. </w:t>
            </w:r>
          </w:p>
          <w:p w14:paraId="47D1CE68" w14:textId="77777777" w:rsidR="00924283" w:rsidRPr="0035187E" w:rsidRDefault="00924283" w:rsidP="0035187E">
            <w:pPr>
              <w:jc w:val="both"/>
              <w:rPr>
                <w:rFonts w:ascii="Times New Roman" w:hAnsi="Times New Roman" w:cs="Times New Roman"/>
                <w:b/>
                <w:iCs/>
                <w:sz w:val="20"/>
                <w:szCs w:val="20"/>
              </w:rPr>
            </w:pPr>
            <w:r w:rsidRPr="0035187E">
              <w:rPr>
                <w:rFonts w:ascii="Times New Roman" w:hAnsi="Times New Roman" w:cs="Times New Roman"/>
                <w:b/>
                <w:bCs/>
                <w:iCs/>
                <w:sz w:val="20"/>
                <w:szCs w:val="20"/>
              </w:rPr>
              <w:t>Vysvětleno.</w:t>
            </w:r>
          </w:p>
          <w:p w14:paraId="4864E148" w14:textId="56E853DB" w:rsidR="00924283" w:rsidRPr="0035187E" w:rsidRDefault="00924283" w:rsidP="0035187E">
            <w:pPr>
              <w:jc w:val="both"/>
              <w:rPr>
                <w:rFonts w:ascii="Times New Roman" w:hAnsi="Times New Roman" w:cs="Times New Roman"/>
                <w:bCs/>
                <w:iCs/>
                <w:sz w:val="20"/>
                <w:szCs w:val="20"/>
              </w:rPr>
            </w:pPr>
            <w:r w:rsidRPr="0035187E">
              <w:rPr>
                <w:rFonts w:ascii="Times New Roman" w:hAnsi="Times New Roman" w:cs="Times New Roman"/>
                <w:bCs/>
                <w:iCs/>
                <w:sz w:val="20"/>
                <w:szCs w:val="20"/>
              </w:rPr>
              <w:lastRenderedPageBreak/>
              <w:t>K vymezení okruhu dotčených provozoven</w:t>
            </w:r>
            <w:r w:rsidRPr="0035187E">
              <w:rPr>
                <w:rFonts w:ascii="Times New Roman" w:hAnsi="Times New Roman" w:cs="Times New Roman"/>
                <w:b/>
                <w:iCs/>
                <w:sz w:val="20"/>
                <w:szCs w:val="20"/>
              </w:rPr>
              <w:t xml:space="preserve"> </w:t>
            </w:r>
            <w:r w:rsidRPr="0035187E">
              <w:rPr>
                <w:rFonts w:ascii="Times New Roman" w:hAnsi="Times New Roman" w:cs="Times New Roman"/>
                <w:bCs/>
                <w:iCs/>
                <w:sz w:val="20"/>
                <w:szCs w:val="20"/>
              </w:rPr>
              <w:t>uvádíme, že osvobození se vztahuje pouze na spropitné poskytnuté v přímé souvislosti se stravovací službou poskytovanou v provozovně, v níž dochází k přípravě a prodeji pokrmů k přímé spotřebě. Tím je vyloučeno jeho uplatnění např. u provozoven, kde nedochází ke konzumaci na místě a které se svou povahou blíží maloobchodnímu prodeji. Z uvedeného vyplývá, že rozhodující je naplnění zákonných znaků stravovací služby a provozovny, nikoli konkrétní obchodní model.</w:t>
            </w:r>
          </w:p>
        </w:tc>
      </w:tr>
      <w:tr w:rsidR="0035187E" w:rsidRPr="0035187E" w14:paraId="38BBC225"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815C83D" w14:textId="747BE8C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46.</w:t>
            </w:r>
          </w:p>
        </w:tc>
        <w:tc>
          <w:tcPr>
            <w:tcW w:w="583" w:type="pct"/>
            <w:tcBorders>
              <w:top w:val="single" w:sz="4" w:space="0" w:color="auto"/>
              <w:left w:val="single" w:sz="4" w:space="0" w:color="auto"/>
              <w:right w:val="single" w:sz="4" w:space="0" w:color="auto"/>
            </w:tcBorders>
            <w:shd w:val="clear" w:color="auto" w:fill="auto"/>
          </w:tcPr>
          <w:p w14:paraId="66AF8CF9" w14:textId="509E76A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Komora daňových poradců ČR</w:t>
            </w:r>
          </w:p>
        </w:tc>
        <w:tc>
          <w:tcPr>
            <w:tcW w:w="168" w:type="pct"/>
            <w:tcBorders>
              <w:top w:val="single" w:sz="4" w:space="0" w:color="auto"/>
              <w:left w:val="single" w:sz="4" w:space="0" w:color="auto"/>
              <w:right w:val="single" w:sz="4" w:space="0" w:color="auto"/>
            </w:tcBorders>
            <w:shd w:val="clear" w:color="auto" w:fill="auto"/>
          </w:tcPr>
          <w:p w14:paraId="77C00ADD" w14:textId="1C36FD7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36.</w:t>
            </w:r>
          </w:p>
        </w:tc>
        <w:tc>
          <w:tcPr>
            <w:tcW w:w="169" w:type="pct"/>
            <w:tcBorders>
              <w:top w:val="single" w:sz="4" w:space="0" w:color="auto"/>
              <w:left w:val="single" w:sz="4" w:space="0" w:color="auto"/>
              <w:right w:val="single" w:sz="4" w:space="0" w:color="auto"/>
            </w:tcBorders>
            <w:shd w:val="clear" w:color="auto" w:fill="auto"/>
          </w:tcPr>
          <w:p w14:paraId="1D6DBB65" w14:textId="04A63A1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D397408" w14:textId="77777777" w:rsidR="000B4BD4" w:rsidRPr="0035187E" w:rsidRDefault="000B4BD4" w:rsidP="0035187E">
            <w:pPr>
              <w:numPr>
                <w:ilvl w:val="0"/>
                <w:numId w:val="54"/>
              </w:numPr>
              <w:ind w:left="0" w:firstLine="0"/>
              <w:contextualSpacing/>
              <w:jc w:val="both"/>
              <w:rPr>
                <w:rFonts w:ascii="Times New Roman" w:eastAsia="Calibri" w:hAnsi="Times New Roman" w:cs="Times New Roman"/>
                <w:b/>
                <w:sz w:val="20"/>
                <w:szCs w:val="20"/>
                <w:lang w:eastAsia="en-US"/>
              </w:rPr>
            </w:pPr>
            <w:r w:rsidRPr="0035187E">
              <w:rPr>
                <w:rFonts w:ascii="Times New Roman" w:eastAsia="Calibri" w:hAnsi="Times New Roman" w:cs="Times New Roman"/>
                <w:b/>
                <w:sz w:val="20"/>
                <w:szCs w:val="20"/>
                <w:lang w:eastAsia="en-US"/>
              </w:rPr>
              <w:t>K bodu 7 (§ 6 odst. 18)</w:t>
            </w:r>
          </w:p>
          <w:p w14:paraId="402511BA" w14:textId="7777777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 xml:space="preserve">Navrhujeme, aby v důvodové zprávě bylo popsáno a zdůvodněno, že se jedná o věcnou změnu, kdy od 1.1.2027 nebude nepeněžitý příjem na straně zaměstnance ve formě použití zařízení péče o předškolní děti, věku včetně mateřské školky podle školního zákona, oceněn speciální metodou dle § 6 odst. 18 ZDP ve znění účinném do 31.12.2026, ale měli by tak být aplikovány obecné principy dle § 6 odst. 3 ZDP. To znamená, že bude vycházet z ocenění dle § 6 odst. 3 ZDP, jako v případě ostatních zaměstnaneckých benefitů. </w:t>
            </w:r>
          </w:p>
          <w:p w14:paraId="6925D699" w14:textId="7777777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 xml:space="preserve">Toto ocenění bude i od 1.1.2027 nezbytné, zejména v případně pokud zaměstnavatel zvolí postup, kdy tento benefit bude považovat za daňově uznatelný výdaj dle § 24 odst. 2 písm. </w:t>
            </w:r>
            <w:proofErr w:type="spellStart"/>
            <w:r w:rsidRPr="0035187E">
              <w:rPr>
                <w:rFonts w:ascii="Times New Roman" w:hAnsi="Times New Roman" w:cs="Times New Roman"/>
                <w:bCs/>
                <w:sz w:val="20"/>
                <w:szCs w:val="20"/>
              </w:rPr>
              <w:t>zs</w:t>
            </w:r>
            <w:proofErr w:type="spellEnd"/>
            <w:r w:rsidRPr="0035187E">
              <w:rPr>
                <w:rFonts w:ascii="Times New Roman" w:hAnsi="Times New Roman" w:cs="Times New Roman"/>
                <w:bCs/>
                <w:sz w:val="20"/>
                <w:szCs w:val="20"/>
              </w:rPr>
              <w:t xml:space="preserve">) ZDP a zároveň jej bude </w:t>
            </w:r>
            <w:proofErr w:type="spellStart"/>
            <w:r w:rsidRPr="0035187E">
              <w:rPr>
                <w:rFonts w:ascii="Times New Roman" w:hAnsi="Times New Roman" w:cs="Times New Roman"/>
                <w:bCs/>
                <w:sz w:val="20"/>
                <w:szCs w:val="20"/>
              </w:rPr>
              <w:t>dodaňovat</w:t>
            </w:r>
            <w:proofErr w:type="spellEnd"/>
            <w:r w:rsidRPr="0035187E">
              <w:rPr>
                <w:rFonts w:ascii="Times New Roman" w:hAnsi="Times New Roman" w:cs="Times New Roman"/>
                <w:bCs/>
                <w:sz w:val="20"/>
                <w:szCs w:val="20"/>
              </w:rPr>
              <w:t xml:space="preserve"> na straně zaměstnance jako nepeněžitý příjem. Bylo by vhodné do důvodové zprávě uvést konkrétní příklady. </w:t>
            </w:r>
          </w:p>
          <w:p w14:paraId="15BAD5F4" w14:textId="639AB068"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Navrhujeme rovněž posoudit, zda z tohoto hlediska není nutné doplnit přechodné ustanovení, ze kterého by vyplývalo, že nový způsob ocenění tohoto benefitu se bude uplatňovat i na případy, kdy nárok na tento benefit vznikl (smlouva byla uzavřena) před 1.1.2027.</w:t>
            </w:r>
          </w:p>
        </w:tc>
        <w:tc>
          <w:tcPr>
            <w:tcW w:w="1453" w:type="pct"/>
            <w:tcBorders>
              <w:top w:val="single" w:sz="4" w:space="0" w:color="auto"/>
              <w:left w:val="single" w:sz="4" w:space="0" w:color="auto"/>
              <w:right w:val="single" w:sz="4" w:space="0" w:color="auto"/>
            </w:tcBorders>
            <w:shd w:val="clear" w:color="auto" w:fill="auto"/>
          </w:tcPr>
          <w:p w14:paraId="38FA1A44" w14:textId="238A1C4E" w:rsidR="00924283" w:rsidRPr="0035187E" w:rsidRDefault="00AA398D" w:rsidP="0035187E">
            <w:pPr>
              <w:jc w:val="both"/>
              <w:rPr>
                <w:rFonts w:ascii="Times New Roman" w:hAnsi="Times New Roman" w:cs="Times New Roman"/>
                <w:b/>
                <w:bCs/>
                <w:sz w:val="20"/>
                <w:szCs w:val="20"/>
              </w:rPr>
            </w:pPr>
            <w:r>
              <w:rPr>
                <w:rFonts w:ascii="Times New Roman" w:hAnsi="Times New Roman" w:cs="Times New Roman"/>
                <w:b/>
                <w:bCs/>
                <w:sz w:val="20"/>
                <w:szCs w:val="20"/>
              </w:rPr>
              <w:t>V</w:t>
            </w:r>
            <w:r w:rsidR="00924283" w:rsidRPr="0035187E">
              <w:rPr>
                <w:rFonts w:ascii="Times New Roman" w:hAnsi="Times New Roman" w:cs="Times New Roman"/>
                <w:b/>
                <w:bCs/>
                <w:sz w:val="20"/>
                <w:szCs w:val="20"/>
              </w:rPr>
              <w:t>yhověno/</w:t>
            </w:r>
            <w:r w:rsidR="00924283" w:rsidRPr="0035187E">
              <w:rPr>
                <w:rFonts w:ascii="Times New Roman" w:hAnsi="Times New Roman" w:cs="Times New Roman"/>
                <w:b/>
                <w:iCs/>
                <w:sz w:val="20"/>
                <w:szCs w:val="20"/>
              </w:rPr>
              <w:t>Vysvětleno.</w:t>
            </w:r>
            <w:r w:rsidR="00924283" w:rsidRPr="0035187E">
              <w:rPr>
                <w:rFonts w:ascii="Times New Roman" w:hAnsi="Times New Roman" w:cs="Times New Roman"/>
                <w:iCs/>
                <w:sz w:val="20"/>
                <w:szCs w:val="20"/>
              </w:rPr>
              <w:t xml:space="preserve"> </w:t>
            </w:r>
          </w:p>
          <w:p w14:paraId="6DCE7A5E" w14:textId="0DF53EB4" w:rsidR="00924283" w:rsidRDefault="00924283"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Uvedená změna vyplývá ze zrušení stropu volnočasových benefitů v § 6 odst. 9 písm. d) bod 2 zákona o daních z příjmů. V důsledku toho, pokud zaměstnavatel bude poskytovat benefit ve formě použití zařízení péče o děti předškolní věku včetně mateřské školky podle školského zákona od 1. 1. 2027, nebude se aplikovat speciální ocenění podle § 6 odst. 18 zákona o daních z příjmů, protože již nenastává věcná náplň odpovídající dosavadnímu zvláštnímu postupu. Ocenění bude probíhat podle obecných principů § 6 odst. 3 zákona o daních z příjmů, obdobně jako u ostatních zaměstnaneckých benefitů.</w:t>
            </w:r>
          </w:p>
          <w:p w14:paraId="1473490C" w14:textId="4D2E99E0" w:rsidR="006B6FE9" w:rsidRPr="0035187E" w:rsidRDefault="006B6FE9" w:rsidP="0035187E">
            <w:pPr>
              <w:jc w:val="both"/>
              <w:rPr>
                <w:rFonts w:ascii="Times New Roman" w:hAnsi="Times New Roman" w:cs="Times New Roman"/>
                <w:iCs/>
                <w:sz w:val="20"/>
                <w:szCs w:val="20"/>
              </w:rPr>
            </w:pPr>
            <w:r w:rsidRPr="006B6FE9">
              <w:rPr>
                <w:rFonts w:ascii="Times New Roman" w:hAnsi="Times New Roman" w:cs="Times New Roman"/>
                <w:sz w:val="20"/>
                <w:szCs w:val="20"/>
              </w:rPr>
              <w:t>Z důvodů odstranění pochybností lze přistoupit k doplnění odůvodnění, že s účinností od 1. ledna 2027 se hodnota nepeněžního příjmu ve formě použití zařízení péče o děti předškolního věku na straně zaměstnance stanoví podle obecných principů uvedených v § 6 odst. 3 zákona o daních z příjmů.</w:t>
            </w:r>
          </w:p>
          <w:p w14:paraId="253955EC" w14:textId="77777777" w:rsidR="00924283" w:rsidRPr="0035187E" w:rsidRDefault="00924283"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 xml:space="preserve">Přechodné období je zohledněno formou samotného poskytnutí benefitu. Pokud bude benefit poskytnut v roce 2026, nadále se uplatní ocenění podle § 6 odst. 18 zákona o daních z příjmů. Pokud bude poskytnut od 1. 1. 2027, použijí se obecné zásady ocenění podle § 6 odst. 3 zákona o daních z příjmů. </w:t>
            </w:r>
          </w:p>
          <w:p w14:paraId="3BAEB753" w14:textId="046C9BA8" w:rsidR="000B4BD4" w:rsidRPr="0035187E" w:rsidRDefault="000B4BD4" w:rsidP="0035187E">
            <w:pPr>
              <w:jc w:val="both"/>
              <w:rPr>
                <w:rFonts w:ascii="Times New Roman" w:hAnsi="Times New Roman" w:cs="Times New Roman"/>
                <w:i/>
                <w:sz w:val="20"/>
                <w:szCs w:val="20"/>
              </w:rPr>
            </w:pPr>
          </w:p>
        </w:tc>
      </w:tr>
      <w:tr w:rsidR="0035187E" w:rsidRPr="0035187E" w14:paraId="6A1756FF"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613DADD" w14:textId="6A3AECC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46.</w:t>
            </w:r>
          </w:p>
        </w:tc>
        <w:tc>
          <w:tcPr>
            <w:tcW w:w="583" w:type="pct"/>
            <w:tcBorders>
              <w:top w:val="single" w:sz="4" w:space="0" w:color="auto"/>
              <w:left w:val="single" w:sz="4" w:space="0" w:color="auto"/>
              <w:right w:val="single" w:sz="4" w:space="0" w:color="auto"/>
            </w:tcBorders>
            <w:shd w:val="clear" w:color="auto" w:fill="auto"/>
          </w:tcPr>
          <w:p w14:paraId="12C00676" w14:textId="719BC2F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Komora daňových poradců ČR</w:t>
            </w:r>
          </w:p>
        </w:tc>
        <w:tc>
          <w:tcPr>
            <w:tcW w:w="168" w:type="pct"/>
            <w:tcBorders>
              <w:top w:val="single" w:sz="4" w:space="0" w:color="auto"/>
              <w:left w:val="single" w:sz="4" w:space="0" w:color="auto"/>
              <w:right w:val="single" w:sz="4" w:space="0" w:color="auto"/>
            </w:tcBorders>
            <w:shd w:val="clear" w:color="auto" w:fill="auto"/>
          </w:tcPr>
          <w:p w14:paraId="6BC49CDB" w14:textId="1B4165C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37.</w:t>
            </w:r>
          </w:p>
        </w:tc>
        <w:tc>
          <w:tcPr>
            <w:tcW w:w="169" w:type="pct"/>
            <w:tcBorders>
              <w:top w:val="single" w:sz="4" w:space="0" w:color="auto"/>
              <w:left w:val="single" w:sz="4" w:space="0" w:color="auto"/>
              <w:right w:val="single" w:sz="4" w:space="0" w:color="auto"/>
            </w:tcBorders>
            <w:shd w:val="clear" w:color="auto" w:fill="auto"/>
          </w:tcPr>
          <w:p w14:paraId="70C25C0A" w14:textId="36E99A8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DE5602B" w14:textId="77777777" w:rsidR="000B4BD4" w:rsidRPr="0035187E" w:rsidRDefault="000B4BD4" w:rsidP="0035187E">
            <w:pPr>
              <w:numPr>
                <w:ilvl w:val="0"/>
                <w:numId w:val="54"/>
              </w:numPr>
              <w:ind w:left="0" w:firstLine="0"/>
              <w:contextualSpacing/>
              <w:jc w:val="both"/>
              <w:rPr>
                <w:rFonts w:ascii="Times New Roman" w:eastAsia="Calibri" w:hAnsi="Times New Roman" w:cs="Times New Roman"/>
                <w:b/>
                <w:sz w:val="20"/>
                <w:szCs w:val="20"/>
                <w:lang w:eastAsia="en-US"/>
              </w:rPr>
            </w:pPr>
            <w:r w:rsidRPr="0035187E">
              <w:rPr>
                <w:rFonts w:ascii="Times New Roman" w:eastAsia="Calibri" w:hAnsi="Times New Roman" w:cs="Times New Roman"/>
                <w:b/>
                <w:sz w:val="20"/>
                <w:szCs w:val="20"/>
                <w:lang w:eastAsia="en-US"/>
              </w:rPr>
              <w:t>K bodu 14 (§ 35bd odst. 6) – Předškolní zařízení</w:t>
            </w:r>
          </w:p>
          <w:p w14:paraId="63A75126" w14:textId="7777777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 xml:space="preserve">§ 35bd odst. 6 ZDP nově definuje pojem předškolní zařízení, § 24 odst. 2 písm. </w:t>
            </w:r>
            <w:proofErr w:type="spellStart"/>
            <w:r w:rsidRPr="0035187E">
              <w:rPr>
                <w:rFonts w:ascii="Times New Roman" w:hAnsi="Times New Roman" w:cs="Times New Roman"/>
                <w:bCs/>
                <w:sz w:val="20"/>
                <w:szCs w:val="20"/>
              </w:rPr>
              <w:t>zs</w:t>
            </w:r>
            <w:proofErr w:type="spellEnd"/>
            <w:r w:rsidRPr="0035187E">
              <w:rPr>
                <w:rFonts w:ascii="Times New Roman" w:hAnsi="Times New Roman" w:cs="Times New Roman"/>
                <w:bCs/>
                <w:sz w:val="20"/>
                <w:szCs w:val="20"/>
              </w:rPr>
              <w:t xml:space="preserve">) ZDP pracuje s termínem zařízení péče o děti předškolního věku a mateřské školy. Změna terminologie v § 24 odst. 2 písm. </w:t>
            </w:r>
            <w:proofErr w:type="spellStart"/>
            <w:r w:rsidRPr="0035187E">
              <w:rPr>
                <w:rFonts w:ascii="Times New Roman" w:hAnsi="Times New Roman" w:cs="Times New Roman"/>
                <w:bCs/>
                <w:sz w:val="20"/>
                <w:szCs w:val="20"/>
              </w:rPr>
              <w:t>zs</w:t>
            </w:r>
            <w:proofErr w:type="spellEnd"/>
            <w:r w:rsidRPr="0035187E">
              <w:rPr>
                <w:rFonts w:ascii="Times New Roman" w:hAnsi="Times New Roman" w:cs="Times New Roman"/>
                <w:bCs/>
                <w:sz w:val="20"/>
                <w:szCs w:val="20"/>
              </w:rPr>
              <w:t xml:space="preserve">) ZDP je odůvodněná následujícím textem důvodové zprávy. Domníváme se, že v návaznosti na znovuzavedení definice předškolního zařízení </w:t>
            </w:r>
            <w:r w:rsidRPr="0035187E">
              <w:rPr>
                <w:rFonts w:ascii="Times New Roman" w:hAnsi="Times New Roman" w:cs="Times New Roman"/>
                <w:bCs/>
                <w:sz w:val="20"/>
                <w:szCs w:val="20"/>
              </w:rPr>
              <w:lastRenderedPageBreak/>
              <w:t xml:space="preserve">je třeba zvážit i související změnu § 24 odst. 2 písm. </w:t>
            </w:r>
            <w:proofErr w:type="spellStart"/>
            <w:r w:rsidRPr="0035187E">
              <w:rPr>
                <w:rFonts w:ascii="Times New Roman" w:hAnsi="Times New Roman" w:cs="Times New Roman"/>
                <w:bCs/>
                <w:sz w:val="20"/>
                <w:szCs w:val="20"/>
              </w:rPr>
              <w:t>zs</w:t>
            </w:r>
            <w:proofErr w:type="spellEnd"/>
            <w:r w:rsidRPr="0035187E">
              <w:rPr>
                <w:rFonts w:ascii="Times New Roman" w:hAnsi="Times New Roman" w:cs="Times New Roman"/>
                <w:bCs/>
                <w:sz w:val="20"/>
                <w:szCs w:val="20"/>
              </w:rPr>
              <w:t xml:space="preserve">) ZDP tak, aby byla zajištěna </w:t>
            </w:r>
            <w:proofErr w:type="spellStart"/>
            <w:r w:rsidRPr="0035187E">
              <w:rPr>
                <w:rFonts w:ascii="Times New Roman" w:hAnsi="Times New Roman" w:cs="Times New Roman"/>
                <w:bCs/>
                <w:sz w:val="20"/>
                <w:szCs w:val="20"/>
              </w:rPr>
              <w:t>provazba</w:t>
            </w:r>
            <w:proofErr w:type="spellEnd"/>
            <w:r w:rsidRPr="0035187E">
              <w:rPr>
                <w:rFonts w:ascii="Times New Roman" w:hAnsi="Times New Roman" w:cs="Times New Roman"/>
                <w:bCs/>
                <w:sz w:val="20"/>
                <w:szCs w:val="20"/>
              </w:rPr>
              <w:t xml:space="preserve"> těchto dvou ustanovení.</w:t>
            </w:r>
          </w:p>
          <w:p w14:paraId="6B51EDC8" w14:textId="289E4F28"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i/>
                <w:iCs/>
                <w:sz w:val="20"/>
                <w:szCs w:val="20"/>
              </w:rPr>
              <w:t xml:space="preserve">"V návaznosti na navržené zrušení slevy za umístění dítěte a společně s ní i vymezení předškolního zařízení v dosavadním § 35bb odst. 6 zákona o daních z příjmů a také v návaznosti na zrušení osvobození nepeněžních příjmů zaměstnance ve formě podle § 6 odst. 9 písm. d) zákona o daních z příjmů se navrhuje vycházet z dosavadního §6 odst. 9 písm. d) bodu 2 zákona o daních z příjmů a ustanovení § 24 odst. 2 písm. </w:t>
            </w:r>
            <w:proofErr w:type="spellStart"/>
            <w:r w:rsidRPr="0035187E">
              <w:rPr>
                <w:rFonts w:ascii="Times New Roman" w:hAnsi="Times New Roman" w:cs="Times New Roman"/>
                <w:bCs/>
                <w:i/>
                <w:iCs/>
                <w:sz w:val="20"/>
                <w:szCs w:val="20"/>
              </w:rPr>
              <w:t>zs</w:t>
            </w:r>
            <w:proofErr w:type="spellEnd"/>
            <w:r w:rsidRPr="0035187E">
              <w:rPr>
                <w:rFonts w:ascii="Times New Roman" w:hAnsi="Times New Roman" w:cs="Times New Roman"/>
                <w:bCs/>
                <w:i/>
                <w:iCs/>
                <w:sz w:val="20"/>
                <w:szCs w:val="20"/>
              </w:rPr>
              <w:t>) zákona o daních z příjmů upravit tak, že namísto pojmu „předškolní zařízení“ bude použito obecnější vyjádření, a sice „zařízení péče o děti předškolního věku“. Pojem zařízení péče o děti předškolního věku nebude pro účely zákona o daních z příjmů nijak vymezeno, a proto je nutné vycházet z jeho obecného významu. Z hlediska daňové uznatelnosti výdajů na straně zaměstnavatele v důsledku použití tohoto obecného pojmu tak dochází k rozšíření, neboť výdaji vynaloženými na dosažení, zajištění a udržení zdanitelných příjmů nově budou výdaje na provoz nebo příspěvky na provoz jakéhokoliv zařízení péče o děti předškolního věku, tj. i na provoz zařízení, která nejsou mateřskými školami podle školského zákona, dětskými skupinami podle zákona o poskytování služby péče o dítě v dětské skupině ani zařízeními péče o dítě předškolního věku provozovanými na základě živnostenského oprávnění. Daňová uznatelnost výdajů na provoz mateřské školy podle školského zákona včetně jejích zahraničních alternativ zůstane zachována beze změn. Ve vztahu k mateřské škole se navrhuje legislativně-technická úprava spočívající ve vypuštění odkazu na školský zákon, díky čemuž bude pojem mateřská škola zahrnovat taktéž mateřské školy podle zahraniční právní úpravy, aniž by bylo nutné tuto skutečnost výslovně zmiňovat v textu ustanovení."</w:t>
            </w:r>
          </w:p>
        </w:tc>
        <w:tc>
          <w:tcPr>
            <w:tcW w:w="1453" w:type="pct"/>
            <w:tcBorders>
              <w:top w:val="single" w:sz="4" w:space="0" w:color="auto"/>
              <w:left w:val="single" w:sz="4" w:space="0" w:color="auto"/>
              <w:right w:val="single" w:sz="4" w:space="0" w:color="auto"/>
            </w:tcBorders>
            <w:shd w:val="clear" w:color="auto" w:fill="auto"/>
          </w:tcPr>
          <w:p w14:paraId="0F57BC7F" w14:textId="77777777" w:rsidR="00924283" w:rsidRPr="0035187E" w:rsidRDefault="00924283"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Nevyhověno.</w:t>
            </w:r>
          </w:p>
          <w:p w14:paraId="411BFF20" w14:textId="5D0F325F" w:rsidR="000B4BD4" w:rsidRPr="0035187E" w:rsidRDefault="00924283" w:rsidP="0035187E">
            <w:pPr>
              <w:jc w:val="both"/>
              <w:rPr>
                <w:rFonts w:ascii="Times New Roman" w:hAnsi="Times New Roman" w:cs="Times New Roman"/>
                <w:i/>
                <w:sz w:val="20"/>
                <w:szCs w:val="20"/>
              </w:rPr>
            </w:pPr>
            <w:r w:rsidRPr="0035187E">
              <w:rPr>
                <w:rFonts w:ascii="Times New Roman" w:hAnsi="Times New Roman" w:cs="Times New Roman"/>
                <w:sz w:val="20"/>
                <w:szCs w:val="20"/>
              </w:rPr>
              <w:t xml:space="preserve">Jedná se o připomínku nad rámec navrhované novely. Není záměrem zužovat stávající rozsah ustanovení § 24 odst. 2 písm. </w:t>
            </w:r>
            <w:proofErr w:type="spellStart"/>
            <w:r w:rsidRPr="0035187E">
              <w:rPr>
                <w:rFonts w:ascii="Times New Roman" w:hAnsi="Times New Roman" w:cs="Times New Roman"/>
                <w:sz w:val="20"/>
                <w:szCs w:val="20"/>
              </w:rPr>
              <w:t>zs</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Provazba</w:t>
            </w:r>
            <w:proofErr w:type="spellEnd"/>
            <w:r w:rsidRPr="0035187E">
              <w:rPr>
                <w:rFonts w:ascii="Times New Roman" w:hAnsi="Times New Roman" w:cs="Times New Roman"/>
                <w:sz w:val="20"/>
                <w:szCs w:val="20"/>
              </w:rPr>
              <w:t xml:space="preserve"> na ustanovení § 35bd </w:t>
            </w:r>
            <w:r w:rsidRPr="0035187E">
              <w:rPr>
                <w:rFonts w:ascii="Times New Roman" w:hAnsi="Times New Roman" w:cs="Times New Roman"/>
                <w:sz w:val="20"/>
                <w:szCs w:val="20"/>
              </w:rPr>
              <w:lastRenderedPageBreak/>
              <w:t>odst. 6) není nezbytná, protože každé ustanovení míří na jinou formu daňové podpory.</w:t>
            </w:r>
          </w:p>
        </w:tc>
      </w:tr>
      <w:tr w:rsidR="0035187E" w:rsidRPr="0035187E" w14:paraId="6996E33F"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C7175D1" w14:textId="7F93BB5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46.</w:t>
            </w:r>
          </w:p>
        </w:tc>
        <w:tc>
          <w:tcPr>
            <w:tcW w:w="583" w:type="pct"/>
            <w:tcBorders>
              <w:top w:val="single" w:sz="4" w:space="0" w:color="auto"/>
              <w:left w:val="single" w:sz="4" w:space="0" w:color="auto"/>
              <w:right w:val="single" w:sz="4" w:space="0" w:color="auto"/>
            </w:tcBorders>
            <w:shd w:val="clear" w:color="auto" w:fill="auto"/>
          </w:tcPr>
          <w:p w14:paraId="47C18C19" w14:textId="6188218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Komora daňových poradců ČR</w:t>
            </w:r>
          </w:p>
        </w:tc>
        <w:tc>
          <w:tcPr>
            <w:tcW w:w="168" w:type="pct"/>
            <w:tcBorders>
              <w:top w:val="single" w:sz="4" w:space="0" w:color="auto"/>
              <w:left w:val="single" w:sz="4" w:space="0" w:color="auto"/>
              <w:right w:val="single" w:sz="4" w:space="0" w:color="auto"/>
            </w:tcBorders>
            <w:shd w:val="clear" w:color="auto" w:fill="auto"/>
          </w:tcPr>
          <w:p w14:paraId="67286542" w14:textId="675FFEA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38.</w:t>
            </w:r>
          </w:p>
        </w:tc>
        <w:tc>
          <w:tcPr>
            <w:tcW w:w="169" w:type="pct"/>
            <w:tcBorders>
              <w:top w:val="single" w:sz="4" w:space="0" w:color="auto"/>
              <w:left w:val="single" w:sz="4" w:space="0" w:color="auto"/>
              <w:right w:val="single" w:sz="4" w:space="0" w:color="auto"/>
            </w:tcBorders>
            <w:shd w:val="clear" w:color="auto" w:fill="auto"/>
          </w:tcPr>
          <w:p w14:paraId="13C18E70" w14:textId="68BA343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6DFF080" w14:textId="77777777" w:rsidR="000B4BD4" w:rsidRPr="0035187E" w:rsidRDefault="000B4BD4" w:rsidP="0035187E">
            <w:pPr>
              <w:numPr>
                <w:ilvl w:val="0"/>
                <w:numId w:val="54"/>
              </w:numPr>
              <w:ind w:left="0" w:firstLine="0"/>
              <w:contextualSpacing/>
              <w:jc w:val="both"/>
              <w:rPr>
                <w:rFonts w:ascii="Times New Roman" w:eastAsia="Calibri" w:hAnsi="Times New Roman" w:cs="Times New Roman"/>
                <w:b/>
                <w:sz w:val="20"/>
                <w:szCs w:val="20"/>
                <w:lang w:eastAsia="en-US"/>
              </w:rPr>
            </w:pPr>
            <w:r w:rsidRPr="0035187E">
              <w:rPr>
                <w:rFonts w:ascii="Times New Roman" w:eastAsia="Calibri" w:hAnsi="Times New Roman" w:cs="Times New Roman"/>
                <w:b/>
                <w:sz w:val="20"/>
                <w:szCs w:val="20"/>
                <w:lang w:eastAsia="en-US"/>
              </w:rPr>
              <w:t>K bodu 33 (§ 38t odst. 8)</w:t>
            </w:r>
          </w:p>
          <w:p w14:paraId="03822307" w14:textId="0BD20E83"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Z principu věci by tato nová oznamovací povinnost měla být poprvé aplikována až 31.1.2028 (tj. za zdaňovací období roku 2027). Tuto skutečnost je však nutné zahrnout do přechodného ustanovení, případně do účinnosti novely.</w:t>
            </w:r>
          </w:p>
        </w:tc>
        <w:tc>
          <w:tcPr>
            <w:tcW w:w="1453" w:type="pct"/>
            <w:tcBorders>
              <w:top w:val="single" w:sz="4" w:space="0" w:color="auto"/>
              <w:left w:val="single" w:sz="4" w:space="0" w:color="auto"/>
              <w:right w:val="single" w:sz="4" w:space="0" w:color="auto"/>
            </w:tcBorders>
            <w:shd w:val="clear" w:color="auto" w:fill="auto"/>
          </w:tcPr>
          <w:p w14:paraId="5C91309C" w14:textId="77777777" w:rsidR="00924283" w:rsidRPr="0035187E" w:rsidRDefault="00924283" w:rsidP="0035187E">
            <w:pPr>
              <w:jc w:val="both"/>
              <w:rPr>
                <w:rFonts w:ascii="Times New Roman" w:hAnsi="Times New Roman" w:cs="Times New Roman"/>
                <w:i/>
                <w:sz w:val="20"/>
                <w:szCs w:val="20"/>
              </w:rPr>
            </w:pPr>
            <w:r w:rsidRPr="0035187E">
              <w:rPr>
                <w:rFonts w:ascii="Times New Roman" w:hAnsi="Times New Roman" w:cs="Times New Roman"/>
                <w:b/>
                <w:bCs/>
                <w:sz w:val="20"/>
                <w:szCs w:val="20"/>
              </w:rPr>
              <w:t>Nevyhověno.</w:t>
            </w:r>
          </w:p>
          <w:p w14:paraId="328669D5" w14:textId="3E4A3C7B" w:rsidR="000B4BD4" w:rsidRPr="0035187E" w:rsidRDefault="00924283"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Toto vyplývá z přechodného ustanovení v čl. III bodě 1, podle kterého se nová úprava použije až za povinnosti týkající se zdaňovacích období započatých ode dne nabytí účinnosti této novely. Půjde tedy o zdaňovací období roku 2027 a povinnost podle § 38t odst. 8 bude plněna do 31. ledna 2028.</w:t>
            </w:r>
          </w:p>
        </w:tc>
      </w:tr>
      <w:tr w:rsidR="0035187E" w:rsidRPr="0035187E" w14:paraId="68332A5A"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C98E40B" w14:textId="3E7AEED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46.</w:t>
            </w:r>
          </w:p>
        </w:tc>
        <w:tc>
          <w:tcPr>
            <w:tcW w:w="583" w:type="pct"/>
            <w:tcBorders>
              <w:top w:val="single" w:sz="4" w:space="0" w:color="auto"/>
              <w:left w:val="single" w:sz="4" w:space="0" w:color="auto"/>
              <w:right w:val="single" w:sz="4" w:space="0" w:color="auto"/>
            </w:tcBorders>
            <w:shd w:val="clear" w:color="auto" w:fill="auto"/>
          </w:tcPr>
          <w:p w14:paraId="70715302" w14:textId="0D28994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Komora daňových poradců ČR</w:t>
            </w:r>
          </w:p>
        </w:tc>
        <w:tc>
          <w:tcPr>
            <w:tcW w:w="168" w:type="pct"/>
            <w:tcBorders>
              <w:top w:val="single" w:sz="4" w:space="0" w:color="auto"/>
              <w:left w:val="single" w:sz="4" w:space="0" w:color="auto"/>
              <w:right w:val="single" w:sz="4" w:space="0" w:color="auto"/>
            </w:tcBorders>
            <w:shd w:val="clear" w:color="auto" w:fill="auto"/>
          </w:tcPr>
          <w:p w14:paraId="468A6BD6" w14:textId="3E2E661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39.</w:t>
            </w:r>
          </w:p>
        </w:tc>
        <w:tc>
          <w:tcPr>
            <w:tcW w:w="169" w:type="pct"/>
            <w:tcBorders>
              <w:top w:val="single" w:sz="4" w:space="0" w:color="auto"/>
              <w:left w:val="single" w:sz="4" w:space="0" w:color="auto"/>
              <w:right w:val="single" w:sz="4" w:space="0" w:color="auto"/>
            </w:tcBorders>
            <w:shd w:val="clear" w:color="auto" w:fill="auto"/>
          </w:tcPr>
          <w:p w14:paraId="4757D12D" w14:textId="150FAD3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CAA54E9" w14:textId="77777777" w:rsidR="000B4BD4" w:rsidRPr="0035187E" w:rsidRDefault="000B4BD4" w:rsidP="0035187E">
            <w:pPr>
              <w:numPr>
                <w:ilvl w:val="0"/>
                <w:numId w:val="54"/>
              </w:numPr>
              <w:ind w:left="0" w:firstLine="0"/>
              <w:contextualSpacing/>
              <w:jc w:val="both"/>
              <w:rPr>
                <w:rFonts w:ascii="Times New Roman" w:eastAsia="Calibri" w:hAnsi="Times New Roman" w:cs="Times New Roman"/>
                <w:b/>
                <w:sz w:val="20"/>
                <w:szCs w:val="20"/>
                <w:lang w:eastAsia="en-US"/>
              </w:rPr>
            </w:pPr>
            <w:r w:rsidRPr="0035187E">
              <w:rPr>
                <w:rFonts w:ascii="Times New Roman" w:eastAsia="Calibri" w:hAnsi="Times New Roman" w:cs="Times New Roman"/>
                <w:b/>
                <w:sz w:val="20"/>
                <w:szCs w:val="20"/>
                <w:lang w:eastAsia="en-US"/>
              </w:rPr>
              <w:t>K § 38l odst. 1 písm. g)</w:t>
            </w:r>
          </w:p>
          <w:p w14:paraId="4D882079" w14:textId="7777777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Navrhovaný text zákona:</w:t>
            </w:r>
          </w:p>
          <w:p w14:paraId="7A5293C7" w14:textId="77777777" w:rsidR="000B4BD4" w:rsidRPr="0035187E" w:rsidRDefault="000B4BD4" w:rsidP="0035187E">
            <w:pPr>
              <w:jc w:val="both"/>
              <w:rPr>
                <w:rFonts w:ascii="Times New Roman" w:hAnsi="Times New Roman" w:cs="Times New Roman"/>
                <w:bCs/>
                <w:i/>
                <w:iCs/>
                <w:sz w:val="20"/>
                <w:szCs w:val="20"/>
              </w:rPr>
            </w:pPr>
            <w:r w:rsidRPr="0035187E">
              <w:rPr>
                <w:rFonts w:ascii="Times New Roman" w:hAnsi="Times New Roman" w:cs="Times New Roman"/>
                <w:bCs/>
                <w:i/>
                <w:iCs/>
                <w:sz w:val="20"/>
                <w:szCs w:val="20"/>
              </w:rPr>
              <w:t>„potvrzením poplatníka vyživujícího v daném zdaňovacím období totéž dítě jako poplatník a žijícího alespoň po část daného zdaňovacího období s tímto dítětem ve společně hospodařící domácnosti; potvrzení musí obsahovat jméno poplatníka, jméno vyživovaného dítěte a výši uplatněné slevy za umístění dítěte,“</w:t>
            </w:r>
          </w:p>
          <w:p w14:paraId="4CFC209E" w14:textId="7777777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 xml:space="preserve">Navrhujeme do textu zákona doplnit formulaci „tímto druhým poplatníkem“, aby z textu zákona bylo srozumitelné, že potvrzení dokládá výši slevy případně uplatněné druhým poplatníkem. </w:t>
            </w:r>
          </w:p>
          <w:p w14:paraId="0F007C6C" w14:textId="4B1A5EAF"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i/>
                <w:iCs/>
                <w:sz w:val="20"/>
                <w:szCs w:val="20"/>
              </w:rPr>
              <w:t>„potvrzením poplatníka vyživujícího v daném zdaňovacím období totéž dítě jako poplatník a žijícího alespoň po část daného zdaňovacího období s tímto dítětem ve společně hospodařící domácnosti; potvrzení musí obsahovat jméno poplatníka, jméno vyživovaného dítěte a výši uplatněné slevy za umístění dítěte tímto druhým poplatníkem,“</w:t>
            </w:r>
          </w:p>
        </w:tc>
        <w:tc>
          <w:tcPr>
            <w:tcW w:w="1453" w:type="pct"/>
            <w:tcBorders>
              <w:top w:val="single" w:sz="4" w:space="0" w:color="auto"/>
              <w:left w:val="single" w:sz="4" w:space="0" w:color="auto"/>
              <w:right w:val="single" w:sz="4" w:space="0" w:color="auto"/>
            </w:tcBorders>
            <w:shd w:val="clear" w:color="auto" w:fill="auto"/>
          </w:tcPr>
          <w:p w14:paraId="0B21843F" w14:textId="77777777" w:rsidR="00924283" w:rsidRPr="0035187E" w:rsidRDefault="00924283" w:rsidP="0035187E">
            <w:pPr>
              <w:jc w:val="both"/>
              <w:rPr>
                <w:rFonts w:ascii="Times New Roman" w:hAnsi="Times New Roman" w:cs="Times New Roman"/>
                <w:sz w:val="20"/>
                <w:szCs w:val="20"/>
              </w:rPr>
            </w:pPr>
            <w:r w:rsidRPr="0035187E">
              <w:rPr>
                <w:rFonts w:ascii="Times New Roman" w:hAnsi="Times New Roman" w:cs="Times New Roman"/>
                <w:b/>
                <w:bCs/>
                <w:sz w:val="20"/>
                <w:szCs w:val="20"/>
              </w:rPr>
              <w:t>Vyhověno jinak.</w:t>
            </w:r>
          </w:p>
          <w:p w14:paraId="1FDB1298" w14:textId="77777777" w:rsidR="00924283" w:rsidRPr="0035187E" w:rsidRDefault="00924283"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Jedná se o text zákona včetně DZ k </w:t>
            </w:r>
            <w:r w:rsidRPr="0035187E">
              <w:rPr>
                <w:rFonts w:ascii="Times New Roman" w:hAnsi="Times New Roman" w:cs="Times New Roman"/>
                <w:b/>
                <w:bCs/>
                <w:sz w:val="20"/>
                <w:szCs w:val="20"/>
              </w:rPr>
              <w:t>§ 38l odst. 2 písm. g)</w:t>
            </w:r>
            <w:r w:rsidRPr="0035187E">
              <w:rPr>
                <w:rFonts w:ascii="Times New Roman" w:hAnsi="Times New Roman" w:cs="Times New Roman"/>
                <w:sz w:val="20"/>
                <w:szCs w:val="20"/>
              </w:rPr>
              <w:t xml:space="preserve"> zákona o daních z příjmů.</w:t>
            </w:r>
          </w:p>
          <w:p w14:paraId="20B2033E" w14:textId="3265236B" w:rsidR="000B4BD4" w:rsidRPr="0035187E" w:rsidRDefault="00924283" w:rsidP="0035187E">
            <w:pPr>
              <w:jc w:val="both"/>
              <w:rPr>
                <w:rFonts w:ascii="Times New Roman" w:hAnsi="Times New Roman" w:cs="Times New Roman"/>
                <w:i/>
                <w:sz w:val="20"/>
                <w:szCs w:val="20"/>
              </w:rPr>
            </w:pPr>
            <w:r w:rsidRPr="0035187E">
              <w:rPr>
                <w:rFonts w:ascii="Times New Roman" w:hAnsi="Times New Roman" w:cs="Times New Roman"/>
                <w:iCs/>
                <w:sz w:val="20"/>
                <w:szCs w:val="20"/>
              </w:rPr>
              <w:t xml:space="preserve">Text ustanovení § 38l odst. 1 písm. g) bodu 2 je upraven takto: „potvrzením jiného poplatníka vyživujícího v daném zdaňovacím období totéž dítě jako poplatník a žijícího alespoň po část daného zdaňovacího období s tímto dítětem ve společně hospodařící domácnosti; potvrzení musí obsahovat jméno jiného poplatníka, jméno vyživovaného dítěte a výši jím uplatněné slevy za umístění dítěte“. V původní podobě sice vyplývá, že se jedná o druhého poplatníka („potvrzení poplatníka“), explicitní </w:t>
            </w:r>
            <w:r w:rsidRPr="0035187E">
              <w:rPr>
                <w:rFonts w:ascii="Times New Roman" w:hAnsi="Times New Roman" w:cs="Times New Roman"/>
                <w:iCs/>
                <w:sz w:val="20"/>
                <w:szCs w:val="20"/>
              </w:rPr>
              <w:lastRenderedPageBreak/>
              <w:t>doplnění však zvyšuje srozumitelnost a odstraňuje možné nejasnosti při aplikaci zákona.</w:t>
            </w:r>
          </w:p>
        </w:tc>
      </w:tr>
      <w:tr w:rsidR="0035187E" w:rsidRPr="0035187E" w14:paraId="3A0F697E"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DECADD1" w14:textId="698DDC7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46.</w:t>
            </w:r>
          </w:p>
        </w:tc>
        <w:tc>
          <w:tcPr>
            <w:tcW w:w="583" w:type="pct"/>
            <w:tcBorders>
              <w:top w:val="single" w:sz="4" w:space="0" w:color="auto"/>
              <w:left w:val="single" w:sz="4" w:space="0" w:color="auto"/>
              <w:right w:val="single" w:sz="4" w:space="0" w:color="auto"/>
            </w:tcBorders>
            <w:shd w:val="clear" w:color="auto" w:fill="auto"/>
          </w:tcPr>
          <w:p w14:paraId="4BD4ECB6" w14:textId="0250862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Komora daňových poradců ČR</w:t>
            </w:r>
          </w:p>
        </w:tc>
        <w:tc>
          <w:tcPr>
            <w:tcW w:w="168" w:type="pct"/>
            <w:tcBorders>
              <w:top w:val="single" w:sz="4" w:space="0" w:color="auto"/>
              <w:left w:val="single" w:sz="4" w:space="0" w:color="auto"/>
              <w:right w:val="single" w:sz="4" w:space="0" w:color="auto"/>
            </w:tcBorders>
            <w:shd w:val="clear" w:color="auto" w:fill="auto"/>
          </w:tcPr>
          <w:p w14:paraId="4289EE64" w14:textId="33722F3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40.</w:t>
            </w:r>
          </w:p>
        </w:tc>
        <w:tc>
          <w:tcPr>
            <w:tcW w:w="169" w:type="pct"/>
            <w:tcBorders>
              <w:top w:val="single" w:sz="4" w:space="0" w:color="auto"/>
              <w:left w:val="single" w:sz="4" w:space="0" w:color="auto"/>
              <w:right w:val="single" w:sz="4" w:space="0" w:color="auto"/>
            </w:tcBorders>
            <w:shd w:val="clear" w:color="auto" w:fill="auto"/>
          </w:tcPr>
          <w:p w14:paraId="408B37DD" w14:textId="3E8B345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8F8F1F0" w14:textId="77777777" w:rsidR="000B4BD4" w:rsidRPr="0035187E" w:rsidRDefault="000B4BD4" w:rsidP="0035187E">
            <w:pPr>
              <w:numPr>
                <w:ilvl w:val="0"/>
                <w:numId w:val="54"/>
              </w:numPr>
              <w:ind w:left="0" w:firstLine="0"/>
              <w:contextualSpacing/>
              <w:jc w:val="both"/>
              <w:rPr>
                <w:rFonts w:ascii="Times New Roman" w:eastAsia="Calibri" w:hAnsi="Times New Roman" w:cs="Times New Roman"/>
                <w:b/>
                <w:sz w:val="20"/>
                <w:szCs w:val="20"/>
                <w:lang w:eastAsia="en-US"/>
              </w:rPr>
            </w:pPr>
            <w:r w:rsidRPr="0035187E">
              <w:rPr>
                <w:rFonts w:ascii="Times New Roman" w:eastAsia="Calibri" w:hAnsi="Times New Roman" w:cs="Times New Roman"/>
                <w:b/>
                <w:sz w:val="20"/>
                <w:szCs w:val="20"/>
                <w:lang w:eastAsia="en-US"/>
              </w:rPr>
              <w:t>K § 38t odst. 8</w:t>
            </w:r>
          </w:p>
          <w:p w14:paraId="37EAE257" w14:textId="74FFBA6E"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V rámci § 35db odstavec 6 ZDP je vymezeno, že předškolním zařízením se rozumí i obdobná zařízení v zahraničí (např. mateřské školy, zařízení služeb péče o dítě). Jak budou novou oznamovací povinnost (v elektronické podobě) plnit tyto zahraniční subjekty? Vůči jakému správci daně by měla být tato povinnost plněna?</w:t>
            </w:r>
          </w:p>
        </w:tc>
        <w:tc>
          <w:tcPr>
            <w:tcW w:w="1453" w:type="pct"/>
            <w:tcBorders>
              <w:top w:val="single" w:sz="4" w:space="0" w:color="auto"/>
              <w:left w:val="single" w:sz="4" w:space="0" w:color="auto"/>
              <w:right w:val="single" w:sz="4" w:space="0" w:color="auto"/>
            </w:tcBorders>
            <w:shd w:val="clear" w:color="auto" w:fill="auto"/>
          </w:tcPr>
          <w:p w14:paraId="22FE326E" w14:textId="77777777" w:rsidR="00924283" w:rsidRPr="0035187E" w:rsidRDefault="00924283" w:rsidP="0035187E">
            <w:pPr>
              <w:jc w:val="both"/>
              <w:rPr>
                <w:rFonts w:ascii="Times New Roman" w:hAnsi="Times New Roman" w:cs="Times New Roman"/>
                <w:iCs/>
                <w:sz w:val="20"/>
                <w:szCs w:val="20"/>
              </w:rPr>
            </w:pPr>
            <w:r w:rsidRPr="0035187E">
              <w:rPr>
                <w:rFonts w:ascii="Times New Roman" w:hAnsi="Times New Roman" w:cs="Times New Roman"/>
                <w:b/>
                <w:bCs/>
                <w:sz w:val="20"/>
                <w:szCs w:val="20"/>
              </w:rPr>
              <w:t>Nevyhověno.</w:t>
            </w:r>
          </w:p>
          <w:p w14:paraId="48FA0144" w14:textId="0CE15A6A" w:rsidR="000B4BD4" w:rsidRPr="0035187E" w:rsidRDefault="00924283" w:rsidP="0035187E">
            <w:pPr>
              <w:jc w:val="both"/>
              <w:rPr>
                <w:rFonts w:ascii="Times New Roman" w:hAnsi="Times New Roman" w:cs="Times New Roman"/>
                <w:i/>
                <w:sz w:val="20"/>
                <w:szCs w:val="20"/>
              </w:rPr>
            </w:pPr>
            <w:r w:rsidRPr="0035187E">
              <w:rPr>
                <w:rFonts w:ascii="Times New Roman" w:hAnsi="Times New Roman" w:cs="Times New Roman"/>
                <w:sz w:val="20"/>
                <w:szCs w:val="20"/>
              </w:rPr>
              <w:t>Oznamované údaje budou stanoveny prováděcím právním předpisem (vyhláškou). Otázka technického řešení a způsobu předávání údajů proto není předmětem zákonné úpravy a spadá do oblasti implementace na straně finanční správy. V tomto smyslu je doplněna důvodová zpráva.</w:t>
            </w:r>
          </w:p>
        </w:tc>
      </w:tr>
      <w:tr w:rsidR="0035187E" w:rsidRPr="0035187E" w14:paraId="1284B010"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D4E7C65" w14:textId="79391A4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48.</w:t>
            </w:r>
          </w:p>
        </w:tc>
        <w:tc>
          <w:tcPr>
            <w:tcW w:w="583" w:type="pct"/>
            <w:tcBorders>
              <w:top w:val="single" w:sz="4" w:space="0" w:color="auto"/>
              <w:left w:val="single" w:sz="4" w:space="0" w:color="auto"/>
              <w:right w:val="single" w:sz="4" w:space="0" w:color="auto"/>
            </w:tcBorders>
            <w:shd w:val="clear" w:color="auto" w:fill="auto"/>
          </w:tcPr>
          <w:p w14:paraId="0706F474" w14:textId="64C9F2D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Konfederace zaměstnavatelských a podnikatelských svazů ČR</w:t>
            </w:r>
          </w:p>
        </w:tc>
        <w:tc>
          <w:tcPr>
            <w:tcW w:w="168" w:type="pct"/>
            <w:tcBorders>
              <w:top w:val="single" w:sz="4" w:space="0" w:color="auto"/>
              <w:left w:val="single" w:sz="4" w:space="0" w:color="auto"/>
              <w:right w:val="single" w:sz="4" w:space="0" w:color="auto"/>
            </w:tcBorders>
            <w:shd w:val="clear" w:color="auto" w:fill="auto"/>
          </w:tcPr>
          <w:p w14:paraId="30DCBDBD" w14:textId="6D45EF1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1F67CCF6" w14:textId="2EF1890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351A7F2" w14:textId="77777777" w:rsidR="000B4BD4" w:rsidRPr="0035187E" w:rsidRDefault="000B4BD4" w:rsidP="0035187E">
            <w:pPr>
              <w:widowControl w:val="0"/>
              <w:autoSpaceDE w:val="0"/>
              <w:autoSpaceDN w:val="0"/>
              <w:jc w:val="both"/>
              <w:rPr>
                <w:rFonts w:ascii="Times New Roman" w:eastAsia="Tahoma" w:hAnsi="Times New Roman" w:cs="Times New Roman"/>
                <w:sz w:val="20"/>
                <w:szCs w:val="20"/>
                <w:lang w:bidi="cs-CZ"/>
              </w:rPr>
            </w:pPr>
            <w:r w:rsidRPr="0035187E">
              <w:rPr>
                <w:rFonts w:ascii="Times New Roman" w:eastAsia="Tahoma" w:hAnsi="Times New Roman" w:cs="Times New Roman"/>
                <w:sz w:val="20"/>
                <w:szCs w:val="20"/>
                <w:lang w:bidi="cs-CZ"/>
              </w:rPr>
              <w:t>V rámci mezirezortního připomínkového řízení jsme obdrželi výše uvedený návrh a k němu Konfederace zaměstnavatelských a podnikatelských svazů ČR (KZPS ČR) uplatňuje následující zásadní připomínky.</w:t>
            </w:r>
          </w:p>
          <w:p w14:paraId="4EA4E4A0" w14:textId="77777777" w:rsidR="000B4BD4" w:rsidRPr="0035187E" w:rsidRDefault="000B4BD4" w:rsidP="0035187E">
            <w:pPr>
              <w:widowControl w:val="0"/>
              <w:autoSpaceDE w:val="0"/>
              <w:autoSpaceDN w:val="0"/>
              <w:ind w:firstLine="708"/>
              <w:jc w:val="both"/>
              <w:rPr>
                <w:rFonts w:ascii="Times New Roman" w:eastAsia="Tahoma" w:hAnsi="Times New Roman" w:cs="Times New Roman"/>
                <w:sz w:val="20"/>
                <w:szCs w:val="20"/>
                <w:lang w:bidi="cs-CZ"/>
              </w:rPr>
            </w:pPr>
          </w:p>
          <w:p w14:paraId="08BD88BD" w14:textId="77777777" w:rsidR="000B4BD4" w:rsidRPr="0035187E" w:rsidRDefault="000B4BD4" w:rsidP="0035187E">
            <w:pPr>
              <w:keepNext/>
              <w:keepLines/>
              <w:widowControl w:val="0"/>
              <w:tabs>
                <w:tab w:val="left" w:pos="3460"/>
              </w:tabs>
              <w:autoSpaceDE w:val="0"/>
              <w:autoSpaceDN w:val="0"/>
              <w:jc w:val="both"/>
              <w:outlineLvl w:val="1"/>
              <w:rPr>
                <w:rFonts w:ascii="Times New Roman" w:hAnsi="Times New Roman" w:cs="Times New Roman"/>
                <w:b/>
                <w:bCs/>
                <w:i/>
                <w:iCs/>
                <w:sz w:val="20"/>
                <w:szCs w:val="20"/>
                <w:u w:val="single"/>
                <w:lang w:bidi="cs-CZ"/>
              </w:rPr>
            </w:pPr>
            <w:r w:rsidRPr="0035187E">
              <w:rPr>
                <w:rFonts w:ascii="Times New Roman" w:hAnsi="Times New Roman" w:cs="Times New Roman"/>
                <w:b/>
                <w:bCs/>
                <w:sz w:val="20"/>
                <w:szCs w:val="20"/>
                <w:u w:val="single"/>
                <w:lang w:bidi="cs-CZ"/>
              </w:rPr>
              <w:t>Obecná připomínka:</w:t>
            </w:r>
          </w:p>
          <w:p w14:paraId="53FAD088" w14:textId="213A5A3F" w:rsidR="000B4BD4" w:rsidRPr="0035187E" w:rsidRDefault="000B4BD4" w:rsidP="0035187E">
            <w:pPr>
              <w:widowControl w:val="0"/>
              <w:autoSpaceDE w:val="0"/>
              <w:autoSpaceDN w:val="0"/>
              <w:jc w:val="both"/>
              <w:rPr>
                <w:rFonts w:ascii="Times New Roman" w:eastAsia="Tahoma" w:hAnsi="Times New Roman" w:cs="Times New Roman"/>
                <w:sz w:val="20"/>
                <w:szCs w:val="20"/>
                <w:lang w:bidi="cs-CZ"/>
              </w:rPr>
            </w:pPr>
            <w:r w:rsidRPr="0035187E">
              <w:rPr>
                <w:rFonts w:ascii="Times New Roman" w:eastAsia="Tahoma" w:hAnsi="Times New Roman" w:cs="Times New Roman"/>
                <w:sz w:val="20"/>
                <w:szCs w:val="20"/>
                <w:lang w:bidi="cs-CZ"/>
              </w:rPr>
              <w:t xml:space="preserve">Svaz českých a moravských spotřebních družstev vítá předložený návrh zákona o evidenci tržeb a o změně některých dalších zákonů a považuje jej za krok správným směrem. Zavedení modernizovaného systému elektronické evidence tržeb může přispět k omezení šedé ekonomiky, posílení férových podmínek mezi podnikatelskými subjekty a k důslednějšímu plnění daňových povinností. </w:t>
            </w:r>
          </w:p>
          <w:p w14:paraId="6C2EAFEA" w14:textId="0E784BAC" w:rsidR="000B4BD4" w:rsidRPr="0035187E" w:rsidRDefault="000B4BD4" w:rsidP="0035187E">
            <w:pPr>
              <w:widowControl w:val="0"/>
              <w:autoSpaceDE w:val="0"/>
              <w:autoSpaceDN w:val="0"/>
              <w:jc w:val="both"/>
              <w:rPr>
                <w:rFonts w:ascii="Times New Roman" w:hAnsi="Times New Roman" w:cs="Times New Roman"/>
                <w:bCs/>
                <w:sz w:val="20"/>
                <w:szCs w:val="20"/>
              </w:rPr>
            </w:pPr>
            <w:r w:rsidRPr="0035187E">
              <w:rPr>
                <w:rFonts w:ascii="Times New Roman" w:eastAsia="Tahoma" w:hAnsi="Times New Roman" w:cs="Times New Roman"/>
                <w:sz w:val="20"/>
                <w:szCs w:val="20"/>
                <w:lang w:bidi="cs-CZ"/>
              </w:rPr>
              <w:t>Pozitivně hodnotíme také tu skutečnost, že návrh zákona vychází ze zkušeností s fungováním původního systému elektronické evidence tržeb a současně usiluje o jeho modernizaci a zjednodušení. Omezení rozsahu evidovaných údajů a snahu o snížení administrativní zátěže podnikatelů považujeme za krok správným směrem. Dle našeho názoru jde o přiměřené a efektivní nastavení regulace.</w:t>
            </w:r>
          </w:p>
        </w:tc>
        <w:tc>
          <w:tcPr>
            <w:tcW w:w="1453" w:type="pct"/>
            <w:tcBorders>
              <w:top w:val="single" w:sz="4" w:space="0" w:color="auto"/>
              <w:left w:val="single" w:sz="4" w:space="0" w:color="auto"/>
              <w:right w:val="single" w:sz="4" w:space="0" w:color="auto"/>
            </w:tcBorders>
            <w:shd w:val="clear" w:color="auto" w:fill="auto"/>
          </w:tcPr>
          <w:p w14:paraId="39A6117C" w14:textId="77777777" w:rsidR="000B4BD4" w:rsidRPr="0035187E" w:rsidRDefault="000B4BD4" w:rsidP="0035187E">
            <w:pPr>
              <w:jc w:val="both"/>
              <w:rPr>
                <w:rFonts w:ascii="Times New Roman" w:hAnsi="Times New Roman" w:cs="Times New Roman"/>
                <w:b/>
                <w:bCs/>
                <w:iCs/>
                <w:sz w:val="20"/>
                <w:szCs w:val="20"/>
              </w:rPr>
            </w:pPr>
            <w:r w:rsidRPr="0035187E">
              <w:rPr>
                <w:rFonts w:ascii="Times New Roman" w:hAnsi="Times New Roman" w:cs="Times New Roman"/>
                <w:b/>
                <w:bCs/>
                <w:iCs/>
                <w:sz w:val="20"/>
                <w:szCs w:val="20"/>
              </w:rPr>
              <w:t>Bere se na vědomí.</w:t>
            </w:r>
          </w:p>
          <w:p w14:paraId="41941DF4" w14:textId="77777777" w:rsidR="00915365" w:rsidRPr="0035187E" w:rsidRDefault="00915365" w:rsidP="0035187E">
            <w:pPr>
              <w:jc w:val="both"/>
              <w:rPr>
                <w:rFonts w:ascii="Times New Roman" w:hAnsi="Times New Roman" w:cs="Times New Roman"/>
                <w:b/>
                <w:bCs/>
                <w:iCs/>
                <w:sz w:val="20"/>
                <w:szCs w:val="20"/>
              </w:rPr>
            </w:pPr>
          </w:p>
          <w:p w14:paraId="561F86D6" w14:textId="790B2F84" w:rsidR="00915365" w:rsidRPr="0035187E" w:rsidRDefault="00915365" w:rsidP="0035187E">
            <w:pPr>
              <w:jc w:val="both"/>
              <w:rPr>
                <w:rFonts w:ascii="Times New Roman" w:hAnsi="Times New Roman" w:cs="Times New Roman"/>
                <w:i/>
                <w:sz w:val="20"/>
                <w:szCs w:val="20"/>
              </w:rPr>
            </w:pPr>
          </w:p>
        </w:tc>
      </w:tr>
      <w:tr w:rsidR="0035187E" w:rsidRPr="0035187E" w14:paraId="53804BF3"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1D5BAE2" w14:textId="71E5B97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48.</w:t>
            </w:r>
          </w:p>
        </w:tc>
        <w:tc>
          <w:tcPr>
            <w:tcW w:w="583" w:type="pct"/>
            <w:tcBorders>
              <w:top w:val="single" w:sz="4" w:space="0" w:color="auto"/>
              <w:left w:val="single" w:sz="4" w:space="0" w:color="auto"/>
              <w:right w:val="single" w:sz="4" w:space="0" w:color="auto"/>
            </w:tcBorders>
            <w:shd w:val="clear" w:color="auto" w:fill="auto"/>
          </w:tcPr>
          <w:p w14:paraId="1F6F2D3F" w14:textId="78F4247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Konfederace zaměstnavatelských a podnikatelských svazů ČR</w:t>
            </w:r>
          </w:p>
        </w:tc>
        <w:tc>
          <w:tcPr>
            <w:tcW w:w="168" w:type="pct"/>
            <w:tcBorders>
              <w:top w:val="single" w:sz="4" w:space="0" w:color="auto"/>
              <w:left w:val="single" w:sz="4" w:space="0" w:color="auto"/>
              <w:right w:val="single" w:sz="4" w:space="0" w:color="auto"/>
            </w:tcBorders>
            <w:shd w:val="clear" w:color="auto" w:fill="auto"/>
          </w:tcPr>
          <w:p w14:paraId="072785C2" w14:textId="0CFE5D7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w:t>
            </w:r>
          </w:p>
        </w:tc>
        <w:tc>
          <w:tcPr>
            <w:tcW w:w="169" w:type="pct"/>
            <w:tcBorders>
              <w:top w:val="single" w:sz="4" w:space="0" w:color="auto"/>
              <w:left w:val="single" w:sz="4" w:space="0" w:color="auto"/>
              <w:right w:val="single" w:sz="4" w:space="0" w:color="auto"/>
            </w:tcBorders>
            <w:shd w:val="clear" w:color="auto" w:fill="auto"/>
          </w:tcPr>
          <w:p w14:paraId="12431BFA" w14:textId="15554DE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914D853" w14:textId="77777777" w:rsidR="000B4BD4" w:rsidRPr="0035187E" w:rsidRDefault="000B4BD4" w:rsidP="0035187E">
            <w:pPr>
              <w:widowControl w:val="0"/>
              <w:autoSpaceDE w:val="0"/>
              <w:autoSpaceDN w:val="0"/>
              <w:jc w:val="both"/>
              <w:rPr>
                <w:rFonts w:ascii="Times New Roman" w:eastAsia="Tahoma" w:hAnsi="Times New Roman" w:cs="Times New Roman"/>
                <w:b/>
                <w:bCs/>
                <w:sz w:val="20"/>
                <w:szCs w:val="20"/>
                <w:lang w:bidi="cs-CZ"/>
              </w:rPr>
            </w:pPr>
            <w:r w:rsidRPr="0035187E">
              <w:rPr>
                <w:rFonts w:ascii="Times New Roman" w:eastAsia="Tahoma" w:hAnsi="Times New Roman" w:cs="Times New Roman"/>
                <w:b/>
                <w:bCs/>
                <w:sz w:val="20"/>
                <w:szCs w:val="20"/>
                <w:lang w:bidi="cs-CZ"/>
              </w:rPr>
              <w:t>Připomínka k limitu ročních příjmů pro režim EET OFF (1 000 000 Kč) a ke kontrolní činnosti</w:t>
            </w:r>
          </w:p>
          <w:p w14:paraId="2FBBDB65" w14:textId="77777777" w:rsidR="000B4BD4" w:rsidRPr="0035187E" w:rsidRDefault="000B4BD4" w:rsidP="0035187E">
            <w:pPr>
              <w:widowControl w:val="0"/>
              <w:autoSpaceDE w:val="0"/>
              <w:autoSpaceDN w:val="0"/>
              <w:jc w:val="both"/>
              <w:rPr>
                <w:rFonts w:ascii="Times New Roman" w:eastAsia="Tahoma" w:hAnsi="Times New Roman" w:cs="Times New Roman"/>
                <w:sz w:val="20"/>
                <w:szCs w:val="20"/>
                <w:lang w:bidi="cs-CZ"/>
              </w:rPr>
            </w:pPr>
          </w:p>
          <w:p w14:paraId="54DC7341" w14:textId="5C3FB8DA" w:rsidR="000B4BD4" w:rsidRPr="0035187E" w:rsidRDefault="000B4BD4" w:rsidP="0035187E">
            <w:pPr>
              <w:widowControl w:val="0"/>
              <w:autoSpaceDE w:val="0"/>
              <w:autoSpaceDN w:val="0"/>
              <w:jc w:val="both"/>
              <w:rPr>
                <w:rFonts w:ascii="Times New Roman" w:eastAsia="Tahoma" w:hAnsi="Times New Roman" w:cs="Times New Roman"/>
                <w:sz w:val="20"/>
                <w:szCs w:val="20"/>
                <w:lang w:bidi="cs-CZ"/>
              </w:rPr>
            </w:pPr>
            <w:r w:rsidRPr="0035187E">
              <w:rPr>
                <w:rFonts w:ascii="Times New Roman" w:eastAsia="Tahoma" w:hAnsi="Times New Roman" w:cs="Times New Roman"/>
                <w:sz w:val="20"/>
                <w:szCs w:val="20"/>
                <w:lang w:bidi="cs-CZ"/>
              </w:rPr>
              <w:t>1. Upozorňujeme, že stanovení pevného limitu ročních příjmů ve výši do 1 000 000 Kč pro možnost využití režimu EET OFF může v praxi vytvářet výrazný skokový efekt u podnikatelských subjektů nacházejících se v blízkosti této hranice. Subjekty, jejichž příjmy se pohybují těsně pod stanoveným limitem, mohou být motivovány k umělému udržování příjmů pod touto hranicí nebo k přizpůsobování struktury svého podnikání tak, aby nedošlo k jejímu překročení.</w:t>
            </w:r>
          </w:p>
          <w:p w14:paraId="283E5BFB" w14:textId="77777777" w:rsidR="000B4BD4" w:rsidRPr="0035187E" w:rsidRDefault="000B4BD4" w:rsidP="0035187E">
            <w:pPr>
              <w:widowControl w:val="0"/>
              <w:autoSpaceDE w:val="0"/>
              <w:autoSpaceDN w:val="0"/>
              <w:jc w:val="both"/>
              <w:rPr>
                <w:rFonts w:ascii="Times New Roman" w:eastAsia="Tahoma" w:hAnsi="Times New Roman" w:cs="Times New Roman"/>
                <w:sz w:val="20"/>
                <w:szCs w:val="20"/>
                <w:lang w:bidi="cs-CZ"/>
              </w:rPr>
            </w:pPr>
            <w:r w:rsidRPr="0035187E">
              <w:rPr>
                <w:rFonts w:ascii="Times New Roman" w:eastAsia="Tahoma" w:hAnsi="Times New Roman" w:cs="Times New Roman"/>
                <w:sz w:val="20"/>
                <w:szCs w:val="20"/>
                <w:lang w:bidi="cs-CZ"/>
              </w:rPr>
              <w:t>Takové nastavení může vést k obcházení smyslu právní úpravy a současně vytvářet nerovné podmínky mezi podnikatelskými subjekty, jejichž ekonomická situace se liší pouze minimálně výší dosaženého příjmu.</w:t>
            </w:r>
          </w:p>
          <w:p w14:paraId="7B5B7E14" w14:textId="77777777" w:rsidR="000B4BD4" w:rsidRPr="0035187E" w:rsidRDefault="000B4BD4" w:rsidP="0035187E">
            <w:pPr>
              <w:widowControl w:val="0"/>
              <w:autoSpaceDE w:val="0"/>
              <w:autoSpaceDN w:val="0"/>
              <w:jc w:val="both"/>
              <w:rPr>
                <w:rFonts w:ascii="Times New Roman" w:eastAsia="Tahoma" w:hAnsi="Times New Roman" w:cs="Times New Roman"/>
                <w:sz w:val="20"/>
                <w:szCs w:val="20"/>
                <w:lang w:bidi="cs-CZ"/>
              </w:rPr>
            </w:pPr>
            <w:r w:rsidRPr="0035187E">
              <w:rPr>
                <w:rFonts w:ascii="Times New Roman" w:eastAsia="Tahoma" w:hAnsi="Times New Roman" w:cs="Times New Roman"/>
                <w:sz w:val="20"/>
                <w:szCs w:val="20"/>
                <w:lang w:bidi="cs-CZ"/>
              </w:rPr>
              <w:t>Navrhujeme proto zvážit úpravu nastavení tohoto limitu, případně mechanismu přechodu mezi jednotlivými režimy tak, aby se minimalizoval jeho skokový dopad a omezily potenciální motivace k obcházení právní úpravy.</w:t>
            </w:r>
          </w:p>
          <w:p w14:paraId="0000B390" w14:textId="77777777" w:rsidR="000B4BD4" w:rsidRPr="0035187E" w:rsidRDefault="000B4BD4" w:rsidP="0035187E">
            <w:pPr>
              <w:widowControl w:val="0"/>
              <w:autoSpaceDE w:val="0"/>
              <w:autoSpaceDN w:val="0"/>
              <w:jc w:val="both"/>
              <w:rPr>
                <w:rFonts w:ascii="Times New Roman" w:eastAsia="Tahoma" w:hAnsi="Times New Roman" w:cs="Times New Roman"/>
                <w:sz w:val="20"/>
                <w:szCs w:val="20"/>
                <w:lang w:bidi="cs-CZ"/>
              </w:rPr>
            </w:pPr>
          </w:p>
          <w:p w14:paraId="3394F7A6" w14:textId="132F439B" w:rsidR="000B4BD4" w:rsidRPr="0035187E" w:rsidRDefault="000B4BD4" w:rsidP="0035187E">
            <w:pPr>
              <w:widowControl w:val="0"/>
              <w:autoSpaceDE w:val="0"/>
              <w:autoSpaceDN w:val="0"/>
              <w:jc w:val="both"/>
              <w:rPr>
                <w:rFonts w:ascii="Times New Roman" w:hAnsi="Times New Roman" w:cs="Times New Roman"/>
                <w:bCs/>
                <w:sz w:val="20"/>
                <w:szCs w:val="20"/>
              </w:rPr>
            </w:pPr>
            <w:r w:rsidRPr="0035187E">
              <w:rPr>
                <w:rFonts w:ascii="Times New Roman" w:eastAsia="Tahoma" w:hAnsi="Times New Roman" w:cs="Times New Roman"/>
                <w:sz w:val="20"/>
                <w:szCs w:val="20"/>
                <w:lang w:bidi="cs-CZ"/>
              </w:rPr>
              <w:t xml:space="preserve">2. Považujeme též za důležité zdůraznit význam efektivní kontrolní činnosti ze strany příslušných orgánů státní správy. Elektronická evidence tržeb může být účinným nástrojem </w:t>
            </w:r>
            <w:r w:rsidRPr="0035187E">
              <w:rPr>
                <w:rFonts w:ascii="Times New Roman" w:eastAsia="Tahoma" w:hAnsi="Times New Roman" w:cs="Times New Roman"/>
                <w:sz w:val="20"/>
                <w:szCs w:val="20"/>
                <w:lang w:bidi="cs-CZ"/>
              </w:rPr>
              <w:lastRenderedPageBreak/>
              <w:t>pouze za předpokladu, že bude doprovázena odpovídajícím výkonem kontrolních pravomocí. V opačném případě existuje riziko, že některé podnikatelské subjekty nebudou evidovat veškeré tržby, což by mohlo vést k narušení férových podmínek na trhu. Důsledná a zároveň cílená kontrolní činnost je proto důležitým předpokladem pro naplnění cílů navrhované právní úpravy.</w:t>
            </w:r>
          </w:p>
        </w:tc>
        <w:tc>
          <w:tcPr>
            <w:tcW w:w="1453" w:type="pct"/>
            <w:tcBorders>
              <w:top w:val="single" w:sz="4" w:space="0" w:color="auto"/>
              <w:left w:val="single" w:sz="4" w:space="0" w:color="auto"/>
              <w:right w:val="single" w:sz="4" w:space="0" w:color="auto"/>
            </w:tcBorders>
            <w:shd w:val="clear" w:color="auto" w:fill="auto"/>
          </w:tcPr>
          <w:p w14:paraId="1C90FD5B" w14:textId="692CEE03"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Nevyhověno.</w:t>
            </w:r>
          </w:p>
          <w:p w14:paraId="01545412"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Obecně</w:t>
            </w:r>
          </w:p>
          <w:p w14:paraId="1B29D902"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Z důvodové zprávy vyplývá, že možnost zprostit se povinnosti evidovat tržby zvýšením paušálních záloh na daň z příjmů je cílena na poplatníky, pro které by evidence tržeb představovala nadměrnou administrativní zátěž s ohledem na charakter jejich činnosti, četnost evidovaných tržeb či jejich schopnost používat nové technologie.</w:t>
            </w:r>
          </w:p>
          <w:p w14:paraId="3A9D16F5" w14:textId="77777777" w:rsidR="000B4BD4" w:rsidRPr="0035187E" w:rsidRDefault="000B4BD4" w:rsidP="0035187E">
            <w:pPr>
              <w:pStyle w:val="Dvodovzprva"/>
              <w:spacing w:before="0"/>
              <w:rPr>
                <w:sz w:val="20"/>
              </w:rPr>
            </w:pPr>
            <w:r w:rsidRPr="0035187E">
              <w:rPr>
                <w:sz w:val="20"/>
              </w:rPr>
              <w:t xml:space="preserve">Podmínky pro přihlášení se k přirážce a získání výjimky z povinnosti evidovat tržby podle zákona o evidenci tržeb se navrhuje nastavit tak, aby mohly být splněny pouze těmi menšími poplatníky v prvním pásmu paušálního režimu, u kterých existuje nejnižší riziko zařazení do nižšího pásma paušálního režimu, než které by odpovídalo jejich skutečným příjmům ze samostatné činnosti. V případě poplatníků s příjmy ze samostatné činnosti, jejichž výše se blíží 2 milionů </w:t>
            </w:r>
            <w:r w:rsidRPr="0035187E">
              <w:rPr>
                <w:sz w:val="20"/>
              </w:rPr>
              <w:lastRenderedPageBreak/>
              <w:t>Kč, navíc může být toto riziko zvýšeno motivací nestát se plátcem daně z přidané hodnoty. Tyto poplatníky proto není žádoucí z povinnosti evidovat tržby vyjímat.</w:t>
            </w:r>
          </w:p>
          <w:p w14:paraId="432C0BCD" w14:textId="650637F1" w:rsidR="000B4BD4" w:rsidRPr="0035187E" w:rsidRDefault="000B4BD4" w:rsidP="0035187E">
            <w:pPr>
              <w:pStyle w:val="Dvodovzprva"/>
              <w:spacing w:before="0"/>
              <w:rPr>
                <w:sz w:val="20"/>
              </w:rPr>
            </w:pPr>
            <w:r w:rsidRPr="0035187E">
              <w:rPr>
                <w:sz w:val="20"/>
              </w:rPr>
              <w:t xml:space="preserve">Limit ročních příjmů pro režim EET OFF (1 000 000 Kč) je cílen na poplatníky vymezené v § 2a ZDP a ve vazbě na následující další ustanovení ZDP týkající se poplatníků v paušálním režimu. </w:t>
            </w:r>
          </w:p>
          <w:p w14:paraId="0BCD7D6C" w14:textId="65EFE768"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K bodu 1.:</w:t>
            </w:r>
          </w:p>
          <w:p w14:paraId="65515BBE"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Výše příjmů bude u subjektů v režimu EET OFF kontrolována podobnými analytickými metodami jako výše evidovaných tržeb. Tedy různými formami analytického porovnávání se subjekty podnikajícími za obdobných podmínek, ve stejném oboru, oblasti atd. Navíc, od zavedení tří pásem paušálního režimu musí poplatníci s příjmy ze samostatné činnosti, ke kterým lze uplatnit výdaje různým procentem z příjmů, vést záznamy o příjmech (aby byli schopni prokázat výši příjmů pro zvolené pásmo). V případě analytického zjištění pak může správce daně tuto evidenci prověřit.</w:t>
            </w:r>
          </w:p>
          <w:p w14:paraId="7D397B1C" w14:textId="3F8D7B70"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K bodu 2.:</w:t>
            </w:r>
          </w:p>
          <w:p w14:paraId="2134E160"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Primárním cílem evidence tržeb je přispět k posílení rovného a poctivého podnikatelského prostředí a k efektivnějšímu ověřování plnění daňových povinností. Účelem tohoto zákona je vytvoření podmínek pro jednotné a automatizované zjišťování informací o evidovaných tržbách. Samotné naplnění cílů je podmíněno efektivní kontrolní činnosti ze strany příslušných orgánů státní správy, v tomto ohledu nelze než s připomínkovým místem souhlasit. V rámci této kontrolní činnosti bude kladen důraz zejména na kvalitní a efektivní analytickou práci správce daně.</w:t>
            </w:r>
          </w:p>
          <w:p w14:paraId="74ED6D20" w14:textId="4FE19ED5" w:rsidR="000B4BD4" w:rsidRPr="0035187E" w:rsidRDefault="000B4BD4" w:rsidP="0035187E">
            <w:pPr>
              <w:jc w:val="both"/>
              <w:rPr>
                <w:rFonts w:ascii="Times New Roman" w:hAnsi="Times New Roman" w:cs="Times New Roman"/>
                <w:sz w:val="20"/>
                <w:szCs w:val="20"/>
                <w:highlight w:val="yellow"/>
              </w:rPr>
            </w:pPr>
            <w:r w:rsidRPr="0035187E">
              <w:rPr>
                <w:rFonts w:ascii="Times New Roman" w:hAnsi="Times New Roman" w:cs="Times New Roman"/>
                <w:sz w:val="20"/>
                <w:szCs w:val="20"/>
              </w:rPr>
              <w:t>Díky pokročilé datové analytice budou evidované tržby prověřovány např. různými formami analytického porovnávání se subjekty podnikajícími za obdobných podmínek, ve stejném oboru, oblasti atd. Kontrola na místě pak proběhne např. až tehdy, když na základě analytické činnosti finanční správa zjistí významné anomálie. Kontrola pak bude sloužit především k prověření, zda okolnosti či způsob vykonávané činnosti zjištěné odchylky vysvětlí či nikoliv. Základní premisou je efektivní výkon kontrolní činnosti s minimální zátěží poctivých podnikatelů.</w:t>
            </w:r>
          </w:p>
        </w:tc>
      </w:tr>
      <w:tr w:rsidR="0035187E" w:rsidRPr="0035187E" w14:paraId="084F3FDD"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D24DF00" w14:textId="7025143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48.</w:t>
            </w:r>
          </w:p>
        </w:tc>
        <w:tc>
          <w:tcPr>
            <w:tcW w:w="583" w:type="pct"/>
            <w:tcBorders>
              <w:top w:val="single" w:sz="4" w:space="0" w:color="auto"/>
              <w:left w:val="single" w:sz="4" w:space="0" w:color="auto"/>
              <w:right w:val="single" w:sz="4" w:space="0" w:color="auto"/>
            </w:tcBorders>
            <w:shd w:val="clear" w:color="auto" w:fill="auto"/>
          </w:tcPr>
          <w:p w14:paraId="4A8BDC04" w14:textId="18600B0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Konfederace zaměstnavatelských a podnikatelských svazů ČR</w:t>
            </w:r>
          </w:p>
        </w:tc>
        <w:tc>
          <w:tcPr>
            <w:tcW w:w="168" w:type="pct"/>
            <w:tcBorders>
              <w:top w:val="single" w:sz="4" w:space="0" w:color="auto"/>
              <w:left w:val="single" w:sz="4" w:space="0" w:color="auto"/>
              <w:right w:val="single" w:sz="4" w:space="0" w:color="auto"/>
            </w:tcBorders>
            <w:shd w:val="clear" w:color="auto" w:fill="auto"/>
          </w:tcPr>
          <w:p w14:paraId="72845732" w14:textId="77063CA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3.</w:t>
            </w:r>
          </w:p>
        </w:tc>
        <w:tc>
          <w:tcPr>
            <w:tcW w:w="169" w:type="pct"/>
            <w:tcBorders>
              <w:top w:val="single" w:sz="4" w:space="0" w:color="auto"/>
              <w:left w:val="single" w:sz="4" w:space="0" w:color="auto"/>
              <w:right w:val="single" w:sz="4" w:space="0" w:color="auto"/>
            </w:tcBorders>
            <w:shd w:val="clear" w:color="auto" w:fill="auto"/>
          </w:tcPr>
          <w:p w14:paraId="5A121FE2" w14:textId="523DC6A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078D35B" w14:textId="77777777" w:rsidR="000B4BD4" w:rsidRPr="0035187E" w:rsidRDefault="000B4BD4" w:rsidP="0035187E">
            <w:pPr>
              <w:widowControl w:val="0"/>
              <w:autoSpaceDE w:val="0"/>
              <w:autoSpaceDN w:val="0"/>
              <w:jc w:val="both"/>
              <w:rPr>
                <w:rFonts w:ascii="Times New Roman" w:eastAsia="Tahoma" w:hAnsi="Times New Roman" w:cs="Times New Roman"/>
                <w:b/>
                <w:bCs/>
                <w:sz w:val="20"/>
                <w:szCs w:val="20"/>
                <w:u w:val="single"/>
                <w:lang w:bidi="cs-CZ"/>
              </w:rPr>
            </w:pPr>
            <w:r w:rsidRPr="0035187E">
              <w:rPr>
                <w:rFonts w:ascii="Times New Roman" w:eastAsia="Tahoma" w:hAnsi="Times New Roman" w:cs="Times New Roman"/>
                <w:b/>
                <w:bCs/>
                <w:sz w:val="20"/>
                <w:szCs w:val="20"/>
                <w:u w:val="single"/>
                <w:lang w:bidi="cs-CZ"/>
              </w:rPr>
              <w:t>Konkrétní připomínka k § 21 – Postup při překročení mezní doby odezvy:</w:t>
            </w:r>
          </w:p>
          <w:p w14:paraId="54BADF31" w14:textId="77777777" w:rsidR="000B4BD4" w:rsidRPr="0035187E" w:rsidRDefault="000B4BD4" w:rsidP="0035187E">
            <w:pPr>
              <w:widowControl w:val="0"/>
              <w:autoSpaceDE w:val="0"/>
              <w:autoSpaceDN w:val="0"/>
              <w:jc w:val="both"/>
              <w:rPr>
                <w:rFonts w:ascii="Times New Roman" w:eastAsia="Tahoma" w:hAnsi="Times New Roman" w:cs="Times New Roman"/>
                <w:sz w:val="20"/>
                <w:szCs w:val="20"/>
                <w:lang w:bidi="cs-CZ"/>
              </w:rPr>
            </w:pPr>
            <w:r w:rsidRPr="0035187E">
              <w:rPr>
                <w:rFonts w:ascii="Times New Roman" w:eastAsia="Tahoma" w:hAnsi="Times New Roman" w:cs="Times New Roman"/>
                <w:sz w:val="20"/>
                <w:szCs w:val="20"/>
                <w:lang w:bidi="cs-CZ"/>
              </w:rPr>
              <w:t>Navrhujeme § 21 upravit takto:</w:t>
            </w:r>
          </w:p>
          <w:p w14:paraId="20114E58" w14:textId="77777777" w:rsidR="000B4BD4" w:rsidRPr="0035187E" w:rsidRDefault="000B4BD4" w:rsidP="0035187E">
            <w:pPr>
              <w:widowControl w:val="0"/>
              <w:autoSpaceDE w:val="0"/>
              <w:autoSpaceDN w:val="0"/>
              <w:jc w:val="both"/>
              <w:rPr>
                <w:rFonts w:ascii="Times New Roman" w:eastAsia="Tahoma" w:hAnsi="Times New Roman" w:cs="Times New Roman"/>
                <w:b/>
                <w:bCs/>
                <w:sz w:val="20"/>
                <w:szCs w:val="20"/>
                <w:lang w:bidi="cs-CZ"/>
              </w:rPr>
            </w:pPr>
            <w:r w:rsidRPr="0035187E">
              <w:rPr>
                <w:rFonts w:ascii="Times New Roman" w:eastAsia="Tahoma" w:hAnsi="Times New Roman" w:cs="Times New Roman"/>
                <w:b/>
                <w:bCs/>
                <w:sz w:val="20"/>
                <w:szCs w:val="20"/>
                <w:lang w:bidi="cs-CZ"/>
              </w:rPr>
              <w:t>§ 21</w:t>
            </w:r>
          </w:p>
          <w:p w14:paraId="697B8251" w14:textId="77777777" w:rsidR="000B4BD4" w:rsidRPr="0035187E" w:rsidRDefault="000B4BD4" w:rsidP="0035187E">
            <w:pPr>
              <w:widowControl w:val="0"/>
              <w:autoSpaceDE w:val="0"/>
              <w:autoSpaceDN w:val="0"/>
              <w:jc w:val="both"/>
              <w:rPr>
                <w:rFonts w:ascii="Times New Roman" w:eastAsia="Tahoma" w:hAnsi="Times New Roman" w:cs="Times New Roman"/>
                <w:sz w:val="20"/>
                <w:szCs w:val="20"/>
                <w:lang w:bidi="cs-CZ"/>
              </w:rPr>
            </w:pPr>
            <w:r w:rsidRPr="0035187E">
              <w:rPr>
                <w:rFonts w:ascii="Times New Roman" w:eastAsia="Tahoma" w:hAnsi="Times New Roman" w:cs="Times New Roman"/>
                <w:sz w:val="20"/>
                <w:szCs w:val="20"/>
                <w:lang w:bidi="cs-CZ"/>
              </w:rPr>
              <w:t>Dojde-li při evidování tržby k překročení mezní doby odezvy, pokusí se poplatník údaje o evidované tržbě odeslat opakovaně prostřednictvím pokladního zařízení. Nepodaří-li se údaje o evidované tržbě odeslat ani opakovaně, zašle je poplatník datovou zprávou správci daně bezodkladně po pominutí příčiny, která vedla k překročení mezní doby odezvy, nejpozději však do 48 hodin od uskutečnění evidované tržby.</w:t>
            </w:r>
          </w:p>
          <w:p w14:paraId="045E11B9" w14:textId="79B15956" w:rsidR="000B4BD4" w:rsidRPr="0035187E" w:rsidRDefault="000B4BD4" w:rsidP="0035187E">
            <w:pPr>
              <w:widowControl w:val="0"/>
              <w:autoSpaceDE w:val="0"/>
              <w:autoSpaceDN w:val="0"/>
              <w:jc w:val="both"/>
              <w:rPr>
                <w:rFonts w:ascii="Times New Roman" w:hAnsi="Times New Roman" w:cs="Times New Roman"/>
                <w:bCs/>
                <w:sz w:val="20"/>
                <w:szCs w:val="20"/>
              </w:rPr>
            </w:pPr>
            <w:r w:rsidRPr="0035187E">
              <w:rPr>
                <w:rFonts w:ascii="Times New Roman" w:eastAsia="Tahoma" w:hAnsi="Times New Roman" w:cs="Times New Roman"/>
                <w:sz w:val="20"/>
                <w:szCs w:val="20"/>
                <w:lang w:bidi="cs-CZ"/>
              </w:rPr>
              <w:br/>
            </w:r>
            <w:r w:rsidRPr="0035187E">
              <w:rPr>
                <w:rFonts w:ascii="Times New Roman" w:eastAsia="Tahoma" w:hAnsi="Times New Roman" w:cs="Times New Roman"/>
                <w:sz w:val="20"/>
                <w:szCs w:val="20"/>
                <w:u w:val="single"/>
                <w:lang w:bidi="cs-CZ"/>
              </w:rPr>
              <w:t>Odůvodnění:</w:t>
            </w:r>
            <w:r w:rsidRPr="0035187E">
              <w:rPr>
                <w:rFonts w:ascii="Times New Roman" w:eastAsia="Tahoma" w:hAnsi="Times New Roman" w:cs="Times New Roman"/>
                <w:sz w:val="20"/>
                <w:szCs w:val="20"/>
                <w:lang w:bidi="cs-CZ"/>
              </w:rPr>
              <w:br/>
              <w:t>Navržené znění § 21 výslovně nepředpokládá možnost opakovaného odeslání údajů o evidované tržbě prostřednictvím pokladního zařízení. K překročení mezní doby odezvy přitom může docházet v důsledku krátkodobých technických výpadků připojení k veřejné datové síti nebo jiných přechodných technických překážek. Navrhujeme proto doplnit výslovnou možnost opakovaného odeslání údajů o evidované tržbě standardním způsobem prostřednictvím pokladního zařízení. Navržená úprava zohledňuje běžné technické situace v praxi a odpovídá předpokladu uvedenému v důvodové zprávě, podle něhož bude odeslání dat po obnovení spojení zpravidla probíhat automatizovaně prostřednictvím pokladního zařízení.</w:t>
            </w:r>
          </w:p>
        </w:tc>
        <w:tc>
          <w:tcPr>
            <w:tcW w:w="1453" w:type="pct"/>
            <w:tcBorders>
              <w:top w:val="single" w:sz="4" w:space="0" w:color="auto"/>
              <w:left w:val="single" w:sz="4" w:space="0" w:color="auto"/>
              <w:right w:val="single" w:sz="4" w:space="0" w:color="auto"/>
            </w:tcBorders>
            <w:shd w:val="clear" w:color="auto" w:fill="auto"/>
          </w:tcPr>
          <w:p w14:paraId="656FF157" w14:textId="77777777" w:rsidR="000B4BD4" w:rsidRPr="0035187E" w:rsidRDefault="000B4BD4" w:rsidP="0035187E">
            <w:pPr>
              <w:jc w:val="both"/>
              <w:rPr>
                <w:rFonts w:ascii="Times New Roman" w:hAnsi="Times New Roman" w:cs="Times New Roman"/>
                <w:b/>
                <w:iCs/>
                <w:sz w:val="20"/>
                <w:szCs w:val="20"/>
              </w:rPr>
            </w:pPr>
            <w:r w:rsidRPr="0035187E">
              <w:rPr>
                <w:rFonts w:ascii="Times New Roman" w:hAnsi="Times New Roman" w:cs="Times New Roman"/>
                <w:b/>
                <w:iCs/>
                <w:sz w:val="20"/>
                <w:szCs w:val="20"/>
              </w:rPr>
              <w:t>Vysvětleno.</w:t>
            </w:r>
          </w:p>
          <w:p w14:paraId="27DA99E9" w14:textId="520BF42E"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Ustanovení § 21 je záměrně koncipováno obecně tak, aby odeslání datové zprávy nebylo nutně vázáno pouze na pokladní zařízení, jakkoli platí, že k opakovanému odeslání bude docházet právě z pokladního zařízení. V aplikační praxi mohou existovat různé modely řešení a záměrem návrhu není striktním nastavením podmínek zužovat možnosti, kterými lze opakovaného odeslání datové zprávy dosáhnout.</w:t>
            </w:r>
          </w:p>
        </w:tc>
      </w:tr>
      <w:tr w:rsidR="0035187E" w:rsidRPr="0035187E" w14:paraId="16DCBD07" w14:textId="77777777" w:rsidTr="0035187E">
        <w:trPr>
          <w:trHeight w:val="281"/>
        </w:trPr>
        <w:tc>
          <w:tcPr>
            <w:tcW w:w="227" w:type="pct"/>
            <w:tcBorders>
              <w:top w:val="single" w:sz="4" w:space="0" w:color="auto"/>
              <w:left w:val="single" w:sz="4" w:space="0" w:color="auto"/>
              <w:right w:val="single" w:sz="4" w:space="0" w:color="auto"/>
            </w:tcBorders>
            <w:shd w:val="clear" w:color="auto" w:fill="auto"/>
          </w:tcPr>
          <w:p w14:paraId="55C59F78" w14:textId="1EF9259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48.</w:t>
            </w:r>
          </w:p>
        </w:tc>
        <w:tc>
          <w:tcPr>
            <w:tcW w:w="583" w:type="pct"/>
            <w:tcBorders>
              <w:top w:val="single" w:sz="4" w:space="0" w:color="auto"/>
              <w:left w:val="single" w:sz="4" w:space="0" w:color="auto"/>
              <w:right w:val="single" w:sz="4" w:space="0" w:color="auto"/>
            </w:tcBorders>
            <w:shd w:val="clear" w:color="auto" w:fill="auto"/>
          </w:tcPr>
          <w:p w14:paraId="1983A83F" w14:textId="6767F35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Konfederace zaměstnavatelských a podnikatelských svazů ČR</w:t>
            </w:r>
          </w:p>
        </w:tc>
        <w:tc>
          <w:tcPr>
            <w:tcW w:w="168" w:type="pct"/>
            <w:tcBorders>
              <w:top w:val="single" w:sz="4" w:space="0" w:color="auto"/>
              <w:left w:val="single" w:sz="4" w:space="0" w:color="auto"/>
              <w:right w:val="single" w:sz="4" w:space="0" w:color="auto"/>
            </w:tcBorders>
            <w:shd w:val="clear" w:color="auto" w:fill="auto"/>
          </w:tcPr>
          <w:p w14:paraId="6ADA30B5" w14:textId="34D52A0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w:t>
            </w:r>
          </w:p>
        </w:tc>
        <w:tc>
          <w:tcPr>
            <w:tcW w:w="169" w:type="pct"/>
            <w:tcBorders>
              <w:top w:val="single" w:sz="4" w:space="0" w:color="auto"/>
              <w:left w:val="single" w:sz="4" w:space="0" w:color="auto"/>
              <w:right w:val="single" w:sz="4" w:space="0" w:color="auto"/>
            </w:tcBorders>
            <w:shd w:val="clear" w:color="auto" w:fill="auto"/>
          </w:tcPr>
          <w:p w14:paraId="4F8B75F5" w14:textId="70B9A61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B6815C6" w14:textId="77777777" w:rsidR="000B4BD4" w:rsidRPr="0035187E" w:rsidRDefault="000B4BD4" w:rsidP="0035187E">
            <w:pPr>
              <w:widowControl w:val="0"/>
              <w:autoSpaceDE w:val="0"/>
              <w:autoSpaceDN w:val="0"/>
              <w:jc w:val="both"/>
              <w:rPr>
                <w:rFonts w:ascii="Times New Roman" w:eastAsia="Calibri" w:hAnsi="Times New Roman" w:cs="Times New Roman"/>
                <w:b/>
                <w:sz w:val="20"/>
                <w:szCs w:val="20"/>
                <w:u w:val="single"/>
                <w:lang w:bidi="cs-CZ"/>
              </w:rPr>
            </w:pPr>
            <w:r w:rsidRPr="0035187E">
              <w:rPr>
                <w:rFonts w:ascii="Times New Roman" w:eastAsia="Calibri" w:hAnsi="Times New Roman" w:cs="Times New Roman"/>
                <w:b/>
                <w:sz w:val="20"/>
                <w:szCs w:val="20"/>
                <w:u w:val="single"/>
                <w:lang w:bidi="cs-CZ"/>
              </w:rPr>
              <w:t>Další konkrétní připomínky:</w:t>
            </w:r>
          </w:p>
          <w:p w14:paraId="12770F84" w14:textId="188A800E" w:rsidR="000B4BD4" w:rsidRPr="0035187E" w:rsidRDefault="000B4BD4" w:rsidP="0035187E">
            <w:pPr>
              <w:widowControl w:val="0"/>
              <w:tabs>
                <w:tab w:val="left" w:pos="720"/>
              </w:tabs>
              <w:autoSpaceDE w:val="0"/>
              <w:autoSpaceDN w:val="0"/>
              <w:jc w:val="both"/>
              <w:rPr>
                <w:rFonts w:ascii="Times New Roman" w:eastAsia="Calibri" w:hAnsi="Times New Roman" w:cs="Times New Roman"/>
                <w:sz w:val="20"/>
                <w:szCs w:val="20"/>
                <w:lang w:bidi="cs-CZ"/>
              </w:rPr>
            </w:pPr>
            <w:r w:rsidRPr="0035187E">
              <w:rPr>
                <w:rFonts w:ascii="Times New Roman" w:eastAsia="Calibri" w:hAnsi="Times New Roman" w:cs="Times New Roman"/>
                <w:sz w:val="20"/>
                <w:szCs w:val="20"/>
                <w:lang w:bidi="cs-CZ"/>
              </w:rPr>
              <w:t xml:space="preserve">K § 12 odst. 2 návrhu zákona o evidenci tržeb – </w:t>
            </w:r>
            <w:r w:rsidRPr="0035187E">
              <w:rPr>
                <w:rFonts w:ascii="Times New Roman" w:eastAsia="Calibri" w:hAnsi="Times New Roman" w:cs="Times New Roman"/>
                <w:i/>
                <w:iCs/>
                <w:sz w:val="20"/>
                <w:szCs w:val="20"/>
                <w:lang w:bidi="cs-CZ"/>
              </w:rPr>
              <w:t>Vynětí z evidence tržeb podle poplatníka</w:t>
            </w:r>
            <w:r w:rsidRPr="0035187E">
              <w:rPr>
                <w:rFonts w:ascii="Times New Roman" w:eastAsia="Calibri" w:hAnsi="Times New Roman" w:cs="Times New Roman"/>
                <w:sz w:val="20"/>
                <w:szCs w:val="20"/>
                <w:lang w:bidi="cs-CZ"/>
              </w:rPr>
              <w:t xml:space="preserve"> </w:t>
            </w:r>
          </w:p>
          <w:p w14:paraId="7C9AEC2D"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u w:val="single"/>
                <w:lang w:bidi="cs-CZ"/>
              </w:rPr>
            </w:pPr>
            <w:r w:rsidRPr="0035187E">
              <w:rPr>
                <w:rFonts w:ascii="Times New Roman" w:eastAsia="Calibri" w:hAnsi="Times New Roman" w:cs="Times New Roman"/>
                <w:sz w:val="20"/>
                <w:szCs w:val="20"/>
                <w:lang w:bidi="cs-CZ"/>
              </w:rPr>
              <w:t>Navrhujeme</w:t>
            </w:r>
            <w:r w:rsidRPr="0035187E">
              <w:rPr>
                <w:rFonts w:ascii="Times New Roman" w:eastAsia="Calibri" w:hAnsi="Times New Roman" w:cs="Times New Roman"/>
                <w:b/>
                <w:bCs/>
                <w:sz w:val="20"/>
                <w:szCs w:val="20"/>
                <w:lang w:bidi="cs-CZ"/>
              </w:rPr>
              <w:t xml:space="preserve"> </w:t>
            </w:r>
            <w:r w:rsidRPr="0035187E">
              <w:rPr>
                <w:rFonts w:ascii="Times New Roman" w:eastAsia="Calibri" w:hAnsi="Times New Roman" w:cs="Times New Roman"/>
                <w:sz w:val="20"/>
                <w:szCs w:val="20"/>
                <w:lang w:bidi="cs-CZ"/>
              </w:rPr>
              <w:t>doplnění „zdravotních pojišťoven“ do ustanovení § 12 odst. 2 návrhu nového zákona o evidenci tržeb, tzn.  mezi poplatníky vyňaté z evidence tržeb, přičemž toto ustanovení navrhujeme upravit následujícím způsobem:</w:t>
            </w:r>
          </w:p>
          <w:p w14:paraId="5E638783" w14:textId="77777777" w:rsidR="000B4BD4" w:rsidRPr="0035187E" w:rsidRDefault="000B4BD4" w:rsidP="0035187E">
            <w:pPr>
              <w:widowControl w:val="0"/>
              <w:autoSpaceDE w:val="0"/>
              <w:autoSpaceDN w:val="0"/>
              <w:ind w:firstLine="425"/>
              <w:jc w:val="both"/>
              <w:rPr>
                <w:rFonts w:ascii="Times New Roman" w:eastAsia="Calibri" w:hAnsi="Times New Roman" w:cs="Times New Roman"/>
                <w:i/>
                <w:iCs/>
                <w:sz w:val="20"/>
                <w:szCs w:val="20"/>
                <w:lang w:bidi="cs-CZ"/>
              </w:rPr>
            </w:pPr>
            <w:r w:rsidRPr="0035187E">
              <w:rPr>
                <w:rFonts w:ascii="Times New Roman" w:eastAsia="Calibri" w:hAnsi="Times New Roman" w:cs="Times New Roman"/>
                <w:i/>
                <w:iCs/>
                <w:sz w:val="20"/>
                <w:szCs w:val="20"/>
                <w:lang w:bidi="cs-CZ"/>
              </w:rPr>
              <w:t>(2) Evidovanou tržbou nejsou také tržby</w:t>
            </w:r>
          </w:p>
          <w:p w14:paraId="2B528E86" w14:textId="77777777" w:rsidR="000B4BD4" w:rsidRPr="0035187E" w:rsidRDefault="000B4BD4" w:rsidP="0035187E">
            <w:pPr>
              <w:widowControl w:val="0"/>
              <w:autoSpaceDE w:val="0"/>
              <w:autoSpaceDN w:val="0"/>
              <w:jc w:val="both"/>
              <w:rPr>
                <w:rFonts w:ascii="Times New Roman" w:eastAsia="Calibri" w:hAnsi="Times New Roman" w:cs="Times New Roman"/>
                <w:i/>
                <w:iCs/>
                <w:sz w:val="20"/>
                <w:szCs w:val="20"/>
                <w:lang w:bidi="cs-CZ"/>
              </w:rPr>
            </w:pPr>
            <w:r w:rsidRPr="0035187E">
              <w:rPr>
                <w:rFonts w:ascii="Times New Roman" w:eastAsia="Calibri" w:hAnsi="Times New Roman" w:cs="Times New Roman"/>
                <w:i/>
                <w:iCs/>
                <w:sz w:val="20"/>
                <w:szCs w:val="20"/>
                <w:lang w:bidi="cs-CZ"/>
              </w:rPr>
              <w:t>a)  banky, včetně zahraniční banky,</w:t>
            </w:r>
          </w:p>
          <w:p w14:paraId="19326DAB" w14:textId="77777777" w:rsidR="000B4BD4" w:rsidRPr="0035187E" w:rsidRDefault="000B4BD4" w:rsidP="0035187E">
            <w:pPr>
              <w:widowControl w:val="0"/>
              <w:autoSpaceDE w:val="0"/>
              <w:autoSpaceDN w:val="0"/>
              <w:jc w:val="both"/>
              <w:rPr>
                <w:rFonts w:ascii="Times New Roman" w:eastAsia="Calibri" w:hAnsi="Times New Roman" w:cs="Times New Roman"/>
                <w:i/>
                <w:iCs/>
                <w:sz w:val="20"/>
                <w:szCs w:val="20"/>
                <w:lang w:bidi="cs-CZ"/>
              </w:rPr>
            </w:pPr>
            <w:r w:rsidRPr="0035187E">
              <w:rPr>
                <w:rFonts w:ascii="Times New Roman" w:eastAsia="Calibri" w:hAnsi="Times New Roman" w:cs="Times New Roman"/>
                <w:i/>
                <w:iCs/>
                <w:sz w:val="20"/>
                <w:szCs w:val="20"/>
                <w:lang w:bidi="cs-CZ"/>
              </w:rPr>
              <w:t>b)  spořitelního a úvěrního družstva,</w:t>
            </w:r>
          </w:p>
          <w:p w14:paraId="3EA5FB6F" w14:textId="77777777" w:rsidR="000B4BD4" w:rsidRPr="0035187E" w:rsidRDefault="000B4BD4" w:rsidP="0035187E">
            <w:pPr>
              <w:widowControl w:val="0"/>
              <w:autoSpaceDE w:val="0"/>
              <w:autoSpaceDN w:val="0"/>
              <w:jc w:val="both"/>
              <w:rPr>
                <w:rFonts w:ascii="Times New Roman" w:eastAsia="Calibri" w:hAnsi="Times New Roman" w:cs="Times New Roman"/>
                <w:i/>
                <w:iCs/>
                <w:sz w:val="20"/>
                <w:szCs w:val="20"/>
                <w:lang w:bidi="cs-CZ"/>
              </w:rPr>
            </w:pPr>
            <w:r w:rsidRPr="0035187E">
              <w:rPr>
                <w:rFonts w:ascii="Times New Roman" w:eastAsia="Calibri" w:hAnsi="Times New Roman" w:cs="Times New Roman"/>
                <w:i/>
                <w:iCs/>
                <w:sz w:val="20"/>
                <w:szCs w:val="20"/>
                <w:lang w:bidi="cs-CZ"/>
              </w:rPr>
              <w:t>c)  pojišťovny a zajišťovny,</w:t>
            </w:r>
          </w:p>
          <w:p w14:paraId="00ABA1A7" w14:textId="77777777" w:rsidR="000B4BD4" w:rsidRPr="0035187E" w:rsidRDefault="000B4BD4" w:rsidP="0035187E">
            <w:pPr>
              <w:widowControl w:val="0"/>
              <w:autoSpaceDE w:val="0"/>
              <w:autoSpaceDN w:val="0"/>
              <w:jc w:val="both"/>
              <w:rPr>
                <w:rFonts w:ascii="Times New Roman" w:eastAsia="Calibri" w:hAnsi="Times New Roman" w:cs="Times New Roman"/>
                <w:b/>
                <w:bCs/>
                <w:i/>
                <w:iCs/>
                <w:sz w:val="20"/>
                <w:szCs w:val="20"/>
                <w:lang w:bidi="cs-CZ"/>
              </w:rPr>
            </w:pPr>
            <w:r w:rsidRPr="0035187E">
              <w:rPr>
                <w:rFonts w:ascii="Times New Roman" w:eastAsia="Calibri" w:hAnsi="Times New Roman" w:cs="Times New Roman"/>
                <w:b/>
                <w:bCs/>
                <w:i/>
                <w:iCs/>
                <w:sz w:val="20"/>
                <w:szCs w:val="20"/>
                <w:lang w:bidi="cs-CZ"/>
              </w:rPr>
              <w:t>d) zdravotní pojišťovny,</w:t>
            </w:r>
          </w:p>
          <w:p w14:paraId="53652C5A" w14:textId="77777777" w:rsidR="000B4BD4" w:rsidRPr="0035187E" w:rsidRDefault="000B4BD4" w:rsidP="0035187E">
            <w:pPr>
              <w:widowControl w:val="0"/>
              <w:autoSpaceDE w:val="0"/>
              <w:autoSpaceDN w:val="0"/>
              <w:jc w:val="both"/>
              <w:rPr>
                <w:rFonts w:ascii="Times New Roman" w:eastAsia="Calibri" w:hAnsi="Times New Roman" w:cs="Times New Roman"/>
                <w:i/>
                <w:iCs/>
                <w:sz w:val="20"/>
                <w:szCs w:val="20"/>
                <w:lang w:bidi="cs-CZ"/>
              </w:rPr>
            </w:pPr>
            <w:r w:rsidRPr="0035187E">
              <w:rPr>
                <w:rFonts w:ascii="Times New Roman" w:eastAsia="Calibri" w:hAnsi="Times New Roman" w:cs="Times New Roman"/>
                <w:i/>
                <w:iCs/>
                <w:strike/>
                <w:sz w:val="20"/>
                <w:szCs w:val="20"/>
                <w:lang w:bidi="cs-CZ"/>
              </w:rPr>
              <w:t>d)</w:t>
            </w:r>
            <w:r w:rsidRPr="0035187E">
              <w:rPr>
                <w:rFonts w:ascii="Times New Roman" w:eastAsia="Calibri" w:hAnsi="Times New Roman" w:cs="Times New Roman"/>
                <w:i/>
                <w:iCs/>
                <w:sz w:val="20"/>
                <w:szCs w:val="20"/>
                <w:lang w:bidi="cs-CZ"/>
              </w:rPr>
              <w:t xml:space="preserve"> e) investiční společnosti a investičního fondu,</w:t>
            </w:r>
          </w:p>
          <w:p w14:paraId="6B636ABC" w14:textId="77777777" w:rsidR="000B4BD4" w:rsidRPr="0035187E" w:rsidRDefault="000B4BD4" w:rsidP="0035187E">
            <w:pPr>
              <w:widowControl w:val="0"/>
              <w:autoSpaceDE w:val="0"/>
              <w:autoSpaceDN w:val="0"/>
              <w:jc w:val="both"/>
              <w:rPr>
                <w:rFonts w:ascii="Times New Roman" w:eastAsia="Calibri" w:hAnsi="Times New Roman" w:cs="Times New Roman"/>
                <w:i/>
                <w:iCs/>
                <w:sz w:val="20"/>
                <w:szCs w:val="20"/>
                <w:lang w:bidi="cs-CZ"/>
              </w:rPr>
            </w:pPr>
            <w:r w:rsidRPr="0035187E">
              <w:rPr>
                <w:rFonts w:ascii="Times New Roman" w:eastAsia="Calibri" w:hAnsi="Times New Roman" w:cs="Times New Roman"/>
                <w:i/>
                <w:iCs/>
                <w:strike/>
                <w:sz w:val="20"/>
                <w:szCs w:val="20"/>
                <w:lang w:bidi="cs-CZ"/>
              </w:rPr>
              <w:t>e)</w:t>
            </w:r>
            <w:r w:rsidRPr="0035187E">
              <w:rPr>
                <w:rFonts w:ascii="Times New Roman" w:eastAsia="Calibri" w:hAnsi="Times New Roman" w:cs="Times New Roman"/>
                <w:i/>
                <w:iCs/>
                <w:sz w:val="20"/>
                <w:szCs w:val="20"/>
                <w:lang w:bidi="cs-CZ"/>
              </w:rPr>
              <w:t xml:space="preserve"> f) obchodníka s cennými papíry,</w:t>
            </w:r>
          </w:p>
          <w:p w14:paraId="6002A522" w14:textId="77777777" w:rsidR="000B4BD4" w:rsidRPr="0035187E" w:rsidRDefault="000B4BD4" w:rsidP="0035187E">
            <w:pPr>
              <w:widowControl w:val="0"/>
              <w:autoSpaceDE w:val="0"/>
              <w:autoSpaceDN w:val="0"/>
              <w:jc w:val="both"/>
              <w:rPr>
                <w:rFonts w:ascii="Times New Roman" w:eastAsia="Calibri" w:hAnsi="Times New Roman" w:cs="Times New Roman"/>
                <w:i/>
                <w:iCs/>
                <w:sz w:val="20"/>
                <w:szCs w:val="20"/>
                <w:lang w:bidi="cs-CZ"/>
              </w:rPr>
            </w:pPr>
            <w:r w:rsidRPr="0035187E">
              <w:rPr>
                <w:rFonts w:ascii="Times New Roman" w:eastAsia="Calibri" w:hAnsi="Times New Roman" w:cs="Times New Roman"/>
                <w:i/>
                <w:iCs/>
                <w:strike/>
                <w:sz w:val="20"/>
                <w:szCs w:val="20"/>
                <w:lang w:bidi="cs-CZ"/>
              </w:rPr>
              <w:t>f)</w:t>
            </w:r>
            <w:r w:rsidRPr="0035187E">
              <w:rPr>
                <w:rFonts w:ascii="Times New Roman" w:eastAsia="Calibri" w:hAnsi="Times New Roman" w:cs="Times New Roman"/>
                <w:i/>
                <w:iCs/>
                <w:sz w:val="20"/>
                <w:szCs w:val="20"/>
                <w:lang w:bidi="cs-CZ"/>
              </w:rPr>
              <w:t>  g) centrálního depozitáře,</w:t>
            </w:r>
          </w:p>
          <w:p w14:paraId="6085E67C" w14:textId="77777777" w:rsidR="000B4BD4" w:rsidRPr="0035187E" w:rsidRDefault="000B4BD4" w:rsidP="0035187E">
            <w:pPr>
              <w:widowControl w:val="0"/>
              <w:autoSpaceDE w:val="0"/>
              <w:autoSpaceDN w:val="0"/>
              <w:jc w:val="both"/>
              <w:rPr>
                <w:rFonts w:ascii="Times New Roman" w:eastAsia="Calibri" w:hAnsi="Times New Roman" w:cs="Times New Roman"/>
                <w:i/>
                <w:iCs/>
                <w:sz w:val="20"/>
                <w:szCs w:val="20"/>
                <w:lang w:bidi="cs-CZ"/>
              </w:rPr>
            </w:pPr>
            <w:r w:rsidRPr="0035187E">
              <w:rPr>
                <w:rFonts w:ascii="Times New Roman" w:eastAsia="Calibri" w:hAnsi="Times New Roman" w:cs="Times New Roman"/>
                <w:i/>
                <w:iCs/>
                <w:strike/>
                <w:sz w:val="20"/>
                <w:szCs w:val="20"/>
                <w:lang w:bidi="cs-CZ"/>
              </w:rPr>
              <w:t>g)</w:t>
            </w:r>
            <w:r w:rsidRPr="0035187E">
              <w:rPr>
                <w:rFonts w:ascii="Times New Roman" w:eastAsia="Calibri" w:hAnsi="Times New Roman" w:cs="Times New Roman"/>
                <w:i/>
                <w:iCs/>
                <w:sz w:val="20"/>
                <w:szCs w:val="20"/>
                <w:lang w:bidi="cs-CZ"/>
              </w:rPr>
              <w:t>  h) penzijní společnosti,</w:t>
            </w:r>
          </w:p>
          <w:p w14:paraId="0BE81AC9"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lang w:bidi="cs-CZ"/>
              </w:rPr>
            </w:pPr>
            <w:r w:rsidRPr="0035187E">
              <w:rPr>
                <w:rFonts w:ascii="Times New Roman" w:eastAsia="Calibri" w:hAnsi="Times New Roman" w:cs="Times New Roman"/>
                <w:i/>
                <w:iCs/>
                <w:strike/>
                <w:sz w:val="20"/>
                <w:szCs w:val="20"/>
                <w:lang w:bidi="cs-CZ"/>
              </w:rPr>
              <w:t>h)</w:t>
            </w:r>
            <w:r w:rsidRPr="0035187E">
              <w:rPr>
                <w:rFonts w:ascii="Times New Roman" w:eastAsia="Calibri" w:hAnsi="Times New Roman" w:cs="Times New Roman"/>
                <w:i/>
                <w:iCs/>
                <w:sz w:val="20"/>
                <w:szCs w:val="20"/>
                <w:lang w:bidi="cs-CZ"/>
              </w:rPr>
              <w:t>  i) penzijního fondu.</w:t>
            </w:r>
          </w:p>
          <w:p w14:paraId="62584E89"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lang w:bidi="cs-CZ"/>
              </w:rPr>
            </w:pPr>
          </w:p>
          <w:p w14:paraId="70C9BC7A"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u w:val="single"/>
                <w:lang w:bidi="cs-CZ"/>
              </w:rPr>
            </w:pPr>
            <w:r w:rsidRPr="0035187E">
              <w:rPr>
                <w:rFonts w:ascii="Times New Roman" w:eastAsia="Calibri" w:hAnsi="Times New Roman" w:cs="Times New Roman"/>
                <w:sz w:val="20"/>
                <w:szCs w:val="20"/>
                <w:u w:val="single"/>
                <w:lang w:bidi="cs-CZ"/>
              </w:rPr>
              <w:t>Odůvodnění:</w:t>
            </w:r>
          </w:p>
          <w:p w14:paraId="065084F1"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lang w:bidi="cs-CZ"/>
              </w:rPr>
            </w:pPr>
            <w:r w:rsidRPr="0035187E">
              <w:rPr>
                <w:rFonts w:ascii="Times New Roman" w:eastAsia="Calibri" w:hAnsi="Times New Roman" w:cs="Times New Roman"/>
                <w:sz w:val="20"/>
                <w:szCs w:val="20"/>
                <w:lang w:bidi="cs-CZ"/>
              </w:rPr>
              <w:t xml:space="preserve">S ohledem na celkové pojetí § 12 návrhu nového zákona o evidenci tržeb se domníváme, že v případě, kdy budou evidenci tržeb podléhat bezhotovostní tržby, není výčet osvobozených poplatníků kompletní a schází v něm „zdravotní pojišťovny“. </w:t>
            </w:r>
          </w:p>
          <w:p w14:paraId="5A08C553"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lang w:bidi="cs-CZ"/>
              </w:rPr>
            </w:pPr>
            <w:r w:rsidRPr="0035187E">
              <w:rPr>
                <w:rFonts w:ascii="Times New Roman" w:eastAsia="Calibri" w:hAnsi="Times New Roman" w:cs="Times New Roman"/>
                <w:sz w:val="20"/>
                <w:szCs w:val="20"/>
                <w:lang w:bidi="cs-CZ"/>
              </w:rPr>
              <w:t xml:space="preserve">Zdravotní pojišťovny dle zavedených právních výkladů nespadají pod pojem „pojišťovny a zajišťovny“, neboť tento pojem takto označuje subjekty podnikající podle zákona č. 277/2009 Sb., o pojišťovnictví, ve znění pozdějších předpisů, tj. komerční subjekty poskytující soukromé neživotní a životní pojištění, případně zajištění. </w:t>
            </w:r>
          </w:p>
          <w:p w14:paraId="3439088E" w14:textId="1D86EEB3" w:rsidR="000B4BD4" w:rsidRPr="0035187E" w:rsidRDefault="000B4BD4" w:rsidP="0035187E">
            <w:pPr>
              <w:widowControl w:val="0"/>
              <w:autoSpaceDE w:val="0"/>
              <w:autoSpaceDN w:val="0"/>
              <w:jc w:val="both"/>
              <w:rPr>
                <w:rFonts w:ascii="Times New Roman" w:eastAsia="Tahoma" w:hAnsi="Times New Roman" w:cs="Times New Roman"/>
                <w:b/>
                <w:bCs/>
                <w:sz w:val="20"/>
                <w:szCs w:val="20"/>
                <w:u w:val="single"/>
                <w:lang w:bidi="cs-CZ"/>
              </w:rPr>
            </w:pPr>
            <w:r w:rsidRPr="0035187E">
              <w:rPr>
                <w:rFonts w:ascii="Times New Roman" w:eastAsia="Calibri" w:hAnsi="Times New Roman" w:cs="Times New Roman"/>
                <w:sz w:val="20"/>
                <w:szCs w:val="20"/>
                <w:lang w:bidi="cs-CZ"/>
              </w:rPr>
              <w:lastRenderedPageBreak/>
              <w:t>Navrhujeme proto, aby bylo v ustanovení § 12 odst. 2 návrhu nového zákona o evidenci tržeb doplněno za písm. c) nové písmeno d) ve znění „</w:t>
            </w:r>
            <w:r w:rsidRPr="0035187E">
              <w:rPr>
                <w:rFonts w:ascii="Times New Roman" w:eastAsia="Calibri" w:hAnsi="Times New Roman" w:cs="Times New Roman"/>
                <w:i/>
                <w:iCs/>
                <w:sz w:val="20"/>
                <w:szCs w:val="20"/>
                <w:lang w:bidi="cs-CZ"/>
              </w:rPr>
              <w:t>zdravotní pojišťovny</w:t>
            </w:r>
            <w:r w:rsidRPr="0035187E">
              <w:rPr>
                <w:rFonts w:ascii="Times New Roman" w:eastAsia="Calibri" w:hAnsi="Times New Roman" w:cs="Times New Roman"/>
                <w:sz w:val="20"/>
                <w:szCs w:val="20"/>
                <w:lang w:bidi="cs-CZ"/>
              </w:rPr>
              <w:t>“. Dosavadní písmena d) až h) bude třeba odpovídajícím způsobem přeznačit jako písm. e) až i).</w:t>
            </w:r>
          </w:p>
        </w:tc>
        <w:tc>
          <w:tcPr>
            <w:tcW w:w="1453" w:type="pct"/>
            <w:tcBorders>
              <w:top w:val="single" w:sz="4" w:space="0" w:color="auto"/>
              <w:left w:val="single" w:sz="4" w:space="0" w:color="auto"/>
              <w:right w:val="single" w:sz="4" w:space="0" w:color="auto"/>
            </w:tcBorders>
            <w:shd w:val="clear" w:color="auto" w:fill="auto"/>
          </w:tcPr>
          <w:p w14:paraId="15C6B146" w14:textId="77777777" w:rsidR="000B4BD4" w:rsidRPr="0035187E" w:rsidRDefault="000B4BD4" w:rsidP="0035187E">
            <w:pPr>
              <w:jc w:val="both"/>
              <w:rPr>
                <w:rFonts w:ascii="Times New Roman" w:hAnsi="Times New Roman" w:cs="Times New Roman"/>
                <w:b/>
                <w:iCs/>
                <w:sz w:val="20"/>
                <w:szCs w:val="20"/>
              </w:rPr>
            </w:pPr>
            <w:r w:rsidRPr="0035187E">
              <w:rPr>
                <w:rFonts w:ascii="Times New Roman" w:hAnsi="Times New Roman" w:cs="Times New Roman"/>
                <w:b/>
                <w:iCs/>
                <w:sz w:val="20"/>
                <w:szCs w:val="20"/>
              </w:rPr>
              <w:lastRenderedPageBreak/>
              <w:t>Nevyhověno.</w:t>
            </w:r>
          </w:p>
          <w:p w14:paraId="0B09ED2E" w14:textId="1F08B300" w:rsidR="000B4BD4" w:rsidRPr="0035187E" w:rsidRDefault="000B4BD4" w:rsidP="0035187E">
            <w:pPr>
              <w:jc w:val="both"/>
              <w:rPr>
                <w:rFonts w:ascii="Times New Roman" w:hAnsi="Times New Roman" w:cs="Times New Roman"/>
                <w:i/>
                <w:sz w:val="20"/>
                <w:szCs w:val="20"/>
              </w:rPr>
            </w:pPr>
            <w:r w:rsidRPr="0035187E">
              <w:rPr>
                <w:rFonts w:ascii="Times New Roman" w:hAnsi="Times New Roman" w:cs="Times New Roman"/>
                <w:iCs/>
                <w:sz w:val="20"/>
                <w:szCs w:val="20"/>
              </w:rPr>
              <w:t>Záměrem návrhu není (obdobně jako u původního zákona o evidenci tržeb) plošné vyloučení zdravotních pojišťoven z povinnosti evidovat tržby. Zdravotní pojišťovny neposkytují služby regulované zákonem o pojišťovnictví, a proto se na ně vynětí pro subjekty z oblasti finančního trhu nevztahuje.</w:t>
            </w:r>
          </w:p>
        </w:tc>
      </w:tr>
      <w:tr w:rsidR="0035187E" w:rsidRPr="0035187E" w14:paraId="230CB89E"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4A1DAA8" w14:textId="57C1931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48.</w:t>
            </w:r>
          </w:p>
        </w:tc>
        <w:tc>
          <w:tcPr>
            <w:tcW w:w="583" w:type="pct"/>
            <w:tcBorders>
              <w:top w:val="single" w:sz="4" w:space="0" w:color="auto"/>
              <w:left w:val="single" w:sz="4" w:space="0" w:color="auto"/>
              <w:right w:val="single" w:sz="4" w:space="0" w:color="auto"/>
            </w:tcBorders>
            <w:shd w:val="clear" w:color="auto" w:fill="auto"/>
          </w:tcPr>
          <w:p w14:paraId="004E46A9" w14:textId="3834DF7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Konfederace zaměstnavatelských a podnikatelských svazů ČR</w:t>
            </w:r>
          </w:p>
        </w:tc>
        <w:tc>
          <w:tcPr>
            <w:tcW w:w="168" w:type="pct"/>
            <w:tcBorders>
              <w:top w:val="single" w:sz="4" w:space="0" w:color="auto"/>
              <w:left w:val="single" w:sz="4" w:space="0" w:color="auto"/>
              <w:right w:val="single" w:sz="4" w:space="0" w:color="auto"/>
            </w:tcBorders>
            <w:shd w:val="clear" w:color="auto" w:fill="auto"/>
          </w:tcPr>
          <w:p w14:paraId="55F97CF6" w14:textId="26EFECE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5.</w:t>
            </w:r>
          </w:p>
        </w:tc>
        <w:tc>
          <w:tcPr>
            <w:tcW w:w="169" w:type="pct"/>
            <w:tcBorders>
              <w:top w:val="single" w:sz="4" w:space="0" w:color="auto"/>
              <w:left w:val="single" w:sz="4" w:space="0" w:color="auto"/>
              <w:right w:val="single" w:sz="4" w:space="0" w:color="auto"/>
            </w:tcBorders>
            <w:shd w:val="clear" w:color="auto" w:fill="auto"/>
          </w:tcPr>
          <w:p w14:paraId="5F3BD2B7" w14:textId="5D609E9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8A530CB" w14:textId="77777777" w:rsidR="000B4BD4" w:rsidRPr="0035187E" w:rsidRDefault="000B4BD4" w:rsidP="0035187E">
            <w:pPr>
              <w:widowControl w:val="0"/>
              <w:tabs>
                <w:tab w:val="left" w:pos="720"/>
              </w:tabs>
              <w:autoSpaceDE w:val="0"/>
              <w:autoSpaceDN w:val="0"/>
              <w:jc w:val="both"/>
              <w:rPr>
                <w:rFonts w:ascii="Times New Roman" w:eastAsia="Calibri" w:hAnsi="Times New Roman" w:cs="Times New Roman"/>
                <w:sz w:val="20"/>
                <w:szCs w:val="20"/>
                <w:lang w:bidi="cs-CZ"/>
              </w:rPr>
            </w:pPr>
            <w:r w:rsidRPr="0035187E">
              <w:rPr>
                <w:rFonts w:ascii="Times New Roman" w:eastAsia="Calibri" w:hAnsi="Times New Roman" w:cs="Times New Roman"/>
                <w:sz w:val="20"/>
                <w:szCs w:val="20"/>
                <w:lang w:bidi="cs-CZ"/>
              </w:rPr>
              <w:t xml:space="preserve">K § 12 odst.2 návrhu zákona o evidenci tržeb – </w:t>
            </w:r>
            <w:r w:rsidRPr="0035187E">
              <w:rPr>
                <w:rFonts w:ascii="Times New Roman" w:eastAsia="Calibri" w:hAnsi="Times New Roman" w:cs="Times New Roman"/>
                <w:i/>
                <w:iCs/>
                <w:sz w:val="20"/>
                <w:szCs w:val="20"/>
                <w:lang w:bidi="cs-CZ"/>
              </w:rPr>
              <w:t>Vynětí z evidence tržeb podle poplatníka</w:t>
            </w:r>
            <w:r w:rsidRPr="0035187E">
              <w:rPr>
                <w:rFonts w:ascii="Times New Roman" w:eastAsia="Calibri" w:hAnsi="Times New Roman" w:cs="Times New Roman"/>
                <w:sz w:val="20"/>
                <w:szCs w:val="20"/>
                <w:lang w:bidi="cs-CZ"/>
              </w:rPr>
              <w:t xml:space="preserve"> </w:t>
            </w:r>
          </w:p>
          <w:p w14:paraId="544DC82B" w14:textId="77777777" w:rsidR="000B4BD4" w:rsidRPr="0035187E" w:rsidRDefault="000B4BD4" w:rsidP="0035187E">
            <w:pPr>
              <w:widowControl w:val="0"/>
              <w:tabs>
                <w:tab w:val="left" w:pos="720"/>
              </w:tabs>
              <w:autoSpaceDE w:val="0"/>
              <w:autoSpaceDN w:val="0"/>
              <w:jc w:val="both"/>
              <w:rPr>
                <w:rFonts w:ascii="Times New Roman" w:eastAsia="Calibri" w:hAnsi="Times New Roman" w:cs="Times New Roman"/>
                <w:sz w:val="20"/>
                <w:szCs w:val="20"/>
                <w:lang w:bidi="cs-CZ"/>
              </w:rPr>
            </w:pPr>
            <w:r w:rsidRPr="0035187E">
              <w:rPr>
                <w:rFonts w:ascii="Times New Roman" w:eastAsia="Calibri" w:hAnsi="Times New Roman" w:cs="Times New Roman"/>
                <w:sz w:val="20"/>
                <w:szCs w:val="20"/>
                <w:lang w:bidi="cs-CZ"/>
              </w:rPr>
              <w:t>Navrhujeme doplnit do ustanovení nová písmena ve znění:</w:t>
            </w:r>
          </w:p>
          <w:p w14:paraId="4704ED17" w14:textId="77777777" w:rsidR="000B4BD4" w:rsidRPr="0035187E" w:rsidRDefault="000B4BD4" w:rsidP="0035187E">
            <w:pPr>
              <w:widowControl w:val="0"/>
              <w:tabs>
                <w:tab w:val="left" w:pos="567"/>
              </w:tabs>
              <w:autoSpaceDE w:val="0"/>
              <w:autoSpaceDN w:val="0"/>
              <w:jc w:val="both"/>
              <w:rPr>
                <w:rFonts w:ascii="Times New Roman" w:eastAsia="Calibri" w:hAnsi="Times New Roman" w:cs="Times New Roman"/>
                <w:b/>
                <w:bCs/>
                <w:sz w:val="20"/>
                <w:szCs w:val="20"/>
                <w:lang w:bidi="cs-CZ"/>
              </w:rPr>
            </w:pPr>
            <w:r w:rsidRPr="0035187E">
              <w:rPr>
                <w:rFonts w:ascii="Times New Roman" w:eastAsia="Calibri" w:hAnsi="Times New Roman" w:cs="Times New Roman"/>
                <w:b/>
                <w:bCs/>
                <w:sz w:val="20"/>
                <w:szCs w:val="20"/>
                <w:lang w:bidi="cs-CZ"/>
              </w:rPr>
              <w:t>x) poplatníka poskytujícího spotřebitelské financování</w:t>
            </w:r>
          </w:p>
          <w:p w14:paraId="23087289" w14:textId="77777777" w:rsidR="000B4BD4" w:rsidRPr="0035187E" w:rsidRDefault="000B4BD4" w:rsidP="0035187E">
            <w:pPr>
              <w:widowControl w:val="0"/>
              <w:tabs>
                <w:tab w:val="left" w:pos="567"/>
              </w:tabs>
              <w:autoSpaceDE w:val="0"/>
              <w:autoSpaceDN w:val="0"/>
              <w:jc w:val="both"/>
              <w:rPr>
                <w:rFonts w:ascii="Times New Roman" w:eastAsia="Calibri" w:hAnsi="Times New Roman" w:cs="Times New Roman"/>
                <w:b/>
                <w:bCs/>
                <w:sz w:val="20"/>
                <w:szCs w:val="20"/>
                <w:lang w:bidi="cs-CZ"/>
              </w:rPr>
            </w:pPr>
            <w:r w:rsidRPr="0035187E">
              <w:rPr>
                <w:rFonts w:ascii="Times New Roman" w:eastAsia="Calibri" w:hAnsi="Times New Roman" w:cs="Times New Roman"/>
                <w:b/>
                <w:bCs/>
                <w:sz w:val="20"/>
                <w:szCs w:val="20"/>
                <w:lang w:bidi="cs-CZ"/>
              </w:rPr>
              <w:t>x) poplatníka poskytujícího operativní či finanční pronájem</w:t>
            </w:r>
          </w:p>
          <w:p w14:paraId="161EA9D2" w14:textId="77777777" w:rsidR="000B4BD4" w:rsidRPr="0035187E" w:rsidRDefault="000B4BD4" w:rsidP="0035187E">
            <w:pPr>
              <w:widowControl w:val="0"/>
              <w:tabs>
                <w:tab w:val="left" w:pos="567"/>
              </w:tabs>
              <w:autoSpaceDE w:val="0"/>
              <w:autoSpaceDN w:val="0"/>
              <w:jc w:val="both"/>
              <w:rPr>
                <w:rFonts w:ascii="Times New Roman" w:eastAsia="Calibri" w:hAnsi="Times New Roman" w:cs="Times New Roman"/>
                <w:b/>
                <w:bCs/>
                <w:sz w:val="20"/>
                <w:szCs w:val="20"/>
                <w:lang w:bidi="cs-CZ"/>
              </w:rPr>
            </w:pPr>
            <w:r w:rsidRPr="0035187E">
              <w:rPr>
                <w:rFonts w:ascii="Times New Roman" w:eastAsia="Calibri" w:hAnsi="Times New Roman" w:cs="Times New Roman"/>
                <w:b/>
                <w:bCs/>
                <w:sz w:val="20"/>
                <w:szCs w:val="20"/>
                <w:lang w:bidi="cs-CZ"/>
              </w:rPr>
              <w:t>x) poplatníka poskytujícího faktoringové služby</w:t>
            </w:r>
          </w:p>
          <w:p w14:paraId="31658BAC" w14:textId="77777777" w:rsidR="000B4BD4" w:rsidRPr="0035187E" w:rsidRDefault="000B4BD4" w:rsidP="0035187E">
            <w:pPr>
              <w:widowControl w:val="0"/>
              <w:tabs>
                <w:tab w:val="left" w:pos="567"/>
              </w:tabs>
              <w:autoSpaceDE w:val="0"/>
              <w:autoSpaceDN w:val="0"/>
              <w:contextualSpacing/>
              <w:jc w:val="both"/>
              <w:rPr>
                <w:rFonts w:ascii="Times New Roman" w:eastAsia="Calibri" w:hAnsi="Times New Roman" w:cs="Times New Roman"/>
                <w:b/>
                <w:sz w:val="20"/>
                <w:szCs w:val="20"/>
                <w:lang w:bidi="cs-CZ"/>
              </w:rPr>
            </w:pPr>
          </w:p>
          <w:p w14:paraId="1FAC09AC"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u w:val="single"/>
                <w:lang w:bidi="cs-CZ"/>
              </w:rPr>
            </w:pPr>
            <w:r w:rsidRPr="0035187E">
              <w:rPr>
                <w:rFonts w:ascii="Times New Roman" w:eastAsia="Calibri" w:hAnsi="Times New Roman" w:cs="Times New Roman"/>
                <w:sz w:val="20"/>
                <w:szCs w:val="20"/>
                <w:u w:val="single"/>
                <w:lang w:bidi="cs-CZ"/>
              </w:rPr>
              <w:t xml:space="preserve">Odůvodnění: </w:t>
            </w:r>
          </w:p>
          <w:p w14:paraId="150FAD8B" w14:textId="25FBCA34" w:rsidR="000B4BD4" w:rsidRPr="0035187E" w:rsidRDefault="000B4BD4" w:rsidP="0035187E">
            <w:pPr>
              <w:widowControl w:val="0"/>
              <w:autoSpaceDE w:val="0"/>
              <w:autoSpaceDN w:val="0"/>
              <w:jc w:val="both"/>
              <w:rPr>
                <w:rFonts w:ascii="Times New Roman" w:eastAsia="Calibri" w:hAnsi="Times New Roman" w:cs="Times New Roman"/>
                <w:b/>
                <w:sz w:val="20"/>
                <w:szCs w:val="20"/>
                <w:u w:val="single"/>
                <w:lang w:bidi="cs-CZ"/>
              </w:rPr>
            </w:pPr>
            <w:r w:rsidRPr="0035187E">
              <w:rPr>
                <w:rFonts w:ascii="Times New Roman" w:eastAsia="Calibri" w:hAnsi="Times New Roman" w:cs="Times New Roman"/>
                <w:sz w:val="20"/>
                <w:szCs w:val="20"/>
                <w:lang w:bidi="cs-CZ"/>
              </w:rPr>
              <w:t>Přestože není příliš pravděpodobné, že by ke kontaktní platbě docházelo i v případě jiných entit poskytující finanční služby, doporučujeme toto postavit najisto a z předmětu EET specificky vyčlenit i subjekty poskytující spotřebitelské financování, faktoringové služby a leasing.</w:t>
            </w:r>
          </w:p>
        </w:tc>
        <w:tc>
          <w:tcPr>
            <w:tcW w:w="1453" w:type="pct"/>
            <w:tcBorders>
              <w:top w:val="single" w:sz="4" w:space="0" w:color="auto"/>
              <w:left w:val="single" w:sz="4" w:space="0" w:color="auto"/>
              <w:right w:val="single" w:sz="4" w:space="0" w:color="auto"/>
            </w:tcBorders>
            <w:shd w:val="clear" w:color="auto" w:fill="auto"/>
          </w:tcPr>
          <w:p w14:paraId="13A22847" w14:textId="77777777" w:rsidR="000B4BD4" w:rsidRPr="0035187E" w:rsidRDefault="000B4BD4" w:rsidP="0035187E">
            <w:pPr>
              <w:jc w:val="both"/>
              <w:rPr>
                <w:rFonts w:ascii="Times New Roman" w:hAnsi="Times New Roman" w:cs="Times New Roman"/>
                <w:b/>
                <w:iCs/>
                <w:sz w:val="20"/>
                <w:szCs w:val="20"/>
              </w:rPr>
            </w:pPr>
            <w:r w:rsidRPr="0035187E">
              <w:rPr>
                <w:rFonts w:ascii="Times New Roman" w:hAnsi="Times New Roman" w:cs="Times New Roman"/>
                <w:b/>
                <w:iCs/>
                <w:sz w:val="20"/>
                <w:szCs w:val="20"/>
              </w:rPr>
              <w:t>Nevyhověno.</w:t>
            </w:r>
          </w:p>
          <w:p w14:paraId="4C9E420B" w14:textId="77777777" w:rsidR="000B4BD4" w:rsidRPr="0035187E" w:rsidRDefault="000B4BD4"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Záměrem návrhu není (obdobně jako u původního zákona o evidenci tržeb) plošné vyloučení veškerých tržeb poplatníků, které (byť jen nepatrně) provádí vyjmenované činnosti. Takové řešení by bylo nelogické a popíralo by účel zákona tím, že by poskytlo snadný návod na vyhnutí se povinnosti evidovat tržby.</w:t>
            </w:r>
          </w:p>
          <w:p w14:paraId="15817907" w14:textId="4AC16D69" w:rsidR="000B4BD4" w:rsidRPr="0035187E" w:rsidRDefault="000B4BD4" w:rsidP="0035187E">
            <w:pPr>
              <w:jc w:val="both"/>
              <w:rPr>
                <w:rFonts w:ascii="Times New Roman" w:hAnsi="Times New Roman" w:cs="Times New Roman"/>
                <w:i/>
                <w:sz w:val="20"/>
                <w:szCs w:val="20"/>
              </w:rPr>
            </w:pPr>
          </w:p>
        </w:tc>
      </w:tr>
      <w:tr w:rsidR="0035187E" w:rsidRPr="0035187E" w14:paraId="4096BBEC"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4899E94" w14:textId="5F6E2A6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48.</w:t>
            </w:r>
          </w:p>
        </w:tc>
        <w:tc>
          <w:tcPr>
            <w:tcW w:w="583" w:type="pct"/>
            <w:tcBorders>
              <w:top w:val="single" w:sz="4" w:space="0" w:color="auto"/>
              <w:left w:val="single" w:sz="4" w:space="0" w:color="auto"/>
              <w:right w:val="single" w:sz="4" w:space="0" w:color="auto"/>
            </w:tcBorders>
            <w:shd w:val="clear" w:color="auto" w:fill="auto"/>
          </w:tcPr>
          <w:p w14:paraId="4E9566DC" w14:textId="205D9E8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Konfederace zaměstnavatelských a podnikatelských svazů ČR</w:t>
            </w:r>
          </w:p>
        </w:tc>
        <w:tc>
          <w:tcPr>
            <w:tcW w:w="168" w:type="pct"/>
            <w:tcBorders>
              <w:top w:val="single" w:sz="4" w:space="0" w:color="auto"/>
              <w:left w:val="single" w:sz="4" w:space="0" w:color="auto"/>
              <w:right w:val="single" w:sz="4" w:space="0" w:color="auto"/>
            </w:tcBorders>
            <w:shd w:val="clear" w:color="auto" w:fill="auto"/>
          </w:tcPr>
          <w:p w14:paraId="5497F09E" w14:textId="588B424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6.</w:t>
            </w:r>
          </w:p>
        </w:tc>
        <w:tc>
          <w:tcPr>
            <w:tcW w:w="169" w:type="pct"/>
            <w:tcBorders>
              <w:top w:val="single" w:sz="4" w:space="0" w:color="auto"/>
              <w:left w:val="single" w:sz="4" w:space="0" w:color="auto"/>
              <w:right w:val="single" w:sz="4" w:space="0" w:color="auto"/>
            </w:tcBorders>
            <w:shd w:val="clear" w:color="auto" w:fill="auto"/>
          </w:tcPr>
          <w:p w14:paraId="63F6D069" w14:textId="717A8F8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03E3CFE" w14:textId="77777777" w:rsidR="000B4BD4" w:rsidRPr="0035187E" w:rsidRDefault="000B4BD4" w:rsidP="0035187E">
            <w:pPr>
              <w:widowControl w:val="0"/>
              <w:tabs>
                <w:tab w:val="left" w:pos="720"/>
              </w:tabs>
              <w:autoSpaceDE w:val="0"/>
              <w:autoSpaceDN w:val="0"/>
              <w:jc w:val="both"/>
              <w:rPr>
                <w:rFonts w:ascii="Times New Roman" w:eastAsia="Calibri" w:hAnsi="Times New Roman" w:cs="Times New Roman"/>
                <w:sz w:val="20"/>
                <w:szCs w:val="20"/>
                <w:lang w:bidi="cs-CZ"/>
              </w:rPr>
            </w:pPr>
            <w:r w:rsidRPr="0035187E">
              <w:rPr>
                <w:rFonts w:ascii="Times New Roman" w:eastAsia="Calibri" w:hAnsi="Times New Roman" w:cs="Times New Roman"/>
                <w:sz w:val="20"/>
                <w:szCs w:val="20"/>
                <w:lang w:bidi="cs-CZ"/>
              </w:rPr>
              <w:t xml:space="preserve">K § 12 odst.2 návrhu zákona o evidenci tržeb – </w:t>
            </w:r>
            <w:r w:rsidRPr="0035187E">
              <w:rPr>
                <w:rFonts w:ascii="Times New Roman" w:eastAsia="Calibri" w:hAnsi="Times New Roman" w:cs="Times New Roman"/>
                <w:i/>
                <w:iCs/>
                <w:sz w:val="20"/>
                <w:szCs w:val="20"/>
                <w:lang w:bidi="cs-CZ"/>
              </w:rPr>
              <w:t>Vynětí z evidence tržeb podle poplatníka</w:t>
            </w:r>
            <w:r w:rsidRPr="0035187E">
              <w:rPr>
                <w:rFonts w:ascii="Times New Roman" w:eastAsia="Calibri" w:hAnsi="Times New Roman" w:cs="Times New Roman"/>
                <w:sz w:val="20"/>
                <w:szCs w:val="20"/>
                <w:lang w:bidi="cs-CZ"/>
              </w:rPr>
              <w:t xml:space="preserve"> </w:t>
            </w:r>
          </w:p>
          <w:p w14:paraId="6EB67CCA" w14:textId="77777777" w:rsidR="000B4BD4" w:rsidRPr="0035187E" w:rsidRDefault="000B4BD4" w:rsidP="0035187E">
            <w:pPr>
              <w:widowControl w:val="0"/>
              <w:tabs>
                <w:tab w:val="left" w:pos="720"/>
              </w:tabs>
              <w:autoSpaceDE w:val="0"/>
              <w:autoSpaceDN w:val="0"/>
              <w:jc w:val="both"/>
              <w:rPr>
                <w:rFonts w:ascii="Times New Roman" w:eastAsia="Calibri" w:hAnsi="Times New Roman" w:cs="Times New Roman"/>
                <w:sz w:val="20"/>
                <w:szCs w:val="20"/>
                <w:lang w:bidi="cs-CZ"/>
              </w:rPr>
            </w:pPr>
            <w:r w:rsidRPr="0035187E">
              <w:rPr>
                <w:rFonts w:ascii="Times New Roman" w:eastAsia="Calibri" w:hAnsi="Times New Roman" w:cs="Times New Roman"/>
                <w:sz w:val="20"/>
                <w:szCs w:val="20"/>
                <w:lang w:bidi="cs-CZ"/>
              </w:rPr>
              <w:t>Navrhujeme doplnit do ustanovení nové písmeno ve znění:</w:t>
            </w:r>
          </w:p>
          <w:p w14:paraId="69DE4B24" w14:textId="77777777" w:rsidR="000B4BD4" w:rsidRPr="0035187E" w:rsidRDefault="000B4BD4" w:rsidP="0035187E">
            <w:pPr>
              <w:widowControl w:val="0"/>
              <w:autoSpaceDE w:val="0"/>
              <w:autoSpaceDN w:val="0"/>
              <w:jc w:val="both"/>
              <w:rPr>
                <w:rFonts w:ascii="Times New Roman" w:eastAsia="Calibri" w:hAnsi="Times New Roman" w:cs="Times New Roman"/>
                <w:b/>
                <w:bCs/>
                <w:sz w:val="20"/>
                <w:szCs w:val="20"/>
                <w:lang w:bidi="cs-CZ"/>
              </w:rPr>
            </w:pPr>
            <w:r w:rsidRPr="0035187E">
              <w:rPr>
                <w:rFonts w:ascii="Times New Roman" w:eastAsia="Calibri" w:hAnsi="Times New Roman" w:cs="Times New Roman"/>
                <w:b/>
                <w:bCs/>
                <w:sz w:val="20"/>
                <w:szCs w:val="20"/>
                <w:lang w:bidi="cs-CZ"/>
              </w:rPr>
              <w:t>x) nebankovního poskytovatele spotřebitelského úvěru.</w:t>
            </w:r>
          </w:p>
          <w:p w14:paraId="652515DB"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u w:val="single"/>
                <w:lang w:bidi="cs-CZ"/>
              </w:rPr>
            </w:pPr>
          </w:p>
          <w:p w14:paraId="0FF592C0" w14:textId="4DCDA44E" w:rsidR="000B4BD4" w:rsidRPr="0035187E" w:rsidRDefault="000B4BD4" w:rsidP="0035187E">
            <w:pPr>
              <w:widowControl w:val="0"/>
              <w:autoSpaceDE w:val="0"/>
              <w:autoSpaceDN w:val="0"/>
              <w:jc w:val="both"/>
              <w:rPr>
                <w:rFonts w:ascii="Times New Roman" w:eastAsia="Calibri" w:hAnsi="Times New Roman" w:cs="Times New Roman"/>
                <w:sz w:val="20"/>
                <w:szCs w:val="20"/>
                <w:u w:val="single"/>
                <w:lang w:bidi="cs-CZ"/>
              </w:rPr>
            </w:pPr>
            <w:r w:rsidRPr="0035187E">
              <w:rPr>
                <w:rFonts w:ascii="Times New Roman" w:eastAsia="Calibri" w:hAnsi="Times New Roman" w:cs="Times New Roman"/>
                <w:sz w:val="20"/>
                <w:szCs w:val="20"/>
                <w:u w:val="single"/>
                <w:lang w:bidi="cs-CZ"/>
              </w:rPr>
              <w:t>Odůvodnění:</w:t>
            </w:r>
          </w:p>
          <w:p w14:paraId="5B0B8E17"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lang w:bidi="cs-CZ"/>
              </w:rPr>
            </w:pPr>
            <w:r w:rsidRPr="0035187E">
              <w:rPr>
                <w:rFonts w:ascii="Times New Roman" w:eastAsia="Calibri" w:hAnsi="Times New Roman" w:cs="Times New Roman"/>
                <w:sz w:val="20"/>
                <w:szCs w:val="20"/>
                <w:lang w:bidi="cs-CZ"/>
              </w:rPr>
              <w:t xml:space="preserve">Navrhujeme doplnit nebankovní poskytovatele spotřebitelského úvěru do seznamu poplatníků z oblasti finančního trhu, kteří jsou vyňati z povinnosti evidovat tržby. Máme za to, že nezahrnutí nebankovních poskytovatelů v navrhovaném seznamu představuje ze strany předkladatele opomenutí. </w:t>
            </w:r>
          </w:p>
          <w:p w14:paraId="6556E6FD"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lang w:bidi="cs-CZ"/>
              </w:rPr>
            </w:pPr>
            <w:r w:rsidRPr="0035187E">
              <w:rPr>
                <w:rFonts w:ascii="Times New Roman" w:eastAsia="Calibri" w:hAnsi="Times New Roman" w:cs="Times New Roman"/>
                <w:sz w:val="20"/>
                <w:szCs w:val="20"/>
                <w:lang w:bidi="cs-CZ"/>
              </w:rPr>
              <w:t xml:space="preserve">Stejně jako v případě ostatních poplatníků v této kategorii je již v současnosti transparentní kontrola nebankovních poskytovatelů pro účely správy daně zajištěna řadou dalších právních mechanismů. Zejména je třeba upozornit, že nebankovní poskytovatelé spotřebitelských úvěrů stejně jako banky, pojišťovny a další vyňaté finanční instituce shodně podléhají přísnému dohledu ze strany České národní banky (ČNB), pokud jde o povinnosti dle zákona o spotřebitelském úvěru, nebo Finančního analytického úřadu (FAU), pokud jde o povinnosti dle zákona o některých opatřeních proti legalizaci výnosů z trestné činnosti a financování terorismu (AML). Z dohledových povinností tak vyplývá pravidelné a detailní poskytování finančních výkazů a AML ukazatelů poskytovatele ČNB. Z pravidel AML zároveň vyplývá adresnost každé finanční operace spotřebitele, která je spojena s konkrétním rodným číslem, číslem smlouvy a historií spotřebitele. Riziko zatajení tržeb nebankovními poskytovateli spotřebních úvěrů proto není žádné. </w:t>
            </w:r>
          </w:p>
          <w:p w14:paraId="51E8618F"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lang w:bidi="cs-CZ"/>
              </w:rPr>
            </w:pPr>
            <w:r w:rsidRPr="0035187E">
              <w:rPr>
                <w:rFonts w:ascii="Times New Roman" w:eastAsia="Calibri" w:hAnsi="Times New Roman" w:cs="Times New Roman"/>
                <w:sz w:val="20"/>
                <w:szCs w:val="20"/>
                <w:lang w:bidi="cs-CZ"/>
              </w:rPr>
              <w:t xml:space="preserve">U subjektů finančního trhu předkladatel argumentuje, že evidování jejich tržeb by bylo </w:t>
            </w:r>
            <w:r w:rsidRPr="0035187E">
              <w:rPr>
                <w:rFonts w:ascii="Times New Roman" w:eastAsia="Calibri" w:hAnsi="Times New Roman" w:cs="Times New Roman"/>
                <w:i/>
                <w:iCs/>
                <w:sz w:val="20"/>
                <w:szCs w:val="20"/>
                <w:lang w:bidi="cs-CZ"/>
              </w:rPr>
              <w:t>„nehospodárné“</w:t>
            </w:r>
            <w:r w:rsidRPr="0035187E">
              <w:rPr>
                <w:rFonts w:ascii="Times New Roman" w:eastAsia="Calibri" w:hAnsi="Times New Roman" w:cs="Times New Roman"/>
                <w:sz w:val="20"/>
                <w:szCs w:val="20"/>
                <w:lang w:bidi="cs-CZ"/>
              </w:rPr>
              <w:t xml:space="preserve">, neboť jejich hotovostní tržby jsou „mizivé v poměru k nákladům“, které by musely na evidenci vynaložit. Tato premisa přitom plně dopadá i na nebankovní poskytovatele úvěrů, kde drtivá většina transakcí (poskytnutí i splácení úvěru) probíhá v současnosti bezhotovostně, přičemž tento trend dlouhodobě posiluje. Nelze proto očekávat, že by případné zavedení evidence tržeb i pro nebankovní poskytovatele mělo významný fiskální přínos. </w:t>
            </w:r>
          </w:p>
          <w:p w14:paraId="5AF38922"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lang w:bidi="cs-CZ"/>
              </w:rPr>
            </w:pPr>
            <w:r w:rsidRPr="0035187E">
              <w:rPr>
                <w:rFonts w:ascii="Times New Roman" w:eastAsia="Calibri" w:hAnsi="Times New Roman" w:cs="Times New Roman"/>
                <w:sz w:val="20"/>
                <w:szCs w:val="20"/>
                <w:lang w:bidi="cs-CZ"/>
              </w:rPr>
              <w:lastRenderedPageBreak/>
              <w:t xml:space="preserve">Mimo to je vhodné také připomenout, že finanční služby jako celek, tedy včetně poskytování spotřebitelských úvěrů, jsou v současnosti vyňaty z daně z přidané hodnoty. Riziko nezákonné optimalizace tržeb ze strany subjektů v tomto segmentu je tedy z povahy věci oproti jiným významně nižší.  Zároveň ani není známo, že by poskytovatelů finančních služeb využívali optimalizace tržeb, pokud jde o jiné daně. </w:t>
            </w:r>
          </w:p>
          <w:p w14:paraId="4BE0C38E"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lang w:bidi="cs-CZ"/>
              </w:rPr>
            </w:pPr>
            <w:r w:rsidRPr="0035187E">
              <w:rPr>
                <w:rFonts w:ascii="Times New Roman" w:eastAsia="Calibri" w:hAnsi="Times New Roman" w:cs="Times New Roman"/>
                <w:sz w:val="20"/>
                <w:szCs w:val="20"/>
                <w:lang w:bidi="cs-CZ"/>
              </w:rPr>
              <w:t xml:space="preserve">Předkladatel deklaruje mimo jiné cíl </w:t>
            </w:r>
            <w:r w:rsidRPr="0035187E">
              <w:rPr>
                <w:rFonts w:ascii="Times New Roman" w:eastAsia="Calibri" w:hAnsi="Times New Roman" w:cs="Times New Roman"/>
                <w:i/>
                <w:iCs/>
                <w:sz w:val="20"/>
                <w:szCs w:val="20"/>
                <w:lang w:bidi="cs-CZ"/>
              </w:rPr>
              <w:t>„eliminovat nadbytečnou finanční a administrativní zátěž na straně dotčených subjektů“</w:t>
            </w:r>
            <w:r w:rsidRPr="0035187E">
              <w:rPr>
                <w:rFonts w:ascii="Times New Roman" w:eastAsia="Calibri" w:hAnsi="Times New Roman" w:cs="Times New Roman"/>
                <w:sz w:val="20"/>
                <w:szCs w:val="20"/>
                <w:lang w:bidi="cs-CZ"/>
              </w:rPr>
              <w:t>. Uvalení povinnosti na sektor, který je již nyní digitálně i procesně monitorován ČNB, by bylo v přímém rozporu s tímto prohlášením.</w:t>
            </w:r>
          </w:p>
          <w:p w14:paraId="08BAEF23"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lang w:bidi="cs-CZ"/>
              </w:rPr>
            </w:pPr>
            <w:r w:rsidRPr="0035187E">
              <w:rPr>
                <w:rFonts w:ascii="Times New Roman" w:eastAsia="Calibri" w:hAnsi="Times New Roman" w:cs="Times New Roman"/>
                <w:sz w:val="20"/>
                <w:szCs w:val="20"/>
                <w:lang w:bidi="cs-CZ"/>
              </w:rPr>
              <w:t xml:space="preserve">I když někteří nebankovní poskytovatelé mají provozovny, charakter jejich služby (finanční produkt) nevykazuje osobní prvek, který představuje významné riziko zatajení tržby, v takové míře, jako je tomu u jiných podnikatelských segmentů (např. maloobchod, gastronomie), na které návrh zákona primárně cílí. </w:t>
            </w:r>
          </w:p>
          <w:p w14:paraId="0EA64562" w14:textId="0674CF4F" w:rsidR="000B4BD4" w:rsidRPr="0035187E" w:rsidRDefault="000B4BD4" w:rsidP="0035187E">
            <w:pPr>
              <w:widowControl w:val="0"/>
              <w:autoSpaceDE w:val="0"/>
              <w:autoSpaceDN w:val="0"/>
              <w:jc w:val="both"/>
              <w:rPr>
                <w:rFonts w:ascii="Times New Roman" w:eastAsia="Calibri" w:hAnsi="Times New Roman" w:cs="Times New Roman"/>
                <w:b/>
                <w:sz w:val="20"/>
                <w:szCs w:val="20"/>
                <w:u w:val="single"/>
                <w:lang w:bidi="cs-CZ"/>
              </w:rPr>
            </w:pPr>
            <w:r w:rsidRPr="0035187E">
              <w:rPr>
                <w:rFonts w:ascii="Times New Roman" w:eastAsia="Calibri" w:hAnsi="Times New Roman" w:cs="Times New Roman"/>
                <w:sz w:val="20"/>
                <w:szCs w:val="20"/>
                <w:lang w:bidi="cs-CZ"/>
              </w:rPr>
              <w:t>Nezahrnutí nebankovních poskytovatelů za současného vynětí bank a dalších finančních institucí by konečně bylo v rozporu s principem rovného zacházení, když se z povahy věci jedná o subjekty se srovnatelným způsobem i stupněm regulace.</w:t>
            </w:r>
          </w:p>
        </w:tc>
        <w:tc>
          <w:tcPr>
            <w:tcW w:w="1453" w:type="pct"/>
            <w:tcBorders>
              <w:top w:val="single" w:sz="4" w:space="0" w:color="auto"/>
              <w:left w:val="single" w:sz="4" w:space="0" w:color="auto"/>
              <w:right w:val="single" w:sz="4" w:space="0" w:color="auto"/>
            </w:tcBorders>
            <w:shd w:val="clear" w:color="auto" w:fill="auto"/>
          </w:tcPr>
          <w:p w14:paraId="77482BBF" w14:textId="77777777" w:rsidR="000B4BD4" w:rsidRPr="0035187E" w:rsidRDefault="000B4BD4" w:rsidP="0035187E">
            <w:pPr>
              <w:jc w:val="both"/>
              <w:rPr>
                <w:rFonts w:ascii="Times New Roman" w:hAnsi="Times New Roman" w:cs="Times New Roman"/>
                <w:b/>
                <w:iCs/>
                <w:sz w:val="20"/>
                <w:szCs w:val="20"/>
              </w:rPr>
            </w:pPr>
            <w:r w:rsidRPr="0035187E">
              <w:rPr>
                <w:rFonts w:ascii="Times New Roman" w:hAnsi="Times New Roman" w:cs="Times New Roman"/>
                <w:b/>
                <w:iCs/>
                <w:sz w:val="20"/>
                <w:szCs w:val="20"/>
              </w:rPr>
              <w:lastRenderedPageBreak/>
              <w:t>Vyhověno.</w:t>
            </w:r>
          </w:p>
          <w:p w14:paraId="1BC07009" w14:textId="76A79976" w:rsidR="000B4BD4" w:rsidRPr="0035187E" w:rsidRDefault="009700F1" w:rsidP="0035187E">
            <w:pPr>
              <w:jc w:val="both"/>
              <w:rPr>
                <w:rFonts w:ascii="Times New Roman" w:hAnsi="Times New Roman" w:cs="Times New Roman"/>
                <w:i/>
                <w:sz w:val="20"/>
                <w:szCs w:val="20"/>
              </w:rPr>
            </w:pPr>
            <w:r w:rsidRPr="0035187E">
              <w:rPr>
                <w:rFonts w:ascii="Times New Roman" w:hAnsi="Times New Roman" w:cs="Times New Roman"/>
                <w:iCs/>
                <w:sz w:val="20"/>
                <w:szCs w:val="20"/>
              </w:rPr>
              <w:t>Materiál byl upraven.</w:t>
            </w:r>
          </w:p>
        </w:tc>
      </w:tr>
      <w:tr w:rsidR="0035187E" w:rsidRPr="0035187E" w14:paraId="1A7FEC98"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A6FE54C" w14:textId="4296F36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48.</w:t>
            </w:r>
          </w:p>
        </w:tc>
        <w:tc>
          <w:tcPr>
            <w:tcW w:w="583" w:type="pct"/>
            <w:tcBorders>
              <w:top w:val="single" w:sz="4" w:space="0" w:color="auto"/>
              <w:left w:val="single" w:sz="4" w:space="0" w:color="auto"/>
              <w:right w:val="single" w:sz="4" w:space="0" w:color="auto"/>
            </w:tcBorders>
            <w:shd w:val="clear" w:color="auto" w:fill="auto"/>
          </w:tcPr>
          <w:p w14:paraId="01BC55E0" w14:textId="3404EB9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Konfederace zaměstnavatelských a podnikatelských svazů ČR</w:t>
            </w:r>
          </w:p>
        </w:tc>
        <w:tc>
          <w:tcPr>
            <w:tcW w:w="168" w:type="pct"/>
            <w:tcBorders>
              <w:top w:val="single" w:sz="4" w:space="0" w:color="auto"/>
              <w:left w:val="single" w:sz="4" w:space="0" w:color="auto"/>
              <w:right w:val="single" w:sz="4" w:space="0" w:color="auto"/>
            </w:tcBorders>
            <w:shd w:val="clear" w:color="auto" w:fill="auto"/>
          </w:tcPr>
          <w:p w14:paraId="31372DDF" w14:textId="2EEB084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7.</w:t>
            </w:r>
          </w:p>
        </w:tc>
        <w:tc>
          <w:tcPr>
            <w:tcW w:w="169" w:type="pct"/>
            <w:tcBorders>
              <w:top w:val="single" w:sz="4" w:space="0" w:color="auto"/>
              <w:left w:val="single" w:sz="4" w:space="0" w:color="auto"/>
              <w:right w:val="single" w:sz="4" w:space="0" w:color="auto"/>
            </w:tcBorders>
            <w:shd w:val="clear" w:color="auto" w:fill="auto"/>
          </w:tcPr>
          <w:p w14:paraId="2CE78008" w14:textId="09A8F25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7E92C79"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lang w:bidi="cs-CZ"/>
              </w:rPr>
            </w:pPr>
            <w:r w:rsidRPr="0035187E">
              <w:rPr>
                <w:rFonts w:ascii="Times New Roman" w:eastAsia="Calibri" w:hAnsi="Times New Roman" w:cs="Times New Roman"/>
                <w:sz w:val="20"/>
                <w:szCs w:val="20"/>
                <w:lang w:bidi="cs-CZ"/>
              </w:rPr>
              <w:t>K návrhu zákona o daních z příjmů – nad rámec návrhu</w:t>
            </w:r>
          </w:p>
          <w:p w14:paraId="775C1CF6"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lang w:bidi="cs-CZ"/>
              </w:rPr>
            </w:pPr>
            <w:r w:rsidRPr="0035187E">
              <w:rPr>
                <w:rFonts w:ascii="Times New Roman" w:eastAsia="Calibri" w:hAnsi="Times New Roman" w:cs="Times New Roman"/>
                <w:sz w:val="20"/>
                <w:szCs w:val="20"/>
                <w:lang w:bidi="cs-CZ"/>
              </w:rPr>
              <w:t>Navrhujeme navýšit účelovou podporu zaměstnaneckého stravování, konkrétně formou úpravy výše příspěvku na stravování na hranici 100 % horní hranice stravného v případě tzv. nepeněžních plnění, které lze poskytnout zaměstnancům odměňovaným mzdou při pracovní cestě trvající 5 až 12 hodin.</w:t>
            </w:r>
          </w:p>
          <w:p w14:paraId="23CFF5A4"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lang w:bidi="cs-CZ"/>
              </w:rPr>
            </w:pPr>
            <w:r w:rsidRPr="0035187E">
              <w:rPr>
                <w:rFonts w:ascii="Times New Roman" w:eastAsia="Calibri" w:hAnsi="Times New Roman" w:cs="Times New Roman"/>
                <w:sz w:val="20"/>
                <w:szCs w:val="20"/>
                <w:lang w:bidi="cs-CZ"/>
              </w:rPr>
              <w:t>Návrh legislativní úpravy:</w:t>
            </w:r>
          </w:p>
          <w:p w14:paraId="7C0F5A2F" w14:textId="77777777" w:rsidR="000B4BD4" w:rsidRPr="0035187E" w:rsidRDefault="000B4BD4" w:rsidP="0035187E">
            <w:pPr>
              <w:widowControl w:val="0"/>
              <w:numPr>
                <w:ilvl w:val="0"/>
                <w:numId w:val="28"/>
              </w:numPr>
              <w:autoSpaceDE w:val="0"/>
              <w:autoSpaceDN w:val="0"/>
              <w:ind w:left="0" w:firstLine="0"/>
              <w:contextualSpacing/>
              <w:jc w:val="both"/>
              <w:rPr>
                <w:rFonts w:ascii="Times New Roman" w:eastAsia="Calibri" w:hAnsi="Times New Roman" w:cs="Times New Roman"/>
                <w:sz w:val="20"/>
                <w:szCs w:val="20"/>
                <w:lang w:bidi="cs-CZ"/>
              </w:rPr>
            </w:pPr>
            <w:r w:rsidRPr="0035187E">
              <w:rPr>
                <w:rFonts w:ascii="Times New Roman" w:eastAsia="Calibri" w:hAnsi="Times New Roman" w:cs="Times New Roman"/>
                <w:sz w:val="20"/>
                <w:szCs w:val="20"/>
                <w:lang w:bidi="cs-CZ"/>
              </w:rPr>
              <w:t xml:space="preserve">text §6 odst. 9 písm. b): </w:t>
            </w:r>
          </w:p>
          <w:p w14:paraId="7403B375" w14:textId="77777777" w:rsidR="000B4BD4" w:rsidRPr="0035187E" w:rsidRDefault="000B4BD4" w:rsidP="0035187E">
            <w:pPr>
              <w:widowControl w:val="0"/>
              <w:numPr>
                <w:ilvl w:val="0"/>
                <w:numId w:val="27"/>
              </w:numPr>
              <w:autoSpaceDE w:val="0"/>
              <w:autoSpaceDN w:val="0"/>
              <w:ind w:left="257" w:firstLine="0"/>
              <w:jc w:val="both"/>
              <w:rPr>
                <w:rFonts w:ascii="Times New Roman" w:hAnsi="Times New Roman" w:cs="Times New Roman"/>
                <w:sz w:val="20"/>
                <w:szCs w:val="20"/>
                <w:lang w:bidi="cs-CZ"/>
              </w:rPr>
            </w:pPr>
            <w:r w:rsidRPr="0035187E">
              <w:rPr>
                <w:rFonts w:ascii="Times New Roman" w:hAnsi="Times New Roman" w:cs="Times New Roman"/>
                <w:b/>
                <w:bCs/>
                <w:i/>
                <w:iCs/>
                <w:sz w:val="20"/>
                <w:szCs w:val="20"/>
                <w:lang w:bidi="cs-CZ"/>
              </w:rPr>
              <w:t>b)</w:t>
            </w:r>
            <w:r w:rsidRPr="0035187E">
              <w:rPr>
                <w:rFonts w:ascii="Times New Roman" w:hAnsi="Times New Roman" w:cs="Times New Roman"/>
                <w:sz w:val="20"/>
                <w:szCs w:val="20"/>
                <w:lang w:bidi="cs-CZ"/>
              </w:rPr>
              <w:t xml:space="preserve"> příjem zaměstnance ve formě příspěvku na stravování poskytnutého zaměstnavatelem za jednu směnu podle jiného právního předpisu, pokud během této směny zaměstnanec vykonával práci alespoň 3 hodiny a nevznikl mu během této směny nárok na stravné v rámci cestovních náhrad podle jiného právního předpisu, a to v úhrnu do výše 70 % horní hranice stravného </w:t>
            </w:r>
            <w:r w:rsidRPr="0035187E">
              <w:rPr>
                <w:rFonts w:ascii="Times New Roman" w:hAnsi="Times New Roman" w:cs="Times New Roman"/>
                <w:b/>
                <w:bCs/>
                <w:sz w:val="20"/>
                <w:szCs w:val="20"/>
                <w:lang w:bidi="cs-CZ"/>
              </w:rPr>
              <w:t>v případě peněžitého příspěvku na stravování</w:t>
            </w:r>
            <w:r w:rsidRPr="0035187E">
              <w:rPr>
                <w:rFonts w:ascii="Times New Roman" w:hAnsi="Times New Roman" w:cs="Times New Roman"/>
                <w:sz w:val="20"/>
                <w:szCs w:val="20"/>
                <w:lang w:bidi="cs-CZ"/>
              </w:rPr>
              <w:t xml:space="preserve"> </w:t>
            </w:r>
            <w:r w:rsidRPr="0035187E">
              <w:rPr>
                <w:rFonts w:ascii="Times New Roman" w:hAnsi="Times New Roman" w:cs="Times New Roman"/>
                <w:b/>
                <w:bCs/>
                <w:sz w:val="20"/>
                <w:szCs w:val="20"/>
                <w:lang w:bidi="cs-CZ"/>
              </w:rPr>
              <w:t>nebo v úhrnu do výše 100 % horní hranice stravného v případě stravování poskytované jako nepeněžní plnění ke spotřebě na pracovišti zaměstnance nebo v rámci stravování zajišťovaného prostřednictvím jiného subjektu než zaměstnavatele</w:t>
            </w:r>
            <w:r w:rsidRPr="0035187E">
              <w:rPr>
                <w:rFonts w:ascii="Times New Roman" w:hAnsi="Times New Roman" w:cs="Times New Roman"/>
                <w:sz w:val="20"/>
                <w:szCs w:val="20"/>
                <w:lang w:bidi="cs-CZ"/>
              </w:rPr>
              <w:t xml:space="preserve">, které lze poskytnout zaměstnancům odměňovaným platem při pracovní cestě trvající 5 až 12 hodin, a v úhrnu do výše 70 % této hranice </w:t>
            </w:r>
            <w:r w:rsidRPr="0035187E">
              <w:rPr>
                <w:rFonts w:ascii="Times New Roman" w:hAnsi="Times New Roman" w:cs="Times New Roman"/>
                <w:b/>
                <w:bCs/>
                <w:sz w:val="20"/>
                <w:szCs w:val="20"/>
                <w:lang w:bidi="cs-CZ"/>
              </w:rPr>
              <w:t>v případě peněžitého příspěvku na stravování nebo v úhrnu do výše 100 % horní hranice stravného v případě stravování poskytované jako nepeněžní plnění ke spotřebě na pracovišti zaměstnance nebo v rámci stravování zajišťovaného prostřednictvím jiného subjektu než zaměstnavatele</w:t>
            </w:r>
            <w:r w:rsidRPr="0035187E">
              <w:rPr>
                <w:rFonts w:ascii="Times New Roman" w:hAnsi="Times New Roman" w:cs="Times New Roman"/>
                <w:sz w:val="20"/>
                <w:szCs w:val="20"/>
                <w:lang w:bidi="cs-CZ"/>
              </w:rPr>
              <w:t xml:space="preserve">, je-li příspěvek poskytnut jako další příspěvek v rámci stejné směny, pokud její délka v úhrnu s přestávkou v práci povinně poskytovanou zaměstnavatelem podle jiného právního předpisu je delší než 11 hodin; v případě zaměstnance vykonávajícího činnost, ze které plyne příjem ze závislé činnosti, jejíž výkon není rozvržen na směny podle jiného právního předpisu, je příjem ve formě příspěvku na stravování poskytnutého zaměstnavatelem od daně osvobozen, pokud během kalendářního dne zaměstnanec vykonával práci alespoň 3 hodiny a nevznikl mu během tohoto dne nárok na stravné v rámci cestovních náhrad podle jiného právního předpisu ani na stravné v </w:t>
            </w:r>
            <w:r w:rsidRPr="0035187E">
              <w:rPr>
                <w:rFonts w:ascii="Times New Roman" w:hAnsi="Times New Roman" w:cs="Times New Roman"/>
                <w:sz w:val="20"/>
                <w:szCs w:val="20"/>
                <w:lang w:bidi="cs-CZ"/>
              </w:rPr>
              <w:lastRenderedPageBreak/>
              <w:t xml:space="preserve">rámci cestovních náhrad na základě smlouvy, a to v úhrnu do výše 70 % horní hranice stravného </w:t>
            </w:r>
            <w:r w:rsidRPr="0035187E">
              <w:rPr>
                <w:rFonts w:ascii="Times New Roman" w:hAnsi="Times New Roman" w:cs="Times New Roman"/>
                <w:b/>
                <w:bCs/>
                <w:sz w:val="20"/>
                <w:szCs w:val="20"/>
                <w:lang w:bidi="cs-CZ"/>
              </w:rPr>
              <w:t>v případě peněžitého příspěvku na stravování nebo v úhrnu do výše 100 % horní hranice stravného v případě stravování poskytované jako nepeněžní plnění ke spotřebě na pracovišti zaměstnance nebo v rámci stravování zajišťovaného prostřednictvím jiného subjektu než zaměstnavatele</w:t>
            </w:r>
            <w:r w:rsidRPr="0035187E">
              <w:rPr>
                <w:rFonts w:ascii="Times New Roman" w:hAnsi="Times New Roman" w:cs="Times New Roman"/>
                <w:sz w:val="20"/>
                <w:szCs w:val="20"/>
                <w:lang w:bidi="cs-CZ"/>
              </w:rPr>
              <w:t xml:space="preserve">, které lze poskytnout zaměstnancům odměňovaným platem při pracovní cestě trvající 5 až 12 hodin, a v úhrnu do výše 70 % této hranice </w:t>
            </w:r>
            <w:r w:rsidRPr="0035187E">
              <w:rPr>
                <w:rFonts w:ascii="Times New Roman" w:hAnsi="Times New Roman" w:cs="Times New Roman"/>
                <w:b/>
                <w:bCs/>
                <w:sz w:val="20"/>
                <w:szCs w:val="20"/>
                <w:lang w:bidi="cs-CZ"/>
              </w:rPr>
              <w:t>v případě peněžitého příspěvku na stravování nebo v úhrnu do výše 100 % horní hranice stravného v případě stravování poskytované jako nepeněžní plnění ke spotřebě na pracovišti zaměstnance nebo v rámci stravování zajišťovaného prostřednictvím jiného subjektu než zaměstnavatele</w:t>
            </w:r>
            <w:r w:rsidRPr="0035187E">
              <w:rPr>
                <w:rFonts w:ascii="Times New Roman" w:hAnsi="Times New Roman" w:cs="Times New Roman"/>
                <w:sz w:val="20"/>
                <w:szCs w:val="20"/>
                <w:lang w:bidi="cs-CZ"/>
              </w:rPr>
              <w:t>, je-li příspěvek poskytnut jako další příspěvek v rámci stejného kalendářního dne, pokud během tohoto dne zaměstnanec vykonával práci alespoň 11 hodin.</w:t>
            </w:r>
          </w:p>
          <w:p w14:paraId="4D088F68"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lang w:bidi="cs-CZ"/>
              </w:rPr>
            </w:pPr>
          </w:p>
          <w:p w14:paraId="5C726504"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u w:val="single"/>
                <w:lang w:bidi="cs-CZ"/>
              </w:rPr>
            </w:pPr>
            <w:r w:rsidRPr="0035187E">
              <w:rPr>
                <w:rFonts w:ascii="Times New Roman" w:eastAsia="Calibri" w:hAnsi="Times New Roman" w:cs="Times New Roman"/>
                <w:sz w:val="20"/>
                <w:szCs w:val="20"/>
                <w:u w:val="single"/>
                <w:lang w:bidi="cs-CZ"/>
              </w:rPr>
              <w:t>Odůvodnění:</w:t>
            </w:r>
          </w:p>
          <w:p w14:paraId="2B9A3B4C"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lang w:bidi="cs-CZ"/>
              </w:rPr>
            </w:pPr>
            <w:r w:rsidRPr="0035187E">
              <w:rPr>
                <w:rFonts w:ascii="Times New Roman" w:eastAsia="Calibri" w:hAnsi="Times New Roman" w:cs="Times New Roman"/>
                <w:sz w:val="20"/>
                <w:szCs w:val="20"/>
                <w:lang w:bidi="cs-CZ"/>
              </w:rPr>
              <w:t>Považujeme za důležité, aby byl systém podpory zaměstnaneckého stravování nastaven tak, aby příspěvek motivoval k pravidelnému a kvalitnímu stravování. Navrhovaná úprava tak zvýhodňuje formy podpory, které jsou omezené na využití za jídlo (závodní stravování, stravenky, přímý dovoz jídla atd.). Zároveň zachovává možnost využívání stravovacího paušálu i nadále beze změny. Úprava může být v budoucnu rozšířena tak, aby např. bránila využití účelového příspěvku na méně zdravé potraviny, např. slazené či energetické nápoje apod.</w:t>
            </w:r>
          </w:p>
          <w:p w14:paraId="56E19B37"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lang w:bidi="cs-CZ"/>
              </w:rPr>
            </w:pPr>
            <w:r w:rsidRPr="0035187E">
              <w:rPr>
                <w:rFonts w:ascii="Times New Roman" w:eastAsia="Calibri" w:hAnsi="Times New Roman" w:cs="Times New Roman"/>
                <w:sz w:val="20"/>
                <w:szCs w:val="20"/>
                <w:lang w:bidi="cs-CZ"/>
              </w:rPr>
              <w:t>Oblast zaměstnaneckého stravování v současné době představuje jednu z hlavních oblastí podpory veřejného zdraví, kde má stát možnost pozitivním způsobem ovlivnit život několika milionů zaměstnanců. Odborníci upozorňují, že klíčem k udržitelnosti systému českého zdravotnictví je prevence. Efektivní prevence, včetně zdravého stravování na pracovištích, nejenže zlepšuje zdravotní stav, ale také zvyšuje produktivitu. Výzkumy ukazují, že lidé, kteří se pravidelně stravují v závodních jídelnách, konzumují více ovoce a zeleniny a mají zdravější životní styl než ostatní zaměstnanci. Zaměstnanecké obědy, které pokrývají přibližně 35 % denního příjmu kalorií, mohou snížit výskyt kardiovaskulárních nemocí až o 10,5 %, což by znamenalo úsporu až 2,8 miliardy korun ročně. Správné stravování tak může výrazně snížit nejen nemocnost, ale i náklady na léčbu těchto chorob.</w:t>
            </w:r>
          </w:p>
          <w:p w14:paraId="48279057" w14:textId="280C6732" w:rsidR="000B4BD4" w:rsidRPr="0035187E" w:rsidRDefault="000B4BD4" w:rsidP="0035187E">
            <w:pPr>
              <w:widowControl w:val="0"/>
              <w:autoSpaceDE w:val="0"/>
              <w:autoSpaceDN w:val="0"/>
              <w:jc w:val="both"/>
              <w:rPr>
                <w:rFonts w:ascii="Times New Roman" w:eastAsia="Calibri" w:hAnsi="Times New Roman" w:cs="Times New Roman"/>
                <w:b/>
                <w:sz w:val="20"/>
                <w:szCs w:val="20"/>
                <w:u w:val="single"/>
                <w:lang w:bidi="cs-CZ"/>
              </w:rPr>
            </w:pPr>
            <w:r w:rsidRPr="0035187E">
              <w:rPr>
                <w:rFonts w:ascii="Times New Roman" w:eastAsia="Calibri" w:hAnsi="Times New Roman" w:cs="Times New Roman"/>
                <w:sz w:val="20"/>
                <w:szCs w:val="20"/>
                <w:lang w:bidi="cs-CZ"/>
              </w:rPr>
              <w:t xml:space="preserve">Na to, že mají zaměstnavatelé hrát důležitější roli ve zdravotní prevenci včetně stravování upozorňuje i Národní kardiovaskulární plán ČR na období 2025-2035, především ve svém specifickém cíli 1. 1. – Zvýšení pozitivní motivace ke změně životního stylu obyvatel, zvýšení zdravotní gramotnosti a zlepšení prevence kardiovaskulárních onemocnění. Strava je dlouhodobě v ČR největší příčinou </w:t>
            </w:r>
            <w:proofErr w:type="spellStart"/>
            <w:proofErr w:type="gramStart"/>
            <w:r w:rsidRPr="0035187E">
              <w:rPr>
                <w:rFonts w:ascii="Times New Roman" w:eastAsia="Calibri" w:hAnsi="Times New Roman" w:cs="Times New Roman"/>
                <w:sz w:val="20"/>
                <w:szCs w:val="20"/>
                <w:lang w:bidi="cs-CZ"/>
              </w:rPr>
              <w:t>nadúmrtí</w:t>
            </w:r>
            <w:proofErr w:type="spellEnd"/>
            <w:proofErr w:type="gramEnd"/>
            <w:r w:rsidRPr="0035187E">
              <w:rPr>
                <w:rFonts w:ascii="Times New Roman" w:eastAsia="Calibri" w:hAnsi="Times New Roman" w:cs="Times New Roman"/>
                <w:sz w:val="20"/>
                <w:szCs w:val="20"/>
                <w:lang w:bidi="cs-CZ"/>
              </w:rPr>
              <w:t xml:space="preserve"> a i drobné zlepšení v její oblasti představuje opatření s velkým dopadem.</w:t>
            </w:r>
          </w:p>
        </w:tc>
        <w:tc>
          <w:tcPr>
            <w:tcW w:w="1453" w:type="pct"/>
            <w:tcBorders>
              <w:top w:val="single" w:sz="4" w:space="0" w:color="auto"/>
              <w:left w:val="single" w:sz="4" w:space="0" w:color="auto"/>
              <w:right w:val="single" w:sz="4" w:space="0" w:color="auto"/>
            </w:tcBorders>
            <w:shd w:val="clear" w:color="auto" w:fill="auto"/>
          </w:tcPr>
          <w:p w14:paraId="74EAA934" w14:textId="4CD175ED"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Nevyhověno.</w:t>
            </w:r>
            <w:r w:rsidR="003240A0">
              <w:rPr>
                <w:rFonts w:ascii="Times New Roman" w:hAnsi="Times New Roman" w:cs="Times New Roman"/>
                <w:b/>
                <w:bCs/>
                <w:sz w:val="20"/>
                <w:szCs w:val="20"/>
              </w:rPr>
              <w:t xml:space="preserve"> </w:t>
            </w:r>
            <w:r w:rsidR="003240A0" w:rsidRPr="003240A0">
              <w:rPr>
                <w:rFonts w:ascii="Times New Roman" w:hAnsi="Times New Roman" w:cs="Times New Roman"/>
                <w:b/>
                <w:bCs/>
                <w:color w:val="FF0000"/>
                <w:sz w:val="20"/>
                <w:szCs w:val="20"/>
              </w:rPr>
              <w:t>ROZPOR</w:t>
            </w:r>
          </w:p>
          <w:p w14:paraId="28E0C49C" w14:textId="714D2BF3"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Podnět přesahuje rámec navrhované úpravy zákona o evidenci tržeb.</w:t>
            </w:r>
          </w:p>
          <w:p w14:paraId="4BFCEE97"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Z pohledu zdravotní politiky a prevence nelze garantovat, že zvýšení limitu příspěvku na stravování skutečně povede k lepší stravovací kultuře nebo ke snížení civilizačních onemocnění. Podpora zdravého životního stylu vyžaduje komplexní a systematický přístup zahrnující vzdělávání, osvětu, regulaci nabídky potravin a celkovou strategii veřejného zdraví, nikoli pouze parametrické zvyšování daňového osvobození u jedné formy zaměstnaneckého příspěvku. Navrhované opatření je navíc nesystémové, protože zvýšení daňového osvobození se vztahuje pouze na nepeněžní formu příspěvku (např. stravenek), zatímco peněžitý příspěvek zůstává omezen na nižší hranici.</w:t>
            </w:r>
            <w:r w:rsidRPr="0035187E">
              <w:t xml:space="preserve"> </w:t>
            </w:r>
            <w:r w:rsidRPr="0035187E">
              <w:rPr>
                <w:rFonts w:ascii="Times New Roman" w:hAnsi="Times New Roman" w:cs="Times New Roman"/>
                <w:sz w:val="20"/>
                <w:szCs w:val="20"/>
              </w:rPr>
              <w:t>Zaměstnanec, který by platil oběd v restauračním zařízení v hotovosti, by byl znevýhodněn oproti zaměstnanci, který by stejný oběd odebíral za stravenku.</w:t>
            </w:r>
          </w:p>
          <w:p w14:paraId="33B2BFFB" w14:textId="77777777" w:rsidR="00F175F2" w:rsidRPr="0035187E" w:rsidRDefault="00F175F2" w:rsidP="0035187E">
            <w:pPr>
              <w:jc w:val="both"/>
              <w:rPr>
                <w:rFonts w:ascii="Times New Roman" w:hAnsi="Times New Roman" w:cs="Times New Roman"/>
                <w:sz w:val="20"/>
                <w:szCs w:val="20"/>
              </w:rPr>
            </w:pPr>
          </w:p>
          <w:p w14:paraId="09C6C596" w14:textId="1E189CEB" w:rsidR="00F175F2" w:rsidRPr="0035187E" w:rsidRDefault="00F175F2" w:rsidP="0035187E">
            <w:pPr>
              <w:jc w:val="both"/>
              <w:rPr>
                <w:rFonts w:ascii="Times New Roman" w:hAnsi="Times New Roman" w:cs="Times New Roman"/>
                <w:i/>
                <w:sz w:val="20"/>
                <w:szCs w:val="20"/>
              </w:rPr>
            </w:pPr>
            <w:r w:rsidRPr="0035187E">
              <w:rPr>
                <w:rFonts w:ascii="Times New Roman" w:hAnsi="Times New Roman" w:cs="Times New Roman"/>
                <w:i/>
                <w:sz w:val="20"/>
                <w:szCs w:val="20"/>
              </w:rPr>
              <w:t xml:space="preserve">Vyjádření připomínkového </w:t>
            </w:r>
            <w:r w:rsidR="00CD58DF" w:rsidRPr="0035187E">
              <w:rPr>
                <w:rFonts w:ascii="Times New Roman" w:hAnsi="Times New Roman" w:cs="Times New Roman"/>
                <w:i/>
                <w:sz w:val="20"/>
                <w:szCs w:val="20"/>
              </w:rPr>
              <w:t xml:space="preserve">místa </w:t>
            </w:r>
            <w:r w:rsidR="00C91198" w:rsidRPr="0035187E">
              <w:rPr>
                <w:rFonts w:ascii="Times New Roman" w:hAnsi="Times New Roman" w:cs="Times New Roman"/>
                <w:i/>
                <w:sz w:val="20"/>
                <w:szCs w:val="20"/>
              </w:rPr>
              <w:t>k písemnému vypořádání</w:t>
            </w:r>
            <w:r w:rsidRPr="0035187E">
              <w:rPr>
                <w:rFonts w:ascii="Times New Roman" w:hAnsi="Times New Roman" w:cs="Times New Roman"/>
                <w:i/>
                <w:sz w:val="20"/>
                <w:szCs w:val="20"/>
              </w:rPr>
              <w:t>: S vypořádáním nesouhlasíme.</w:t>
            </w:r>
          </w:p>
          <w:p w14:paraId="2996D00E" w14:textId="0758DBB9" w:rsidR="00F175F2" w:rsidRPr="0035187E" w:rsidRDefault="00F175F2" w:rsidP="0035187E">
            <w:pPr>
              <w:jc w:val="both"/>
              <w:rPr>
                <w:rFonts w:ascii="Times New Roman" w:hAnsi="Times New Roman" w:cs="Times New Roman"/>
                <w:i/>
                <w:sz w:val="20"/>
                <w:szCs w:val="20"/>
              </w:rPr>
            </w:pPr>
            <w:r w:rsidRPr="0035187E">
              <w:rPr>
                <w:rFonts w:ascii="Times New Roman" w:hAnsi="Times New Roman" w:cs="Times New Roman"/>
                <w:i/>
                <w:sz w:val="20"/>
                <w:szCs w:val="20"/>
              </w:rPr>
              <w:t xml:space="preserve">Navrhované opatření je parametrickou úpravou již současného existujícího systému, které organicky zapadá do podpory zdravého životního </w:t>
            </w:r>
            <w:proofErr w:type="gramStart"/>
            <w:r w:rsidRPr="0035187E">
              <w:rPr>
                <w:rFonts w:ascii="Times New Roman" w:hAnsi="Times New Roman" w:cs="Times New Roman"/>
                <w:i/>
                <w:sz w:val="20"/>
                <w:szCs w:val="20"/>
              </w:rPr>
              <w:t>stylu</w:t>
            </w:r>
            <w:proofErr w:type="gramEnd"/>
            <w:r w:rsidRPr="0035187E">
              <w:rPr>
                <w:rFonts w:ascii="Times New Roman" w:hAnsi="Times New Roman" w:cs="Times New Roman"/>
                <w:i/>
                <w:sz w:val="20"/>
                <w:szCs w:val="20"/>
              </w:rPr>
              <w:t xml:space="preserve"> a naopak odstraňuje současnou nesystémovou úpravu, která v případě peněžního příspěvku nepožaduje, aby byl </w:t>
            </w:r>
            <w:r w:rsidRPr="0035187E">
              <w:rPr>
                <w:rFonts w:ascii="Times New Roman" w:hAnsi="Times New Roman" w:cs="Times New Roman"/>
                <w:i/>
                <w:sz w:val="20"/>
                <w:szCs w:val="20"/>
              </w:rPr>
              <w:lastRenderedPageBreak/>
              <w:t>využit na stravování a toleruje jeho využití k jakémukoli jinému účelu.</w:t>
            </w:r>
          </w:p>
          <w:p w14:paraId="76F1EC8B" w14:textId="6A4EBEE7" w:rsidR="00C91198" w:rsidRPr="0035187E" w:rsidRDefault="00C91198" w:rsidP="0035187E">
            <w:pPr>
              <w:jc w:val="both"/>
              <w:rPr>
                <w:rFonts w:ascii="Times New Roman" w:hAnsi="Times New Roman" w:cs="Times New Roman"/>
                <w:i/>
                <w:sz w:val="20"/>
                <w:szCs w:val="20"/>
              </w:rPr>
            </w:pPr>
          </w:p>
          <w:p w14:paraId="30D946DA" w14:textId="51E35A5B" w:rsidR="00F175F2" w:rsidRPr="0035187E" w:rsidRDefault="00F175F2" w:rsidP="003240A0">
            <w:pPr>
              <w:jc w:val="both"/>
              <w:rPr>
                <w:rFonts w:ascii="Times New Roman" w:hAnsi="Times New Roman" w:cs="Times New Roman"/>
                <w:iCs/>
                <w:sz w:val="20"/>
                <w:szCs w:val="20"/>
              </w:rPr>
            </w:pPr>
          </w:p>
        </w:tc>
      </w:tr>
      <w:tr w:rsidR="0035187E" w:rsidRPr="0035187E" w14:paraId="2EF136A7"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8A43D10" w14:textId="3BCF080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48.</w:t>
            </w:r>
          </w:p>
        </w:tc>
        <w:tc>
          <w:tcPr>
            <w:tcW w:w="583" w:type="pct"/>
            <w:tcBorders>
              <w:top w:val="single" w:sz="4" w:space="0" w:color="auto"/>
              <w:left w:val="single" w:sz="4" w:space="0" w:color="auto"/>
              <w:right w:val="single" w:sz="4" w:space="0" w:color="auto"/>
            </w:tcBorders>
            <w:shd w:val="clear" w:color="auto" w:fill="auto"/>
          </w:tcPr>
          <w:p w14:paraId="0FC77159" w14:textId="1072C36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Konfederace zaměstnavatelských a podnikatelských svazů ČR</w:t>
            </w:r>
          </w:p>
        </w:tc>
        <w:tc>
          <w:tcPr>
            <w:tcW w:w="168" w:type="pct"/>
            <w:tcBorders>
              <w:top w:val="single" w:sz="4" w:space="0" w:color="auto"/>
              <w:left w:val="single" w:sz="4" w:space="0" w:color="auto"/>
              <w:right w:val="single" w:sz="4" w:space="0" w:color="auto"/>
            </w:tcBorders>
            <w:shd w:val="clear" w:color="auto" w:fill="auto"/>
          </w:tcPr>
          <w:p w14:paraId="71541156" w14:textId="086D5D5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8.</w:t>
            </w:r>
          </w:p>
        </w:tc>
        <w:tc>
          <w:tcPr>
            <w:tcW w:w="169" w:type="pct"/>
            <w:tcBorders>
              <w:top w:val="single" w:sz="4" w:space="0" w:color="auto"/>
              <w:left w:val="single" w:sz="4" w:space="0" w:color="auto"/>
              <w:right w:val="single" w:sz="4" w:space="0" w:color="auto"/>
            </w:tcBorders>
            <w:shd w:val="clear" w:color="auto" w:fill="auto"/>
          </w:tcPr>
          <w:p w14:paraId="4129FE50" w14:textId="66A29FB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312C8B33"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u w:val="single"/>
                <w:lang w:bidi="cs-CZ"/>
              </w:rPr>
            </w:pPr>
            <w:r w:rsidRPr="0035187E">
              <w:rPr>
                <w:rFonts w:ascii="Times New Roman" w:eastAsia="Calibri" w:hAnsi="Times New Roman" w:cs="Times New Roman"/>
                <w:sz w:val="20"/>
                <w:szCs w:val="20"/>
                <w:u w:val="single"/>
                <w:lang w:bidi="cs-CZ"/>
              </w:rPr>
              <w:t xml:space="preserve">K návrhu zákona o daních z příjmů </w:t>
            </w:r>
          </w:p>
          <w:p w14:paraId="14E503AA" w14:textId="77777777" w:rsidR="000B4BD4" w:rsidRPr="0035187E" w:rsidRDefault="000B4BD4" w:rsidP="0035187E">
            <w:pPr>
              <w:widowControl w:val="0"/>
              <w:autoSpaceDE w:val="0"/>
              <w:autoSpaceDN w:val="0"/>
              <w:jc w:val="both"/>
              <w:rPr>
                <w:rFonts w:ascii="Times New Roman" w:eastAsia="Calibri" w:hAnsi="Times New Roman" w:cs="Times New Roman"/>
                <w:b/>
                <w:bCs/>
                <w:sz w:val="20"/>
                <w:szCs w:val="20"/>
                <w:lang w:bidi="cs-CZ"/>
              </w:rPr>
            </w:pPr>
            <w:r w:rsidRPr="0035187E">
              <w:rPr>
                <w:rFonts w:ascii="Times New Roman" w:eastAsia="Calibri" w:hAnsi="Times New Roman" w:cs="Times New Roman"/>
                <w:sz w:val="20"/>
                <w:szCs w:val="20"/>
                <w:lang w:bidi="cs-CZ"/>
              </w:rPr>
              <w:t xml:space="preserve">Navrhujeme ve stávajícím znění § 6 odst. 9 písm. d) vypustit slova „, která nejsou mzdou, platem, </w:t>
            </w:r>
            <w:r w:rsidRPr="0035187E">
              <w:rPr>
                <w:rFonts w:ascii="Times New Roman" w:eastAsia="Calibri" w:hAnsi="Times New Roman" w:cs="Times New Roman"/>
                <w:b/>
                <w:bCs/>
                <w:sz w:val="20"/>
                <w:szCs w:val="20"/>
                <w:lang w:bidi="cs-CZ"/>
              </w:rPr>
              <w:t xml:space="preserve">1. Připomínka k ZDP § 6 odst. 9 </w:t>
            </w:r>
            <w:proofErr w:type="spellStart"/>
            <w:r w:rsidRPr="0035187E">
              <w:rPr>
                <w:rFonts w:ascii="Times New Roman" w:eastAsia="Calibri" w:hAnsi="Times New Roman" w:cs="Times New Roman"/>
                <w:b/>
                <w:bCs/>
                <w:sz w:val="20"/>
                <w:szCs w:val="20"/>
                <w:lang w:bidi="cs-CZ"/>
              </w:rPr>
              <w:t>písm</w:t>
            </w:r>
            <w:proofErr w:type="spellEnd"/>
            <w:r w:rsidRPr="0035187E">
              <w:rPr>
                <w:rFonts w:ascii="Times New Roman" w:eastAsia="Calibri" w:hAnsi="Times New Roman" w:cs="Times New Roman"/>
                <w:b/>
                <w:bCs/>
                <w:sz w:val="20"/>
                <w:szCs w:val="20"/>
                <w:lang w:bidi="cs-CZ"/>
              </w:rPr>
              <w:t xml:space="preserve"> d)., bod 2.</w:t>
            </w:r>
          </w:p>
          <w:p w14:paraId="30CA45F5"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lang w:bidi="cs-CZ"/>
              </w:rPr>
            </w:pPr>
          </w:p>
          <w:p w14:paraId="5AEAA07E" w14:textId="77777777" w:rsidR="000B4BD4" w:rsidRPr="0035187E" w:rsidRDefault="000B4BD4" w:rsidP="0035187E">
            <w:pPr>
              <w:widowControl w:val="0"/>
              <w:autoSpaceDE w:val="0"/>
              <w:autoSpaceDN w:val="0"/>
              <w:jc w:val="both"/>
              <w:rPr>
                <w:rFonts w:ascii="Times New Roman" w:eastAsia="Calibri" w:hAnsi="Times New Roman" w:cs="Times New Roman"/>
                <w:b/>
                <w:bCs/>
                <w:sz w:val="20"/>
                <w:szCs w:val="20"/>
                <w:lang w:bidi="cs-CZ"/>
              </w:rPr>
            </w:pPr>
            <w:r w:rsidRPr="0035187E">
              <w:rPr>
                <w:rFonts w:ascii="Times New Roman" w:eastAsia="Calibri" w:hAnsi="Times New Roman" w:cs="Times New Roman"/>
                <w:b/>
                <w:bCs/>
                <w:sz w:val="20"/>
                <w:szCs w:val="20"/>
                <w:lang w:bidi="cs-CZ"/>
              </w:rPr>
              <w:t xml:space="preserve">Navrhujeme, aby nepeněžní plnění ve formě příspěvku bylo možné využít nejen na </w:t>
            </w:r>
            <w:r w:rsidRPr="0035187E">
              <w:rPr>
                <w:rFonts w:ascii="Times New Roman" w:eastAsia="Calibri" w:hAnsi="Times New Roman" w:cs="Times New Roman"/>
                <w:b/>
                <w:bCs/>
                <w:sz w:val="20"/>
                <w:szCs w:val="20"/>
                <w:lang w:bidi="cs-CZ"/>
              </w:rPr>
              <w:lastRenderedPageBreak/>
              <w:t>tištěné knihy, ale i na elektronické knihy a audioknihy (tj. aby tato možnost a zaměstnanecký benefit nadále nebyly omezeny pouze na knihy tištěné).</w:t>
            </w:r>
          </w:p>
          <w:p w14:paraId="05B701B5" w14:textId="77777777" w:rsidR="000B4BD4" w:rsidRPr="0035187E" w:rsidRDefault="000B4BD4" w:rsidP="0035187E">
            <w:pPr>
              <w:widowControl w:val="0"/>
              <w:autoSpaceDE w:val="0"/>
              <w:autoSpaceDN w:val="0"/>
              <w:jc w:val="both"/>
              <w:rPr>
                <w:rFonts w:ascii="Times New Roman" w:eastAsia="Calibri" w:hAnsi="Times New Roman" w:cs="Times New Roman"/>
                <w:b/>
                <w:bCs/>
                <w:sz w:val="20"/>
                <w:szCs w:val="20"/>
                <w:u w:val="single"/>
                <w:lang w:bidi="cs-CZ"/>
              </w:rPr>
            </w:pPr>
          </w:p>
          <w:p w14:paraId="761BEF77" w14:textId="2C1D93AC" w:rsidR="000B4BD4" w:rsidRPr="0035187E" w:rsidRDefault="000B4BD4" w:rsidP="0035187E">
            <w:pPr>
              <w:widowControl w:val="0"/>
              <w:autoSpaceDE w:val="0"/>
              <w:autoSpaceDN w:val="0"/>
              <w:jc w:val="both"/>
              <w:rPr>
                <w:rFonts w:ascii="Times New Roman" w:eastAsia="Calibri" w:hAnsi="Times New Roman" w:cs="Times New Roman"/>
                <w:b/>
                <w:bCs/>
                <w:sz w:val="20"/>
                <w:szCs w:val="20"/>
                <w:u w:val="single"/>
                <w:lang w:bidi="cs-CZ"/>
              </w:rPr>
            </w:pPr>
            <w:r w:rsidRPr="0035187E">
              <w:rPr>
                <w:rFonts w:ascii="Times New Roman" w:eastAsia="Calibri" w:hAnsi="Times New Roman" w:cs="Times New Roman"/>
                <w:b/>
                <w:bCs/>
                <w:sz w:val="20"/>
                <w:szCs w:val="20"/>
                <w:u w:val="single"/>
                <w:lang w:bidi="cs-CZ"/>
              </w:rPr>
              <w:t>Odůvodnění:</w:t>
            </w:r>
          </w:p>
          <w:p w14:paraId="28BEA570"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lang w:bidi="cs-CZ"/>
              </w:rPr>
            </w:pPr>
            <w:r w:rsidRPr="0035187E">
              <w:rPr>
                <w:rFonts w:ascii="Times New Roman" w:eastAsia="Calibri" w:hAnsi="Times New Roman" w:cs="Times New Roman"/>
                <w:sz w:val="20"/>
                <w:szCs w:val="20"/>
                <w:lang w:bidi="cs-CZ"/>
              </w:rPr>
              <w:t xml:space="preserve">Příspěvek na tištěné knihy pro zaměstnance jako osvobozené nepeněžní plnění byl do zákona zahrnut před téměř deseti lety, tedy v době, kdy překotný rozvoj popularity elektronických knih a audioknih byl teprve v počátcích a kdy současně tištěné a elektronické knihy doposud </w:t>
            </w:r>
            <w:r w:rsidRPr="0035187E">
              <w:rPr>
                <w:rFonts w:ascii="Times New Roman" w:eastAsia="Calibri" w:hAnsi="Times New Roman" w:cs="Times New Roman"/>
                <w:b/>
                <w:bCs/>
                <w:sz w:val="20"/>
                <w:szCs w:val="20"/>
                <w:lang w:bidi="cs-CZ"/>
              </w:rPr>
              <w:t>podléhaly rozdílným režimům DPH</w:t>
            </w:r>
            <w:r w:rsidRPr="0035187E">
              <w:rPr>
                <w:rFonts w:ascii="Times New Roman" w:eastAsia="Calibri" w:hAnsi="Times New Roman" w:cs="Times New Roman"/>
                <w:sz w:val="20"/>
                <w:szCs w:val="20"/>
                <w:lang w:bidi="cs-CZ"/>
              </w:rPr>
              <w:t xml:space="preserve">. Ke zrovnoprávnění tištěných knih s knihami elektronickými včetně audioknih v oblasti daně z přidané hodnoty přitom zákonodárce přikročil </w:t>
            </w:r>
            <w:r w:rsidRPr="0035187E">
              <w:rPr>
                <w:rFonts w:ascii="Times New Roman" w:eastAsia="Calibri" w:hAnsi="Times New Roman" w:cs="Times New Roman"/>
                <w:b/>
                <w:bCs/>
                <w:sz w:val="20"/>
                <w:szCs w:val="20"/>
                <w:lang w:bidi="cs-CZ"/>
              </w:rPr>
              <w:t>již v roce 2019</w:t>
            </w:r>
            <w:r w:rsidRPr="0035187E">
              <w:rPr>
                <w:rFonts w:ascii="Times New Roman" w:eastAsia="Calibri" w:hAnsi="Times New Roman" w:cs="Times New Roman"/>
                <w:sz w:val="20"/>
                <w:szCs w:val="20"/>
                <w:lang w:bidi="cs-CZ"/>
              </w:rPr>
              <w:t xml:space="preserve">, tedy bezprostředně poté, co uvedenou možnost otevřela novelizace směrnice o DPH na konci roku 2018. </w:t>
            </w:r>
          </w:p>
          <w:p w14:paraId="34DD813F"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lang w:bidi="cs-CZ"/>
              </w:rPr>
            </w:pPr>
          </w:p>
          <w:p w14:paraId="30B41346"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lang w:bidi="cs-CZ"/>
              </w:rPr>
            </w:pPr>
            <w:r w:rsidRPr="0035187E">
              <w:rPr>
                <w:rFonts w:ascii="Times New Roman" w:eastAsia="Calibri" w:hAnsi="Times New Roman" w:cs="Times New Roman"/>
                <w:sz w:val="20"/>
                <w:szCs w:val="20"/>
                <w:lang w:bidi="cs-CZ"/>
              </w:rPr>
              <w:t>Omezení tohoto zaměstnaneckého benefitu výhradně na tištěné knihy však již dlouhodobě neodpovídá potřebám zaměstnanců a vývoji, v jehož rámci se každoročně zvyšuje podíl elektronických knih i audioknih na celkových čtenářských preferencích. Elektronické knihy i audioknihy jsou přitom čím dál tím populárnější, a není tedy dán důvod k jejich znevýhodnění a omezení možnosti zaměstnanců si ze svého benefitu tyto formáty knih zakoupit. Dle zpětné vazby ze strany členské základny dosavadní nedůvodné omezení, neumožňující pořízení populárních elektronických knih nebo audioknih, snižuje atraktivitu tohoto zaměstnaneckého benefitu.</w:t>
            </w:r>
          </w:p>
          <w:p w14:paraId="07541F8D"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lang w:bidi="cs-CZ"/>
              </w:rPr>
            </w:pPr>
          </w:p>
          <w:p w14:paraId="414B23C3"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lang w:bidi="cs-CZ"/>
              </w:rPr>
            </w:pPr>
            <w:r w:rsidRPr="0035187E">
              <w:rPr>
                <w:rFonts w:ascii="Times New Roman" w:eastAsia="Calibri" w:hAnsi="Times New Roman" w:cs="Times New Roman"/>
                <w:sz w:val="20"/>
                <w:szCs w:val="20"/>
                <w:lang w:bidi="cs-CZ"/>
              </w:rPr>
              <w:t xml:space="preserve">Navrhujeme proto, aby tato nerovnost a </w:t>
            </w:r>
            <w:proofErr w:type="spellStart"/>
            <w:r w:rsidRPr="0035187E">
              <w:rPr>
                <w:rFonts w:ascii="Times New Roman" w:eastAsia="Calibri" w:hAnsi="Times New Roman" w:cs="Times New Roman"/>
                <w:sz w:val="20"/>
                <w:szCs w:val="20"/>
                <w:lang w:bidi="cs-CZ"/>
              </w:rPr>
              <w:t>obsolentní</w:t>
            </w:r>
            <w:proofErr w:type="spellEnd"/>
            <w:r w:rsidRPr="0035187E">
              <w:rPr>
                <w:rFonts w:ascii="Times New Roman" w:eastAsia="Calibri" w:hAnsi="Times New Roman" w:cs="Times New Roman"/>
                <w:sz w:val="20"/>
                <w:szCs w:val="20"/>
                <w:lang w:bidi="cs-CZ"/>
              </w:rPr>
              <w:t xml:space="preserve"> zúžení pouze na knihy </w:t>
            </w:r>
            <w:r w:rsidRPr="0035187E">
              <w:rPr>
                <w:rFonts w:ascii="Times New Roman" w:eastAsia="Calibri" w:hAnsi="Times New Roman" w:cs="Times New Roman"/>
                <w:i/>
                <w:iCs/>
                <w:sz w:val="20"/>
                <w:szCs w:val="20"/>
                <w:u w:val="single"/>
                <w:lang w:bidi="cs-CZ"/>
              </w:rPr>
              <w:t>tištěné</w:t>
            </w:r>
            <w:r w:rsidRPr="0035187E">
              <w:rPr>
                <w:rFonts w:ascii="Times New Roman" w:eastAsia="Calibri" w:hAnsi="Times New Roman" w:cs="Times New Roman"/>
                <w:sz w:val="20"/>
                <w:szCs w:val="20"/>
                <w:lang w:bidi="cs-CZ"/>
              </w:rPr>
              <w:t xml:space="preserve"> bylo napraveno tak, že ustanovení § 6 odst. 9 písm. d) bodu 2. zákona o daních z příjmů </w:t>
            </w:r>
            <w:r w:rsidRPr="0035187E">
              <w:rPr>
                <w:rFonts w:ascii="Times New Roman" w:eastAsia="Calibri" w:hAnsi="Times New Roman" w:cs="Times New Roman"/>
                <w:b/>
                <w:bCs/>
                <w:sz w:val="20"/>
                <w:szCs w:val="20"/>
                <w:lang w:bidi="cs-CZ"/>
              </w:rPr>
              <w:t>umožní využití příspěvku na nákup knihy bez ohledu na její formát (tištěný, elektronický nebo zvukový)</w:t>
            </w:r>
            <w:r w:rsidRPr="0035187E">
              <w:rPr>
                <w:rFonts w:ascii="Times New Roman" w:eastAsia="Calibri" w:hAnsi="Times New Roman" w:cs="Times New Roman"/>
                <w:sz w:val="20"/>
                <w:szCs w:val="20"/>
                <w:lang w:bidi="cs-CZ"/>
              </w:rPr>
              <w:t xml:space="preserve">. Přesná definice pojmů samozřejmě spočívá v rukou zákonodárce. Při zakotvení navržené úpravy lze postupovat minimalisticky, odstraněním slova </w:t>
            </w:r>
            <w:r w:rsidRPr="0035187E">
              <w:rPr>
                <w:rFonts w:ascii="Times New Roman" w:eastAsia="Calibri" w:hAnsi="Times New Roman" w:cs="Times New Roman"/>
                <w:i/>
                <w:iCs/>
                <w:sz w:val="20"/>
                <w:szCs w:val="20"/>
                <w:u w:val="single"/>
                <w:lang w:bidi="cs-CZ"/>
              </w:rPr>
              <w:t>tištěné</w:t>
            </w:r>
            <w:r w:rsidRPr="0035187E">
              <w:rPr>
                <w:rFonts w:ascii="Times New Roman" w:eastAsia="Calibri" w:hAnsi="Times New Roman" w:cs="Times New Roman"/>
                <w:sz w:val="20"/>
                <w:szCs w:val="20"/>
                <w:lang w:bidi="cs-CZ"/>
              </w:rPr>
              <w:t xml:space="preserve"> z textu označeného ustanovení zákona o daních z příjmů a upřesněním pojmu kniha v důvodové zprávě, s ohledem na úpravu v zákoně o dani z přidané hodnoty však navrhujeme ke zvážení převzetí pojmů z tohoto zákona pro sjednocení daňověprávního zakotvení knih, a to použitím následující formulace:</w:t>
            </w:r>
          </w:p>
          <w:p w14:paraId="7AA7CAE0"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lang w:bidi="cs-CZ"/>
              </w:rPr>
            </w:pPr>
          </w:p>
          <w:p w14:paraId="121EE7D1" w14:textId="77777777" w:rsidR="000B4BD4" w:rsidRPr="0035187E" w:rsidRDefault="000B4BD4" w:rsidP="0035187E">
            <w:pPr>
              <w:widowControl w:val="0"/>
              <w:autoSpaceDE w:val="0"/>
              <w:autoSpaceDN w:val="0"/>
              <w:jc w:val="both"/>
              <w:rPr>
                <w:rFonts w:ascii="Times New Roman" w:eastAsia="Calibri" w:hAnsi="Times New Roman" w:cs="Times New Roman"/>
                <w:i/>
                <w:iCs/>
                <w:sz w:val="20"/>
                <w:szCs w:val="20"/>
                <w:lang w:bidi="cs-CZ"/>
              </w:rPr>
            </w:pPr>
            <w:r w:rsidRPr="0035187E">
              <w:rPr>
                <w:rFonts w:ascii="Times New Roman" w:eastAsia="Calibri" w:hAnsi="Times New Roman" w:cs="Times New Roman"/>
                <w:sz w:val="20"/>
                <w:szCs w:val="20"/>
                <w:lang w:bidi="cs-CZ"/>
              </w:rPr>
              <w:t xml:space="preserve">„[...] </w:t>
            </w:r>
            <w:r w:rsidRPr="0035187E">
              <w:rPr>
                <w:rFonts w:ascii="Times New Roman" w:eastAsia="Calibri" w:hAnsi="Times New Roman" w:cs="Times New Roman"/>
                <w:i/>
                <w:iCs/>
                <w:sz w:val="20"/>
                <w:szCs w:val="20"/>
                <w:lang w:bidi="cs-CZ"/>
              </w:rPr>
              <w:t xml:space="preserve">nebo příspěvku na knihy nebo služby obdobné dodání knihy podle zákona o dani z přidané </w:t>
            </w:r>
            <w:proofErr w:type="spellStart"/>
            <w:r w:rsidRPr="0035187E">
              <w:rPr>
                <w:rFonts w:ascii="Times New Roman" w:eastAsia="Calibri" w:hAnsi="Times New Roman" w:cs="Times New Roman"/>
                <w:i/>
                <w:iCs/>
                <w:sz w:val="20"/>
                <w:szCs w:val="20"/>
                <w:lang w:bidi="cs-CZ"/>
              </w:rPr>
              <w:t>hodnoty</w:t>
            </w:r>
            <w:r w:rsidRPr="0035187E">
              <w:rPr>
                <w:rFonts w:ascii="Times New Roman" w:eastAsia="Calibri" w:hAnsi="Times New Roman" w:cs="Times New Roman"/>
                <w:i/>
                <w:iCs/>
                <w:sz w:val="20"/>
                <w:szCs w:val="20"/>
                <w:vertAlign w:val="superscript"/>
                <w:lang w:bidi="cs-CZ"/>
              </w:rPr>
              <w:t>x</w:t>
            </w:r>
            <w:proofErr w:type="spellEnd"/>
            <w:r w:rsidRPr="0035187E">
              <w:rPr>
                <w:rFonts w:ascii="Times New Roman" w:eastAsia="Calibri" w:hAnsi="Times New Roman" w:cs="Times New Roman"/>
                <w:i/>
                <w:iCs/>
                <w:sz w:val="20"/>
                <w:szCs w:val="20"/>
                <w:vertAlign w:val="superscript"/>
                <w:lang w:bidi="cs-CZ"/>
              </w:rPr>
              <w:t>)</w:t>
            </w:r>
            <w:r w:rsidRPr="0035187E">
              <w:rPr>
                <w:rFonts w:ascii="Times New Roman" w:eastAsia="Calibri" w:hAnsi="Times New Roman" w:cs="Times New Roman"/>
                <w:sz w:val="20"/>
                <w:szCs w:val="20"/>
                <w:lang w:bidi="cs-CZ"/>
              </w:rPr>
              <w:t>“</w:t>
            </w:r>
            <w:r w:rsidRPr="0035187E">
              <w:rPr>
                <w:rFonts w:ascii="Times New Roman" w:eastAsia="Calibri" w:hAnsi="Times New Roman" w:cs="Times New Roman"/>
                <w:i/>
                <w:iCs/>
                <w:sz w:val="20"/>
                <w:szCs w:val="20"/>
                <w:lang w:bidi="cs-CZ"/>
              </w:rPr>
              <w:t xml:space="preserve"> </w:t>
            </w:r>
          </w:p>
          <w:p w14:paraId="46AFFAE4" w14:textId="77777777" w:rsidR="000B4BD4" w:rsidRPr="0035187E" w:rsidRDefault="000B4BD4" w:rsidP="0035187E">
            <w:pPr>
              <w:widowControl w:val="0"/>
              <w:autoSpaceDE w:val="0"/>
              <w:autoSpaceDN w:val="0"/>
              <w:jc w:val="both"/>
              <w:rPr>
                <w:rFonts w:ascii="Times New Roman" w:eastAsia="Calibri" w:hAnsi="Times New Roman" w:cs="Times New Roman"/>
                <w:i/>
                <w:iCs/>
                <w:sz w:val="20"/>
                <w:szCs w:val="20"/>
                <w:lang w:bidi="cs-CZ"/>
              </w:rPr>
            </w:pPr>
          </w:p>
          <w:p w14:paraId="6838DEFB"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lang w:bidi="cs-CZ"/>
              </w:rPr>
            </w:pPr>
            <w:r w:rsidRPr="0035187E">
              <w:rPr>
                <w:rFonts w:ascii="Times New Roman" w:eastAsia="Calibri" w:hAnsi="Times New Roman" w:cs="Times New Roman"/>
                <w:sz w:val="20"/>
                <w:szCs w:val="20"/>
                <w:lang w:bidi="cs-CZ"/>
              </w:rPr>
              <w:t xml:space="preserve">Současně by pro upřesnění byla doplněna poznámka pod čarou </w:t>
            </w:r>
            <w:r w:rsidRPr="0035187E">
              <w:rPr>
                <w:rFonts w:ascii="Times New Roman" w:eastAsia="Calibri" w:hAnsi="Times New Roman" w:cs="Times New Roman"/>
                <w:sz w:val="20"/>
                <w:szCs w:val="20"/>
                <w:vertAlign w:val="superscript"/>
                <w:lang w:bidi="cs-CZ"/>
              </w:rPr>
              <w:t>x)</w:t>
            </w:r>
            <w:r w:rsidRPr="0035187E">
              <w:rPr>
                <w:rFonts w:ascii="Times New Roman" w:eastAsia="Calibri" w:hAnsi="Times New Roman" w:cs="Times New Roman"/>
                <w:sz w:val="20"/>
                <w:szCs w:val="20"/>
                <w:lang w:bidi="cs-CZ"/>
              </w:rPr>
              <w:t xml:space="preserve"> odkazující na § 71i odst. 1 a 2 zákona                           č. 235/2004 Sb., o dani z přidané hodnoty, ve znění pozdějších předpisů. </w:t>
            </w:r>
            <w:r w:rsidRPr="0035187E">
              <w:rPr>
                <w:rFonts w:ascii="Times New Roman" w:eastAsia="Calibri" w:hAnsi="Times New Roman" w:cs="Times New Roman"/>
                <w:i/>
                <w:iCs/>
                <w:sz w:val="20"/>
                <w:szCs w:val="20"/>
                <w:lang w:bidi="cs-CZ"/>
              </w:rPr>
              <w:t>Službou obdobnou dodání knihy</w:t>
            </w:r>
            <w:r w:rsidRPr="0035187E">
              <w:rPr>
                <w:rFonts w:ascii="Times New Roman" w:eastAsia="Calibri" w:hAnsi="Times New Roman" w:cs="Times New Roman"/>
                <w:sz w:val="20"/>
                <w:szCs w:val="20"/>
                <w:lang w:bidi="cs-CZ"/>
              </w:rPr>
              <w:t xml:space="preserve"> se tedy rozumí právě elektronická kniha nebo audiokniha.</w:t>
            </w:r>
          </w:p>
          <w:p w14:paraId="68CF4170"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lang w:bidi="cs-CZ"/>
              </w:rPr>
            </w:pPr>
          </w:p>
          <w:p w14:paraId="720E41FF"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lang w:bidi="cs-CZ"/>
              </w:rPr>
            </w:pPr>
          </w:p>
          <w:p w14:paraId="2806CB73"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u w:val="single"/>
                <w:lang w:bidi="cs-CZ"/>
              </w:rPr>
            </w:pPr>
            <w:r w:rsidRPr="0035187E">
              <w:rPr>
                <w:rFonts w:ascii="Times New Roman" w:eastAsia="Calibri" w:hAnsi="Times New Roman" w:cs="Times New Roman"/>
                <w:sz w:val="20"/>
                <w:szCs w:val="20"/>
                <w:u w:val="single"/>
                <w:lang w:bidi="cs-CZ"/>
              </w:rPr>
              <w:t>K návrhu zákona o daních z příjmů – nad rámec návrhu</w:t>
            </w:r>
          </w:p>
          <w:p w14:paraId="27B7BF57"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lang w:bidi="cs-CZ"/>
              </w:rPr>
            </w:pPr>
            <w:r w:rsidRPr="0035187E">
              <w:rPr>
                <w:rFonts w:ascii="Times New Roman" w:eastAsia="Calibri" w:hAnsi="Times New Roman" w:cs="Times New Roman"/>
                <w:sz w:val="20"/>
                <w:szCs w:val="20"/>
                <w:lang w:bidi="cs-CZ"/>
              </w:rPr>
              <w:t xml:space="preserve">Navrhujeme ve stávajícím znění zákona zrušit </w:t>
            </w:r>
            <w:proofErr w:type="spellStart"/>
            <w:r w:rsidRPr="0035187E">
              <w:rPr>
                <w:rFonts w:ascii="Times New Roman" w:eastAsia="Calibri" w:hAnsi="Times New Roman" w:cs="Times New Roman"/>
                <w:sz w:val="20"/>
                <w:szCs w:val="20"/>
                <w:lang w:bidi="cs-CZ"/>
              </w:rPr>
              <w:t>zastropování</w:t>
            </w:r>
            <w:proofErr w:type="spellEnd"/>
            <w:r w:rsidRPr="0035187E">
              <w:rPr>
                <w:rFonts w:ascii="Times New Roman" w:eastAsia="Calibri" w:hAnsi="Times New Roman" w:cs="Times New Roman"/>
                <w:sz w:val="20"/>
                <w:szCs w:val="20"/>
                <w:lang w:bidi="cs-CZ"/>
              </w:rPr>
              <w:t xml:space="preserve"> tzv. zdravotních benefitů v § 6 odst. 9 písm. d) bodu 1.</w:t>
            </w:r>
          </w:p>
          <w:p w14:paraId="4F3427CC"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u w:val="single"/>
                <w:lang w:bidi="cs-CZ"/>
              </w:rPr>
            </w:pPr>
          </w:p>
          <w:p w14:paraId="1EE7A9FC"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u w:val="single"/>
                <w:lang w:bidi="cs-CZ"/>
              </w:rPr>
            </w:pPr>
            <w:r w:rsidRPr="0035187E">
              <w:rPr>
                <w:rFonts w:ascii="Times New Roman" w:eastAsia="Calibri" w:hAnsi="Times New Roman" w:cs="Times New Roman"/>
                <w:sz w:val="20"/>
                <w:szCs w:val="20"/>
                <w:u w:val="single"/>
                <w:lang w:bidi="cs-CZ"/>
              </w:rPr>
              <w:t>Odůvodnění:</w:t>
            </w:r>
          </w:p>
          <w:p w14:paraId="3870D91A"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lang w:bidi="cs-CZ"/>
              </w:rPr>
            </w:pPr>
            <w:r w:rsidRPr="0035187E">
              <w:rPr>
                <w:rFonts w:ascii="Times New Roman" w:eastAsia="Calibri" w:hAnsi="Times New Roman" w:cs="Times New Roman"/>
                <w:sz w:val="20"/>
                <w:szCs w:val="20"/>
                <w:lang w:bidi="cs-CZ"/>
              </w:rPr>
              <w:t>Historicky byly benefity v oblasti zdraví a volného času posuzovány shodně a bez limitů. Současný záměr zrušit strop pouze u volnočasových benefitů a ponechat zdravotní plnění v omezeném režimu je systémově nekonzistentní. Zdravotní benefity mají pro společnost i ekonomiku vysokou přidanou hodnotu, neboť efektivně napomáhají prevenci a přispívají ke snížení nemocnosti zaměstnanců a šetří výdaje z veřejného zdravotního pojištění. Signál, že jsou volnočasové benefity preferovány před zdravím, by tak nepůsobil příliš pozitivně. Proto považujme za žádoucí, aby by byla dodržen několikrát deklarovaný záměr o návratu k pravidlům platným před přijetím tzv. konsolidačního balíčku.</w:t>
            </w:r>
          </w:p>
          <w:p w14:paraId="030E1676" w14:textId="5C4588E5" w:rsidR="000B4BD4" w:rsidRPr="0035187E" w:rsidRDefault="000B4BD4" w:rsidP="0035187E">
            <w:pPr>
              <w:widowControl w:val="0"/>
              <w:autoSpaceDE w:val="0"/>
              <w:autoSpaceDN w:val="0"/>
              <w:jc w:val="both"/>
              <w:rPr>
                <w:rFonts w:ascii="Times New Roman" w:eastAsia="Calibri" w:hAnsi="Times New Roman" w:cs="Times New Roman"/>
                <w:b/>
                <w:sz w:val="20"/>
                <w:szCs w:val="20"/>
                <w:u w:val="single"/>
                <w:lang w:bidi="cs-CZ"/>
              </w:rPr>
            </w:pPr>
            <w:r w:rsidRPr="0035187E">
              <w:rPr>
                <w:rFonts w:ascii="Times New Roman" w:eastAsia="Calibri" w:hAnsi="Times New Roman" w:cs="Times New Roman"/>
                <w:sz w:val="20"/>
                <w:szCs w:val="20"/>
                <w:lang w:bidi="cs-CZ"/>
              </w:rPr>
              <w:t>Navrhujeme proto zrušení limitu i u zdravotních benefitů. Pro zaměstnavatele bude tento krok představovat administrativně výrazně snazší řešení této agendy, a zároveň motivaci svým zaměstnancům na zdravotní oblast přispívat.</w:t>
            </w:r>
          </w:p>
        </w:tc>
        <w:tc>
          <w:tcPr>
            <w:tcW w:w="1453" w:type="pct"/>
            <w:tcBorders>
              <w:top w:val="single" w:sz="4" w:space="0" w:color="auto"/>
              <w:left w:val="single" w:sz="4" w:space="0" w:color="auto"/>
              <w:right w:val="single" w:sz="4" w:space="0" w:color="auto"/>
            </w:tcBorders>
            <w:shd w:val="clear" w:color="auto" w:fill="auto"/>
          </w:tcPr>
          <w:p w14:paraId="52C04AFE" w14:textId="77777777" w:rsidR="000B4BD4" w:rsidRPr="0035187E" w:rsidRDefault="000B4BD4" w:rsidP="0035187E">
            <w:pPr>
              <w:jc w:val="both"/>
              <w:rPr>
                <w:rFonts w:ascii="Times New Roman" w:hAnsi="Times New Roman" w:cs="Times New Roman"/>
                <w:iCs/>
                <w:sz w:val="20"/>
                <w:szCs w:val="20"/>
              </w:rPr>
            </w:pPr>
            <w:r w:rsidRPr="0035187E">
              <w:rPr>
                <w:rFonts w:ascii="Times New Roman" w:hAnsi="Times New Roman" w:cs="Times New Roman"/>
                <w:b/>
                <w:iCs/>
                <w:sz w:val="20"/>
                <w:szCs w:val="20"/>
              </w:rPr>
              <w:lastRenderedPageBreak/>
              <w:t>Nevyhověno.</w:t>
            </w:r>
          </w:p>
          <w:p w14:paraId="327D93F9" w14:textId="0C878401" w:rsidR="000B4BD4" w:rsidRPr="0035187E" w:rsidRDefault="000B4BD4"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Návrh by umožnil převod části mzdy na benefity, což by znamenalo zásadní změnu koncepce zaměstnaneckých benefitů a jejich vztahu ke mzdě. Tento postup by vedl k výpadku daňových a pojistných příjmů ve</w:t>
            </w:r>
            <w:r w:rsidRPr="0035187E">
              <w:rPr>
                <w:rFonts w:ascii="Times New Roman" w:hAnsi="Times New Roman" w:cs="Times New Roman"/>
                <w:iCs/>
                <w:sz w:val="20"/>
                <w:szCs w:val="20"/>
              </w:rPr>
              <w:lastRenderedPageBreak/>
              <w:t>řejných rozpočtů, zvýšil by administrativní zátěž zaměstnavatelů i správy daně a zároveň by mohl vytvářet nerovnosti mezi zaměstnanci, kdy by zaměstnanci s vyššími příjmy mohli získat výrazně větší daňové zvýhodnění než zaměstnanci s nižšími příjmy. Nelze rovněž vyloučit nepřímý tlak na zaměstnance k převodu části mzdy, čímž by byla ohrožena princip dobrovolnosti.</w:t>
            </w:r>
          </w:p>
          <w:p w14:paraId="74C40CC1" w14:textId="190C6B92" w:rsidR="000B4BD4" w:rsidRPr="0035187E" w:rsidRDefault="000B4BD4"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Dalším rizikem je narušení základního principu odměňování za práci. Podle pracovněprávní úpravy náleží zaměstnanci za vykonanou práci mzda, plat nebo odměna, které podléhají zdanění a odvodům na pojistné. Zaměstnanecké benefity představují plnění poskytovaná nad rámec mzdy jako nenároková, bez přímé vazby na výkon práce. Systematický převod mzdy do benefitů by tento rozdíl stíral a mohl by vést k nežádoucím dopadům, například ke snížení započitatelných příjmů pro důchodové či nemocenské pojištění.</w:t>
            </w:r>
          </w:p>
          <w:p w14:paraId="0F5C11AA" w14:textId="45DFC42C" w:rsidR="000B4BD4" w:rsidRPr="0035187E" w:rsidRDefault="000B4BD4"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 xml:space="preserve">Současná úprava daňového osvobození benefitů v § 6 odst. 9 písm. d) zákona o daních z příjmů tak potvrzuje záměr zákonodárce, že osvobození se vztahuje pouze na </w:t>
            </w:r>
            <w:proofErr w:type="spellStart"/>
            <w:r w:rsidRPr="0035187E">
              <w:rPr>
                <w:rFonts w:ascii="Times New Roman" w:hAnsi="Times New Roman" w:cs="Times New Roman"/>
                <w:iCs/>
                <w:sz w:val="20"/>
                <w:szCs w:val="20"/>
              </w:rPr>
              <w:t>mimomzdová</w:t>
            </w:r>
            <w:proofErr w:type="spellEnd"/>
            <w:r w:rsidRPr="0035187E">
              <w:rPr>
                <w:rFonts w:ascii="Times New Roman" w:hAnsi="Times New Roman" w:cs="Times New Roman"/>
                <w:iCs/>
                <w:sz w:val="20"/>
                <w:szCs w:val="20"/>
              </w:rPr>
              <w:t>, nenároková plnění poskytovaná nad rámec odměny za práci, nikoli na plnění nahrazující mzdu či její část. Přijetí navrhované úpravy by mohlo narušit spravedlivý a vyvážený systém zdanění příjmů ze závislé činnosti, zvýšit možnost daňové optimalizace a oslabit transparentnost odměňování.</w:t>
            </w:r>
          </w:p>
          <w:p w14:paraId="59DD1CF1" w14:textId="1F1CCEA5" w:rsidR="000B4BD4" w:rsidRPr="0035187E" w:rsidRDefault="000B4BD4"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 xml:space="preserve">Příspěvek na knihy podle § 6 odst. 9 písm. d) bod 4 zákona o daních z příjmů má za cíl podporovat kulturní rozvoj zaměstnanců a jejich vzdělávání, zejména osob s nižšími příjmy a rodin s dětmi, pro které může nákup knih představovat významnou finanční zátěž. Tento benefit je záměrně vymezen pouze na tištěné knihy, včetně dětských obrázkových knih. Z toho důvodu je zřejmé úmyslné zacílení na tištěné knihy, které zcela naplňují cíl tohoto opatření, tj. zvýšení zájmu o četbu knih, resp. je zřejmé, že by tento benefit svým pojetím uvedený cíl v případě elektronické knihy (knihy v digitální podobě), resp. audioknihy zcela nenaplnil. Rozšíření příspěvku na elektronické knihy nebo audioknihy by znamenalo </w:t>
            </w:r>
            <w:r w:rsidRPr="0035187E">
              <w:rPr>
                <w:rFonts w:ascii="Times New Roman" w:hAnsi="Times New Roman" w:cs="Times New Roman"/>
                <w:iCs/>
                <w:sz w:val="20"/>
                <w:szCs w:val="20"/>
              </w:rPr>
              <w:lastRenderedPageBreak/>
              <w:t>významné rozšíření daňového osvobození, což by bylo v rozporu se snahou o zjednodušení daňového systému a omezování daňových výjimek.</w:t>
            </w:r>
          </w:p>
          <w:p w14:paraId="7226D5DE" w14:textId="3475B376" w:rsidR="000B4BD4" w:rsidRPr="0035187E" w:rsidRDefault="000B4BD4"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Stejně tak návrh zrušit strop zdravotních benefitů nelze podpořit, protože by vzniklo riziko zneužívání daňové podpory. Zachování limitu u zdravotních benefitů je věcně odůvodněné. Zatímco volnočasové benefity mají převážně společenský nebo relaxační charakter a jejich hodnotové limity nemají přímý vliv na prevenci nemocí ani udržení pracovní schopnosti, zdravotní benefity přímo podporují zdraví zaměstnanců, prevenci nemocí a dlouhodobou pracovní výkonnost.</w:t>
            </w:r>
          </w:p>
          <w:p w14:paraId="44B35BE8" w14:textId="77777777" w:rsidR="000B4BD4" w:rsidRPr="0035187E" w:rsidRDefault="000B4BD4"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 xml:space="preserve">Zrušení limitu by mohlo vést k poskytování výhod přesahujících skutečné zdravotní potřeby zaměstnanců, které by byly daňově osvobozeny, aniž by přinášely reálný zdravotní prospěch. Zachování limitu umožňuje cílené a efektivní využití těchto benefitů s pozitivním dopadem pro zaměstnance i veřejný zdravotní systém. Odlišné zacházení s volnočasovými a zdravotními benefity tedy odpovídá jejich rozdílné společenské a ekonomické hodnotě a účelu, který sledují. </w:t>
            </w:r>
          </w:p>
          <w:p w14:paraId="4CD62FCE" w14:textId="77777777" w:rsidR="00F175F2" w:rsidRPr="0035187E" w:rsidRDefault="00F175F2" w:rsidP="0035187E">
            <w:pPr>
              <w:jc w:val="both"/>
              <w:rPr>
                <w:rFonts w:ascii="Times New Roman" w:hAnsi="Times New Roman" w:cs="Times New Roman"/>
                <w:iCs/>
                <w:sz w:val="20"/>
                <w:szCs w:val="20"/>
              </w:rPr>
            </w:pPr>
          </w:p>
          <w:p w14:paraId="45760F0A" w14:textId="1A91D6CA" w:rsidR="00F175F2" w:rsidRPr="0035187E" w:rsidRDefault="00F175F2" w:rsidP="0035187E">
            <w:pPr>
              <w:jc w:val="both"/>
              <w:rPr>
                <w:rFonts w:ascii="Times New Roman" w:hAnsi="Times New Roman" w:cs="Times New Roman"/>
                <w:i/>
                <w:sz w:val="20"/>
                <w:szCs w:val="20"/>
              </w:rPr>
            </w:pPr>
            <w:r w:rsidRPr="0035187E">
              <w:rPr>
                <w:rFonts w:ascii="Times New Roman" w:hAnsi="Times New Roman" w:cs="Times New Roman"/>
                <w:i/>
                <w:sz w:val="20"/>
                <w:szCs w:val="20"/>
              </w:rPr>
              <w:t xml:space="preserve">Vyjádření připomínkového </w:t>
            </w:r>
            <w:r w:rsidR="00CD58DF" w:rsidRPr="0035187E">
              <w:rPr>
                <w:rFonts w:ascii="Times New Roman" w:hAnsi="Times New Roman" w:cs="Times New Roman"/>
                <w:i/>
                <w:sz w:val="20"/>
                <w:szCs w:val="20"/>
              </w:rPr>
              <w:t xml:space="preserve">místa </w:t>
            </w:r>
            <w:r w:rsidR="00C91198" w:rsidRPr="0035187E">
              <w:rPr>
                <w:rFonts w:ascii="Times New Roman" w:hAnsi="Times New Roman" w:cs="Times New Roman"/>
                <w:i/>
                <w:sz w:val="20"/>
                <w:szCs w:val="20"/>
              </w:rPr>
              <w:t>k písemnému vypořádání</w:t>
            </w:r>
            <w:r w:rsidRPr="0035187E">
              <w:rPr>
                <w:rFonts w:ascii="Times New Roman" w:hAnsi="Times New Roman" w:cs="Times New Roman"/>
                <w:i/>
                <w:sz w:val="20"/>
                <w:szCs w:val="20"/>
              </w:rPr>
              <w:t>: S vypořádáním nesouhlasíme.</w:t>
            </w:r>
          </w:p>
          <w:p w14:paraId="7486AD2B" w14:textId="5A574569" w:rsidR="00F175F2" w:rsidRPr="0035187E" w:rsidRDefault="00F175F2" w:rsidP="0035187E">
            <w:pPr>
              <w:jc w:val="both"/>
              <w:rPr>
                <w:rFonts w:ascii="Times New Roman" w:hAnsi="Times New Roman" w:cs="Times New Roman"/>
                <w:i/>
                <w:sz w:val="20"/>
                <w:szCs w:val="20"/>
              </w:rPr>
            </w:pPr>
            <w:r w:rsidRPr="0035187E">
              <w:rPr>
                <w:rFonts w:ascii="Times New Roman" w:hAnsi="Times New Roman" w:cs="Times New Roman"/>
                <w:i/>
                <w:sz w:val="20"/>
                <w:szCs w:val="20"/>
              </w:rPr>
              <w:t xml:space="preserve">Pokud jde o zrušení limitu na zdravotní benefity, nevidíme důvod pro to, aby byly zaměstnanecké benefity podle §6 odst. 9 písm. d) zákona o daních z příjmů odlišovány hodnotovým limitem od ostatních benefitů, které mají být osvobozeny neomezeně. Nota </w:t>
            </w:r>
            <w:proofErr w:type="gramStart"/>
            <w:r w:rsidRPr="0035187E">
              <w:rPr>
                <w:rFonts w:ascii="Times New Roman" w:hAnsi="Times New Roman" w:cs="Times New Roman"/>
                <w:i/>
                <w:sz w:val="20"/>
                <w:szCs w:val="20"/>
              </w:rPr>
              <w:t>bene</w:t>
            </w:r>
            <w:proofErr w:type="gramEnd"/>
            <w:r w:rsidRPr="0035187E">
              <w:rPr>
                <w:rFonts w:ascii="Times New Roman" w:hAnsi="Times New Roman" w:cs="Times New Roman"/>
                <w:i/>
                <w:sz w:val="20"/>
                <w:szCs w:val="20"/>
              </w:rPr>
              <w:t xml:space="preserve"> pokud zdravotní benefity byly dosud zvýhodněny vyšším hodnotovým limitem, což vyjadřovalo podporu péče o zdraví zaměstnanců. Z odůvodnění vypořádání se zdá, že předkladatel pokládá příspěvky na sport, kulturu, vzdělání za </w:t>
            </w:r>
            <w:proofErr w:type="gramStart"/>
            <w:r w:rsidRPr="0035187E">
              <w:rPr>
                <w:rFonts w:ascii="Times New Roman" w:hAnsi="Times New Roman" w:cs="Times New Roman"/>
                <w:i/>
                <w:sz w:val="20"/>
                <w:szCs w:val="20"/>
              </w:rPr>
              <w:t>hodnotnější,</w:t>
            </w:r>
            <w:proofErr w:type="gramEnd"/>
            <w:r w:rsidRPr="0035187E">
              <w:rPr>
                <w:rFonts w:ascii="Times New Roman" w:hAnsi="Times New Roman" w:cs="Times New Roman"/>
                <w:i/>
                <w:sz w:val="20"/>
                <w:szCs w:val="20"/>
              </w:rPr>
              <w:t xml:space="preserve"> než příspěvky na zdraví. S tímto hodnocením nesouzníme. Zároveň poukazujeme na to, že premiér ČR na jednání Rady hospodářské a sociální dohody ČR jednoznačně přislíbil, že současné hodnotové limity budou odstraněny i u zdravotních benefitů. V neposlední řadě je argument o tom, že by byly poskytovány benefity přesahující </w:t>
            </w:r>
            <w:r w:rsidRPr="0035187E">
              <w:rPr>
                <w:rFonts w:ascii="Times New Roman" w:hAnsi="Times New Roman" w:cs="Times New Roman"/>
                <w:i/>
                <w:sz w:val="20"/>
                <w:szCs w:val="20"/>
              </w:rPr>
              <w:lastRenderedPageBreak/>
              <w:t>skutečné zdravotní potřeby zaměstnanců nebo jejich rodin nepodložený čísly a vysoce spekulativní.</w:t>
            </w:r>
          </w:p>
          <w:p w14:paraId="522BB5D1" w14:textId="610EADCD" w:rsidR="00F175F2" w:rsidRPr="0035187E" w:rsidRDefault="00F175F2" w:rsidP="0035187E">
            <w:pPr>
              <w:jc w:val="both"/>
              <w:rPr>
                <w:rFonts w:ascii="Times New Roman" w:hAnsi="Times New Roman" w:cs="Times New Roman"/>
                <w:i/>
                <w:sz w:val="20"/>
                <w:szCs w:val="20"/>
              </w:rPr>
            </w:pPr>
            <w:r w:rsidRPr="0035187E">
              <w:rPr>
                <w:rFonts w:ascii="Times New Roman" w:hAnsi="Times New Roman" w:cs="Times New Roman"/>
                <w:i/>
                <w:sz w:val="20"/>
                <w:szCs w:val="20"/>
              </w:rPr>
              <w:t>K dalším našim návrhům doplňujeme, že navrhovaná úprava v pracovněprávním režimu vylepšuje postavení zaměstnanců, protože plnění poskytovaná jako součást mzdy by se i nadále zahrnovala do všech pracovněprávních průměrů. Nedochází ani k narušení konceptu odměňování za práci. Právě naopak, benefity poskytované jako součást mzdy by se promítaly v pracovněprávních průměrech, náhradách mezd nebo odstupném.</w:t>
            </w:r>
          </w:p>
          <w:p w14:paraId="5BE8F41E" w14:textId="0B2E7774" w:rsidR="00F175F2" w:rsidRPr="0035187E" w:rsidRDefault="00F175F2" w:rsidP="0035187E">
            <w:pPr>
              <w:jc w:val="both"/>
              <w:rPr>
                <w:rFonts w:ascii="Times New Roman" w:hAnsi="Times New Roman" w:cs="Times New Roman"/>
                <w:i/>
                <w:sz w:val="20"/>
                <w:szCs w:val="20"/>
              </w:rPr>
            </w:pPr>
            <w:r w:rsidRPr="0035187E">
              <w:rPr>
                <w:rFonts w:ascii="Times New Roman" w:hAnsi="Times New Roman" w:cs="Times New Roman"/>
                <w:i/>
                <w:sz w:val="20"/>
                <w:szCs w:val="20"/>
              </w:rPr>
              <w:t xml:space="preserve">Z benefitů mimo mzdu se neodvádí pojistné a daň ani nyní a neodvádělo by se ani v případě, že by byly považovány za součást mzdy. Obava z nahrazování peněžních mezd benefity tak, jako se tomu stalo u peněžitého příspěvku na stravování, není podložena čísly. Na úrovni výběru daní by byl efekt v zásadě nulový, protože podmínka daňové </w:t>
            </w:r>
            <w:proofErr w:type="spellStart"/>
            <w:r w:rsidRPr="0035187E">
              <w:rPr>
                <w:rFonts w:ascii="Times New Roman" w:hAnsi="Times New Roman" w:cs="Times New Roman"/>
                <w:i/>
                <w:sz w:val="20"/>
                <w:szCs w:val="20"/>
              </w:rPr>
              <w:t>neuznatelnosti</w:t>
            </w:r>
            <w:proofErr w:type="spellEnd"/>
            <w:r w:rsidRPr="0035187E">
              <w:rPr>
                <w:rFonts w:ascii="Times New Roman" w:hAnsi="Times New Roman" w:cs="Times New Roman"/>
                <w:i/>
                <w:sz w:val="20"/>
                <w:szCs w:val="20"/>
              </w:rPr>
              <w:t xml:space="preserve"> je zachována. Omezený efekt na pojistném existuje, ale částečně bude kompenzován vyššími výběry z náhrad mezd a ostatních plnění navázaných na pracovněprávní průměry.</w:t>
            </w:r>
          </w:p>
          <w:p w14:paraId="006F5CD4" w14:textId="77777777" w:rsidR="00F175F2" w:rsidRPr="0035187E" w:rsidRDefault="00F175F2" w:rsidP="0035187E">
            <w:pPr>
              <w:jc w:val="both"/>
              <w:rPr>
                <w:rFonts w:ascii="Times New Roman" w:hAnsi="Times New Roman" w:cs="Times New Roman"/>
                <w:i/>
                <w:sz w:val="20"/>
                <w:szCs w:val="20"/>
              </w:rPr>
            </w:pPr>
            <w:r w:rsidRPr="0035187E">
              <w:rPr>
                <w:rFonts w:ascii="Times New Roman" w:hAnsi="Times New Roman" w:cs="Times New Roman"/>
                <w:i/>
                <w:sz w:val="20"/>
                <w:szCs w:val="20"/>
              </w:rPr>
              <w:t>Nesouhlasíme s tím, že by elektronické knihy nebo audioknihy nenaplňovaly cíl podpory kulturního rozvoje zaměstnanců a jejich vzdělávání, zejména osob s nižšími příjmy a rodin s dětmi, pro které může nákup knih představovat významnou finanční zátěž. Elektronické knihy jsou typicky levnější, než knihy tištěné a představují tak efektivnější alternativu pro nízkopříjmové osoby. V dnešní společnosti se velká část volného času odehrává v elektronickém prostoru a e-kniha nebo audiokniha v něm představuje vítanou alternativu neproduktivnímu trávení času na sociálních sítích. Knihy o osobním rozvoji, zdraví, kultuře nebo významná literární díla jsou dnes v elektronickém prostoru běžně dostupná. Úmyslem zákonodárce při zavádění knih mezi osvobozené benefity bylo zpřístupnit zaměstnancům a jejich rodinám literární díla a s tímto záměrem není náš návrh v rozporu.</w:t>
            </w:r>
          </w:p>
          <w:p w14:paraId="69BCDB1C" w14:textId="77777777" w:rsidR="00C91198" w:rsidRPr="0035187E" w:rsidRDefault="00C91198" w:rsidP="0035187E">
            <w:pPr>
              <w:jc w:val="both"/>
              <w:rPr>
                <w:rFonts w:ascii="Times New Roman" w:hAnsi="Times New Roman" w:cs="Times New Roman"/>
                <w:i/>
                <w:sz w:val="20"/>
                <w:szCs w:val="20"/>
              </w:rPr>
            </w:pPr>
          </w:p>
          <w:p w14:paraId="4E8066B6" w14:textId="64088312" w:rsidR="00C91198" w:rsidRPr="0035187E" w:rsidRDefault="00C91198" w:rsidP="0035187E">
            <w:pPr>
              <w:jc w:val="both"/>
              <w:rPr>
                <w:rFonts w:ascii="Times New Roman" w:hAnsi="Times New Roman" w:cs="Times New Roman"/>
                <w:b/>
                <w:bCs/>
                <w:iCs/>
                <w:sz w:val="20"/>
                <w:szCs w:val="20"/>
              </w:rPr>
            </w:pPr>
            <w:r w:rsidRPr="003240A0">
              <w:rPr>
                <w:rFonts w:ascii="Times New Roman" w:hAnsi="Times New Roman" w:cs="Times New Roman"/>
                <w:i/>
                <w:iCs/>
                <w:sz w:val="20"/>
                <w:szCs w:val="20"/>
              </w:rPr>
              <w:t>Připomínkové místo se vypořádacího jednání k řešení rozporů nezúčastnilo.</w:t>
            </w:r>
          </w:p>
        </w:tc>
      </w:tr>
      <w:tr w:rsidR="0035187E" w:rsidRPr="0035187E" w14:paraId="7A90A255"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5645800" w14:textId="1DBF841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48.</w:t>
            </w:r>
          </w:p>
        </w:tc>
        <w:tc>
          <w:tcPr>
            <w:tcW w:w="583" w:type="pct"/>
            <w:tcBorders>
              <w:top w:val="single" w:sz="4" w:space="0" w:color="auto"/>
              <w:left w:val="single" w:sz="4" w:space="0" w:color="auto"/>
              <w:right w:val="single" w:sz="4" w:space="0" w:color="auto"/>
            </w:tcBorders>
            <w:shd w:val="clear" w:color="auto" w:fill="auto"/>
          </w:tcPr>
          <w:p w14:paraId="2590E386" w14:textId="573A296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Konfederace zaměstnavatelských a podnikatelských svazů ČR</w:t>
            </w:r>
          </w:p>
        </w:tc>
        <w:tc>
          <w:tcPr>
            <w:tcW w:w="168" w:type="pct"/>
            <w:tcBorders>
              <w:top w:val="single" w:sz="4" w:space="0" w:color="auto"/>
              <w:left w:val="single" w:sz="4" w:space="0" w:color="auto"/>
              <w:right w:val="single" w:sz="4" w:space="0" w:color="auto"/>
            </w:tcBorders>
            <w:shd w:val="clear" w:color="auto" w:fill="auto"/>
          </w:tcPr>
          <w:p w14:paraId="42755855" w14:textId="2D29CAF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9.</w:t>
            </w:r>
          </w:p>
        </w:tc>
        <w:tc>
          <w:tcPr>
            <w:tcW w:w="169" w:type="pct"/>
            <w:tcBorders>
              <w:top w:val="single" w:sz="4" w:space="0" w:color="auto"/>
              <w:left w:val="single" w:sz="4" w:space="0" w:color="auto"/>
              <w:right w:val="single" w:sz="4" w:space="0" w:color="auto"/>
            </w:tcBorders>
            <w:shd w:val="clear" w:color="auto" w:fill="auto"/>
          </w:tcPr>
          <w:p w14:paraId="2ACA87C0" w14:textId="375C675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BD6BA79"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lang w:bidi="cs-CZ"/>
              </w:rPr>
            </w:pPr>
            <w:r w:rsidRPr="0035187E">
              <w:rPr>
                <w:rFonts w:ascii="Times New Roman" w:eastAsia="Calibri" w:hAnsi="Times New Roman" w:cs="Times New Roman"/>
                <w:sz w:val="20"/>
                <w:szCs w:val="20"/>
                <w:lang w:bidi="cs-CZ"/>
              </w:rPr>
              <w:t xml:space="preserve">K návrhu zákona o daních z příjmů </w:t>
            </w:r>
          </w:p>
          <w:p w14:paraId="07BC9FEF"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lang w:bidi="cs-CZ"/>
              </w:rPr>
            </w:pPr>
            <w:r w:rsidRPr="0035187E">
              <w:rPr>
                <w:rFonts w:ascii="Times New Roman" w:eastAsia="Calibri" w:hAnsi="Times New Roman" w:cs="Times New Roman"/>
                <w:sz w:val="20"/>
                <w:szCs w:val="20"/>
                <w:lang w:bidi="cs-CZ"/>
              </w:rPr>
              <w:t xml:space="preserve">Navrhujeme ve stávajícím znění § 6 odst. 9 písm. d) bodu 2. ponechat slova „poskytnutí rekreace nebo zájezdu,“ a v navrhovaném znění § 6 odst. 9 písm. d) vymazat bod 3. </w:t>
            </w:r>
          </w:p>
          <w:p w14:paraId="6A503D7B"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u w:val="single"/>
                <w:lang w:bidi="cs-CZ"/>
              </w:rPr>
            </w:pPr>
          </w:p>
          <w:p w14:paraId="23539797"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u w:val="single"/>
                <w:lang w:bidi="cs-CZ"/>
              </w:rPr>
            </w:pPr>
            <w:r w:rsidRPr="0035187E">
              <w:rPr>
                <w:rFonts w:ascii="Times New Roman" w:eastAsia="Calibri" w:hAnsi="Times New Roman" w:cs="Times New Roman"/>
                <w:sz w:val="20"/>
                <w:szCs w:val="20"/>
                <w:u w:val="single"/>
                <w:lang w:bidi="cs-CZ"/>
              </w:rPr>
              <w:t>Odůvodnění:</w:t>
            </w:r>
          </w:p>
          <w:p w14:paraId="36C6A68B" w14:textId="58EB31A7" w:rsidR="000B4BD4" w:rsidRPr="0035187E" w:rsidRDefault="000B4BD4" w:rsidP="0035187E">
            <w:pPr>
              <w:widowControl w:val="0"/>
              <w:autoSpaceDE w:val="0"/>
              <w:autoSpaceDN w:val="0"/>
              <w:jc w:val="both"/>
              <w:rPr>
                <w:rFonts w:ascii="Times New Roman" w:eastAsia="Calibri" w:hAnsi="Times New Roman" w:cs="Times New Roman"/>
                <w:b/>
                <w:sz w:val="20"/>
                <w:szCs w:val="20"/>
                <w:u w:val="single"/>
                <w:lang w:bidi="cs-CZ"/>
              </w:rPr>
            </w:pPr>
            <w:r w:rsidRPr="0035187E">
              <w:rPr>
                <w:rFonts w:ascii="Times New Roman" w:eastAsia="Calibri" w:hAnsi="Times New Roman" w:cs="Times New Roman"/>
                <w:sz w:val="20"/>
                <w:szCs w:val="20"/>
                <w:lang w:bidi="cs-CZ"/>
              </w:rPr>
              <w:t>Vytvoření samostatného limitu pro rekreace a zájezdy představuje vytvoření další administrativní překážky, která zesložiťuje systém zaměstnaneckých benefitů. Mimo limit samotný zde pak vznikají interpretační nejednoznačnosti – např. není zřejmá hranice mezi rekreací a využitím rekreačního zařízení. Dalším problémem může být i rozlišení, kdy jde o dovolenou a kdy o jinou volnočasovou aktivitu s odlišným daňovým režimem. Je běžné, že při pobytu v hotelu dochází k využívání např. nabízených sportovišť či lázní. Tyto hraniční případy, které však v praxi nejsou neobvyklé, pak zvyšují riziko sporů s daňovou správou.</w:t>
            </w:r>
          </w:p>
        </w:tc>
        <w:tc>
          <w:tcPr>
            <w:tcW w:w="1453" w:type="pct"/>
            <w:tcBorders>
              <w:top w:val="single" w:sz="4" w:space="0" w:color="auto"/>
              <w:left w:val="single" w:sz="4" w:space="0" w:color="auto"/>
              <w:right w:val="single" w:sz="4" w:space="0" w:color="auto"/>
            </w:tcBorders>
            <w:shd w:val="clear" w:color="auto" w:fill="auto"/>
          </w:tcPr>
          <w:p w14:paraId="7354601C"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Nevyhověno.</w:t>
            </w:r>
          </w:p>
          <w:p w14:paraId="73257E61" w14:textId="63A69E99" w:rsidR="000B4BD4" w:rsidRPr="0035187E" w:rsidRDefault="000B4BD4" w:rsidP="0035187E">
            <w:pPr>
              <w:contextualSpacing/>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 xml:space="preserve">Poskytnutí rekreace a zájezdu bude ponecháno mezi volnočasovými benefity v § 6 odst. 9 písm. d) zákona o daních z příjmů. </w:t>
            </w:r>
          </w:p>
          <w:p w14:paraId="2104A9BB" w14:textId="4BE6786C" w:rsidR="000B4BD4" w:rsidRPr="0035187E" w:rsidRDefault="000B4BD4" w:rsidP="0035187E">
            <w:pPr>
              <w:jc w:val="both"/>
              <w:rPr>
                <w:rFonts w:ascii="Times New Roman" w:hAnsi="Times New Roman" w:cs="Times New Roman"/>
                <w:iCs/>
                <w:sz w:val="20"/>
                <w:szCs w:val="20"/>
              </w:rPr>
            </w:pPr>
            <w:r w:rsidRPr="0035187E">
              <w:rPr>
                <w:rFonts w:ascii="Times New Roman" w:hAnsi="Times New Roman" w:cs="Times New Roman"/>
                <w:sz w:val="20"/>
                <w:szCs w:val="20"/>
              </w:rPr>
              <w:t>Návrh zákona o evidenci tržeb</w:t>
            </w:r>
            <w:r w:rsidRPr="0035187E">
              <w:rPr>
                <w:rFonts w:ascii="Times New Roman" w:hAnsi="Times New Roman" w:cs="Times New Roman"/>
                <w:b/>
                <w:bCs/>
                <w:sz w:val="20"/>
                <w:szCs w:val="20"/>
              </w:rPr>
              <w:t xml:space="preserve"> </w:t>
            </w:r>
            <w:r w:rsidRPr="0035187E">
              <w:rPr>
                <w:rFonts w:ascii="Times New Roman" w:hAnsi="Times New Roman" w:cs="Times New Roman"/>
                <w:sz w:val="20"/>
                <w:szCs w:val="20"/>
              </w:rPr>
              <w:t xml:space="preserve">počítá se zrušením stropu volnočasových benefitů zaměstnanců tak, jak se vláda zavázala prostřednictvím svého programového prohlášení. </w:t>
            </w:r>
            <w:r w:rsidRPr="0035187E">
              <w:rPr>
                <w:rFonts w:ascii="Times New Roman" w:hAnsi="Times New Roman" w:cs="Times New Roman"/>
                <w:iCs/>
                <w:sz w:val="20"/>
                <w:szCs w:val="20"/>
              </w:rPr>
              <w:t xml:space="preserve">Celá konstrukce výše cit. ustanovení dává poplatníků rozšířené možnosti využití daňových benefitů. </w:t>
            </w:r>
            <w:proofErr w:type="spellStart"/>
            <w:r w:rsidRPr="0035187E">
              <w:rPr>
                <w:rFonts w:ascii="Times New Roman" w:hAnsi="Times New Roman" w:cs="Times New Roman"/>
                <w:iCs/>
                <w:sz w:val="20"/>
                <w:szCs w:val="20"/>
              </w:rPr>
              <w:t>Zastropování</w:t>
            </w:r>
            <w:proofErr w:type="spellEnd"/>
            <w:r w:rsidRPr="0035187E">
              <w:rPr>
                <w:rFonts w:ascii="Times New Roman" w:hAnsi="Times New Roman" w:cs="Times New Roman"/>
                <w:iCs/>
                <w:sz w:val="20"/>
                <w:szCs w:val="20"/>
              </w:rPr>
              <w:t xml:space="preserve"> daňového osvobození nepeněžního plnění na rekreaci a zájezdy omezuje dopady na veřejné rozpočty a brání nepřímému zvýhodňování ekonomicky zdatnějších zaměstnavatelů. Současně zajišťuje, že daňové zvýhodnění plní svůj sociální účel podpory běžné rekreace a regenerace pracovní síly, nikoli financování nadstandardních forem dovolené. </w:t>
            </w:r>
          </w:p>
          <w:p w14:paraId="1FF7B384" w14:textId="77777777" w:rsidR="00F175F2" w:rsidRPr="0035187E" w:rsidRDefault="000B4BD4"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Návrh vychází z legislativní úpravy účinné do konce roku 2023, podle níž byla hodnota nepeněžního plnění ve formě rekreace a zájezdu na straně zaměstnance osvobozena od daně až do výše 20 000 Kč za zdaňovací období. Navrhovaná úprava proto nepřináší novou administrativní zátěž ani nevyvolává interpretační nejasnosti.</w:t>
            </w:r>
          </w:p>
          <w:p w14:paraId="52FBAC03" w14:textId="77777777" w:rsidR="00F175F2" w:rsidRPr="0035187E" w:rsidRDefault="00F175F2" w:rsidP="0035187E">
            <w:pPr>
              <w:jc w:val="both"/>
              <w:rPr>
                <w:rFonts w:ascii="Times New Roman" w:hAnsi="Times New Roman" w:cs="Times New Roman"/>
                <w:iCs/>
                <w:sz w:val="20"/>
                <w:szCs w:val="20"/>
              </w:rPr>
            </w:pPr>
          </w:p>
          <w:p w14:paraId="6C75B1C9" w14:textId="429A8447" w:rsidR="00F175F2" w:rsidRPr="0035187E" w:rsidRDefault="00F175F2" w:rsidP="0035187E">
            <w:pPr>
              <w:jc w:val="both"/>
              <w:rPr>
                <w:rFonts w:ascii="Times New Roman" w:hAnsi="Times New Roman" w:cs="Times New Roman"/>
                <w:i/>
                <w:sz w:val="20"/>
                <w:szCs w:val="20"/>
              </w:rPr>
            </w:pPr>
            <w:r w:rsidRPr="0035187E">
              <w:rPr>
                <w:rFonts w:ascii="Times New Roman" w:hAnsi="Times New Roman" w:cs="Times New Roman"/>
                <w:i/>
                <w:sz w:val="20"/>
                <w:szCs w:val="20"/>
              </w:rPr>
              <w:t xml:space="preserve">Vyjádření připomínkového </w:t>
            </w:r>
            <w:r w:rsidR="00CD58DF" w:rsidRPr="0035187E">
              <w:rPr>
                <w:rFonts w:ascii="Times New Roman" w:hAnsi="Times New Roman" w:cs="Times New Roman"/>
                <w:i/>
                <w:sz w:val="20"/>
                <w:szCs w:val="20"/>
              </w:rPr>
              <w:t xml:space="preserve">místa </w:t>
            </w:r>
            <w:r w:rsidR="00C91198" w:rsidRPr="0035187E">
              <w:rPr>
                <w:rFonts w:ascii="Times New Roman" w:hAnsi="Times New Roman" w:cs="Times New Roman"/>
                <w:i/>
                <w:sz w:val="20"/>
                <w:szCs w:val="20"/>
              </w:rPr>
              <w:t>k písemnému vypořádání</w:t>
            </w:r>
            <w:r w:rsidRPr="0035187E">
              <w:rPr>
                <w:rFonts w:ascii="Times New Roman" w:hAnsi="Times New Roman" w:cs="Times New Roman"/>
                <w:i/>
                <w:sz w:val="20"/>
                <w:szCs w:val="20"/>
              </w:rPr>
              <w:t>: S vypořádáním nesouhlasíme.</w:t>
            </w:r>
          </w:p>
          <w:p w14:paraId="765B52E8" w14:textId="4BBFE0F9" w:rsidR="00F175F2" w:rsidRPr="0035187E" w:rsidRDefault="00F175F2" w:rsidP="0035187E">
            <w:pPr>
              <w:jc w:val="both"/>
              <w:rPr>
                <w:rFonts w:ascii="Times New Roman" w:hAnsi="Times New Roman" w:cs="Times New Roman"/>
                <w:i/>
                <w:sz w:val="20"/>
                <w:szCs w:val="20"/>
              </w:rPr>
            </w:pPr>
            <w:r w:rsidRPr="0035187E">
              <w:rPr>
                <w:rFonts w:ascii="Times New Roman" w:hAnsi="Times New Roman" w:cs="Times New Roman"/>
                <w:i/>
                <w:sz w:val="20"/>
                <w:szCs w:val="20"/>
              </w:rPr>
              <w:t>Vyjádření v rámci vypořádání připomínek je v rozporu s programovým prohlášením vlády i slibem premiéra ČR na jednání Rady hospodářské a sociální dohody ČR, které v obou případech nenavrhovaly rozdělení tzv. volnočasových benefitů na dvě kategorie – jednu více a jednu méně společensky přijatelnější. Nedošlo ani k odstranění interpretačního rozdílu mezi omezenou „rekreací“ a neomezeným „využitím rekreačního zařízení“.</w:t>
            </w:r>
          </w:p>
          <w:p w14:paraId="5CABB14C" w14:textId="77777777" w:rsidR="000B4BD4" w:rsidRPr="0035187E" w:rsidRDefault="00F175F2" w:rsidP="0035187E">
            <w:pPr>
              <w:jc w:val="both"/>
              <w:rPr>
                <w:rFonts w:ascii="Times New Roman" w:hAnsi="Times New Roman" w:cs="Times New Roman"/>
                <w:iCs/>
                <w:sz w:val="20"/>
                <w:szCs w:val="20"/>
              </w:rPr>
            </w:pPr>
            <w:r w:rsidRPr="0035187E">
              <w:rPr>
                <w:rFonts w:ascii="Times New Roman" w:hAnsi="Times New Roman" w:cs="Times New Roman"/>
                <w:i/>
                <w:sz w:val="20"/>
                <w:szCs w:val="20"/>
              </w:rPr>
              <w:t xml:space="preserve">Argument o tom, že se zabrání zvýhodňování ekonomicky zdatnějších zaměstnavatelů neobstojí, protože takoví zaměstnavatelé jednak platí vyšší daně z příjmů právnických osob a jednak budou moci využívat jiných plnění, která nejsou hodnotově </w:t>
            </w:r>
            <w:proofErr w:type="spellStart"/>
            <w:r w:rsidRPr="0035187E">
              <w:rPr>
                <w:rFonts w:ascii="Times New Roman" w:hAnsi="Times New Roman" w:cs="Times New Roman"/>
                <w:i/>
                <w:sz w:val="20"/>
                <w:szCs w:val="20"/>
              </w:rPr>
              <w:t>zastropována</w:t>
            </w:r>
            <w:proofErr w:type="spellEnd"/>
            <w:r w:rsidRPr="0035187E">
              <w:rPr>
                <w:rFonts w:ascii="Times New Roman" w:hAnsi="Times New Roman" w:cs="Times New Roman"/>
                <w:i/>
                <w:sz w:val="20"/>
                <w:szCs w:val="20"/>
              </w:rPr>
              <w:t xml:space="preserve">, včetně zahraničních pracovních cest a školení. Tyto </w:t>
            </w:r>
            <w:r w:rsidRPr="0035187E">
              <w:rPr>
                <w:rFonts w:ascii="Times New Roman" w:hAnsi="Times New Roman" w:cs="Times New Roman"/>
                <w:i/>
                <w:sz w:val="20"/>
                <w:szCs w:val="20"/>
              </w:rPr>
              <w:lastRenderedPageBreak/>
              <w:t>excesivní situace, pokud nastávají, by daňová správa měla řešit za použití jiných existujících institutů.</w:t>
            </w:r>
            <w:r w:rsidR="000B4BD4" w:rsidRPr="0035187E">
              <w:rPr>
                <w:rFonts w:ascii="Times New Roman" w:hAnsi="Times New Roman" w:cs="Times New Roman"/>
                <w:iCs/>
                <w:sz w:val="20"/>
                <w:szCs w:val="20"/>
              </w:rPr>
              <w:t xml:space="preserve"> </w:t>
            </w:r>
          </w:p>
          <w:p w14:paraId="72C93B4C" w14:textId="77777777" w:rsidR="00C91198" w:rsidRPr="0035187E" w:rsidRDefault="00C91198" w:rsidP="0035187E">
            <w:pPr>
              <w:jc w:val="both"/>
              <w:rPr>
                <w:rFonts w:ascii="Times New Roman" w:hAnsi="Times New Roman" w:cs="Times New Roman"/>
                <w:iCs/>
                <w:sz w:val="20"/>
                <w:szCs w:val="20"/>
              </w:rPr>
            </w:pPr>
          </w:p>
          <w:p w14:paraId="7DEFFB82" w14:textId="3F198F76" w:rsidR="00C91198" w:rsidRPr="0035187E" w:rsidRDefault="00C91198" w:rsidP="0035187E">
            <w:pPr>
              <w:jc w:val="both"/>
              <w:rPr>
                <w:rFonts w:ascii="Times New Roman" w:hAnsi="Times New Roman" w:cs="Times New Roman"/>
                <w:b/>
                <w:bCs/>
                <w:iCs/>
                <w:sz w:val="20"/>
                <w:szCs w:val="20"/>
              </w:rPr>
            </w:pPr>
            <w:r w:rsidRPr="003240A0">
              <w:rPr>
                <w:rFonts w:ascii="Times New Roman" w:hAnsi="Times New Roman" w:cs="Times New Roman"/>
                <w:i/>
                <w:iCs/>
                <w:sz w:val="20"/>
                <w:szCs w:val="20"/>
              </w:rPr>
              <w:t>Připomínkové místo se vypořádacího jednání k řešení rozporů nezúčastnilo.</w:t>
            </w:r>
          </w:p>
        </w:tc>
      </w:tr>
      <w:tr w:rsidR="0035187E" w:rsidRPr="0035187E" w14:paraId="688A93AF"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9B09DAD" w14:textId="6D52910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48.</w:t>
            </w:r>
          </w:p>
        </w:tc>
        <w:tc>
          <w:tcPr>
            <w:tcW w:w="583" w:type="pct"/>
            <w:tcBorders>
              <w:top w:val="single" w:sz="4" w:space="0" w:color="auto"/>
              <w:left w:val="single" w:sz="4" w:space="0" w:color="auto"/>
              <w:right w:val="single" w:sz="4" w:space="0" w:color="auto"/>
            </w:tcBorders>
            <w:shd w:val="clear" w:color="auto" w:fill="auto"/>
          </w:tcPr>
          <w:p w14:paraId="279DC6FF" w14:textId="1393BAF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Konfederace zaměstnavatelských a podnikatelských svazů ČR</w:t>
            </w:r>
          </w:p>
        </w:tc>
        <w:tc>
          <w:tcPr>
            <w:tcW w:w="168" w:type="pct"/>
            <w:tcBorders>
              <w:top w:val="single" w:sz="4" w:space="0" w:color="auto"/>
              <w:left w:val="single" w:sz="4" w:space="0" w:color="auto"/>
              <w:right w:val="single" w:sz="4" w:space="0" w:color="auto"/>
            </w:tcBorders>
            <w:shd w:val="clear" w:color="auto" w:fill="auto"/>
          </w:tcPr>
          <w:p w14:paraId="6AE7F39C" w14:textId="1144E52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10.</w:t>
            </w:r>
          </w:p>
        </w:tc>
        <w:tc>
          <w:tcPr>
            <w:tcW w:w="169" w:type="pct"/>
            <w:tcBorders>
              <w:top w:val="single" w:sz="4" w:space="0" w:color="auto"/>
              <w:left w:val="single" w:sz="4" w:space="0" w:color="auto"/>
              <w:right w:val="single" w:sz="4" w:space="0" w:color="auto"/>
            </w:tcBorders>
            <w:shd w:val="clear" w:color="auto" w:fill="auto"/>
          </w:tcPr>
          <w:p w14:paraId="5F7992BE" w14:textId="1B16ABE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0F82258"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lang w:bidi="cs-CZ"/>
              </w:rPr>
            </w:pPr>
            <w:r w:rsidRPr="0035187E">
              <w:rPr>
                <w:rFonts w:ascii="Times New Roman" w:eastAsia="Calibri" w:hAnsi="Times New Roman" w:cs="Times New Roman"/>
                <w:sz w:val="20"/>
                <w:szCs w:val="20"/>
                <w:lang w:bidi="cs-CZ"/>
              </w:rPr>
              <w:t xml:space="preserve">K návrhu zákona o daních z příjmů </w:t>
            </w:r>
          </w:p>
          <w:p w14:paraId="6A4A50EC"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lang w:bidi="cs-CZ"/>
              </w:rPr>
            </w:pPr>
            <w:r w:rsidRPr="0035187E">
              <w:rPr>
                <w:rFonts w:ascii="Times New Roman" w:eastAsia="Calibri" w:hAnsi="Times New Roman" w:cs="Times New Roman"/>
                <w:sz w:val="20"/>
                <w:szCs w:val="20"/>
                <w:lang w:bidi="cs-CZ"/>
              </w:rPr>
              <w:t>Navrhujeme vypustit z navrhované právní úpravy podmínku, podle níž je osvobození vybraných volnočasových benefitů od daně z příjmů fyzických osob podmíněno tím, že jejich poskytování musí být vzhledem k jejich povaze zaměstnavateli obvyklé. V návrhu zákona je tedy potřeba provést úpravu navrhovaného znění § 6 odst. 9 písm. d) bodu 2., a to buď vypuštěním slov „nebo poskytnutí příspěvku na kulturní nebo sportovní akce“ nebo vypuštěním slov „vzhledem k jejich povaze je jejich poskytování zaměstnavateli obvyklé a“ z návrhu, a jazykovou korekcí zbylého textu.</w:t>
            </w:r>
          </w:p>
          <w:p w14:paraId="400F6E76"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u w:val="single"/>
                <w:lang w:bidi="cs-CZ"/>
              </w:rPr>
            </w:pPr>
          </w:p>
          <w:p w14:paraId="2B0D80F5"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u w:val="single"/>
                <w:lang w:bidi="cs-CZ"/>
              </w:rPr>
            </w:pPr>
            <w:r w:rsidRPr="0035187E">
              <w:rPr>
                <w:rFonts w:ascii="Times New Roman" w:eastAsia="Calibri" w:hAnsi="Times New Roman" w:cs="Times New Roman"/>
                <w:sz w:val="20"/>
                <w:szCs w:val="20"/>
                <w:u w:val="single"/>
                <w:lang w:bidi="cs-CZ"/>
              </w:rPr>
              <w:t>Odůvodnění:</w:t>
            </w:r>
          </w:p>
          <w:p w14:paraId="4018F38C"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lang w:bidi="cs-CZ"/>
              </w:rPr>
            </w:pPr>
            <w:r w:rsidRPr="0035187E">
              <w:rPr>
                <w:rFonts w:ascii="Times New Roman" w:eastAsia="Calibri" w:hAnsi="Times New Roman" w:cs="Times New Roman"/>
                <w:sz w:val="20"/>
                <w:szCs w:val="20"/>
                <w:lang w:bidi="cs-CZ"/>
              </w:rPr>
              <w:t xml:space="preserve">V navrhované změně zákona jsou k současnému znění přidány dvě nové podmínky </w:t>
            </w:r>
            <w:proofErr w:type="gramStart"/>
            <w:r w:rsidRPr="0035187E">
              <w:rPr>
                <w:rFonts w:ascii="Times New Roman" w:eastAsia="Calibri" w:hAnsi="Times New Roman" w:cs="Times New Roman"/>
                <w:sz w:val="20"/>
                <w:szCs w:val="20"/>
                <w:lang w:bidi="cs-CZ"/>
              </w:rPr>
              <w:t>–„</w:t>
            </w:r>
            <w:proofErr w:type="gramEnd"/>
            <w:r w:rsidRPr="0035187E">
              <w:rPr>
                <w:rFonts w:ascii="Times New Roman" w:eastAsia="Calibri" w:hAnsi="Times New Roman" w:cs="Times New Roman"/>
                <w:sz w:val="20"/>
                <w:szCs w:val="20"/>
                <w:lang w:bidi="cs-CZ"/>
              </w:rPr>
              <w:t xml:space="preserve">přiměřenost“ a „obvyklost“. Zatímco podmínka přiměřenosti je v daňové praxi poměrně běžná a neměla by pro zaměstnavatele představovat výraznější problém, u podmínky obvyklosti tomu tak není. Pojem „obvyklost“ není zákonem definován a může být tedy vykládán značně různorodě. To, co je pro jednoho zaměstnavatele obvyklé, může být při jiné velikosti firmy či v jiném regionu pro jiného zaměstnavatele neobvyklé. Při zavedení nově navrhovaného znění tak budou zaměstnavatelé nevyhnutelně postaveni před značnou právní nejistotu. </w:t>
            </w:r>
          </w:p>
          <w:p w14:paraId="184412B6"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lang w:bidi="cs-CZ"/>
              </w:rPr>
            </w:pPr>
            <w:r w:rsidRPr="0035187E">
              <w:rPr>
                <w:rFonts w:ascii="Times New Roman" w:eastAsia="Calibri" w:hAnsi="Times New Roman" w:cs="Times New Roman"/>
                <w:sz w:val="20"/>
                <w:szCs w:val="20"/>
                <w:lang w:bidi="cs-CZ"/>
              </w:rPr>
              <w:t xml:space="preserve">Benefity představují jeden z důležitých nástrojů, kterými se zaměstnavatelé mezi sebou chtějí odlišovat. Zavedení „neobvyklého“ benefitu tak často představuje potenciální konkurenční výhodu na trhu práce, případně lepší zacílení na zájmy a potřeby svých zaměstnanců. Navrhované znění zákona od tohoto přístupu může zaměstnavatele aktivně odrazovat, aniž by k tomu byl nějaký zřejmý důvod (např. malá regionální firma, která doteď benefity neposkytovala, je začne poskytovat, což představuje neobvyklou situaci pro tu konkrétní firmu, ale zároveň ji to při náboru umožní konkurovat větším firmám, pro které jsou zaměstnanecké benefity již obvyklé). </w:t>
            </w:r>
          </w:p>
          <w:p w14:paraId="55FF7297" w14:textId="068E8339" w:rsidR="000B4BD4" w:rsidRPr="0035187E" w:rsidRDefault="000B4BD4" w:rsidP="0035187E">
            <w:pPr>
              <w:widowControl w:val="0"/>
              <w:autoSpaceDE w:val="0"/>
              <w:autoSpaceDN w:val="0"/>
              <w:jc w:val="both"/>
              <w:rPr>
                <w:rFonts w:ascii="Times New Roman" w:eastAsia="Calibri" w:hAnsi="Times New Roman" w:cs="Times New Roman"/>
                <w:b/>
                <w:sz w:val="20"/>
                <w:szCs w:val="20"/>
                <w:u w:val="single"/>
                <w:lang w:bidi="cs-CZ"/>
              </w:rPr>
            </w:pPr>
            <w:r w:rsidRPr="0035187E">
              <w:rPr>
                <w:rFonts w:ascii="Times New Roman" w:eastAsia="Calibri" w:hAnsi="Times New Roman" w:cs="Times New Roman"/>
                <w:sz w:val="20"/>
                <w:szCs w:val="20"/>
                <w:lang w:bidi="cs-CZ"/>
              </w:rPr>
              <w:t>Setrvání uvedené podmínky tak může působit jako překážka v odměňovací praxi, konkurenceschopnosti, při zavádění nových benefitů či při změně struktury stávajících. Současně tato navrhovaná právní úprava zvyšuje riziko rozdílného výkladu a sporů při daňových kontrolách napříč Českou republikou. Pokud na jednu stranu podporujeme inovace, start-upy, nová řešení a nové služby a produkty, působí omezení benefitů pouze na neurčité „obvyklé“ poskytování jako relikt. Pro naplnění cílů zákonodárce by tak mělo plně postačovat pouze nové kritérium přiměřenosti.</w:t>
            </w:r>
          </w:p>
        </w:tc>
        <w:tc>
          <w:tcPr>
            <w:tcW w:w="1453" w:type="pct"/>
            <w:tcBorders>
              <w:top w:val="single" w:sz="4" w:space="0" w:color="auto"/>
              <w:left w:val="single" w:sz="4" w:space="0" w:color="auto"/>
              <w:right w:val="single" w:sz="4" w:space="0" w:color="auto"/>
            </w:tcBorders>
            <w:shd w:val="clear" w:color="auto" w:fill="auto"/>
          </w:tcPr>
          <w:p w14:paraId="61033148" w14:textId="77777777" w:rsidR="000B4BD4" w:rsidRPr="0035187E" w:rsidRDefault="000B4BD4" w:rsidP="0035187E">
            <w:pPr>
              <w:jc w:val="both"/>
              <w:rPr>
                <w:rFonts w:ascii="Times New Roman" w:hAnsi="Times New Roman" w:cs="Times New Roman"/>
                <w:iCs/>
                <w:sz w:val="20"/>
                <w:szCs w:val="20"/>
              </w:rPr>
            </w:pPr>
            <w:r w:rsidRPr="0035187E">
              <w:rPr>
                <w:rFonts w:ascii="Times New Roman" w:hAnsi="Times New Roman" w:cs="Times New Roman"/>
                <w:b/>
                <w:iCs/>
                <w:sz w:val="20"/>
                <w:szCs w:val="20"/>
              </w:rPr>
              <w:t>Nevyhověno.</w:t>
            </w:r>
          </w:p>
          <w:p w14:paraId="0FEAFBCA" w14:textId="33478343" w:rsidR="000B4BD4" w:rsidRPr="0035187E" w:rsidRDefault="000B4BD4"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Kritérium „obvyklosti“ vychází z dosavadního § 6 odst. 9 písm. g) zákona o daních z příjmů, který upravuje daňové osvobození nepeněžních příjmů plynoucích z účasti zaměstnance nebo jeho rodinného příslušníka na společenské akci pořádané zaměstnavatelem pro omezený okruh účastníků, včetně akcí s kulturním či sportovním prvkem. Toto ustanovení bude v návaznosti na zrušení stropu volnočasových benefitů podle § 6 odst. 9 písm. d) bodu 2 zachováno a dané akce budou nově podřazeny pod toto kritérium.</w:t>
            </w:r>
          </w:p>
          <w:p w14:paraId="18C4477A" w14:textId="67A4AB2B" w:rsidR="000B4BD4" w:rsidRPr="0035187E" w:rsidRDefault="000B4BD4"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Výklad jednotlivých kritérií uvedených v dosavadním § 6 odst. 9 písm. g) je podrobně rozpracován v metodické informaci GFŘ k zaměstnaneckým benefitům z roku 2024. Podle ní se obvyklost pořádání akce posuzuje zejména s ohledem na běžné standardy v podnikatelské praxi, a to ve vazbě na okruh účastníků (např. pouze zaměstnanci, zaměstnanci včetně rodinných příslušníků či obchodní partneři), charakter akce (např. sportovní den pro děti, zaměstnanecké sportovní hry apod.) a její pravidelnost.</w:t>
            </w:r>
          </w:p>
          <w:p w14:paraId="5C67A72B" w14:textId="77777777" w:rsidR="000B4BD4" w:rsidRPr="0035187E" w:rsidRDefault="000B4BD4"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 xml:space="preserve">Navrhuje se toto kritérium výslovně zakotvit nejen pro akce pořádané přímo zaměstnavatelem, ale i pro sportovní a kulturní akce zajišťované zaměstnavatelem prostřednictvím externích subjektů (např. cestovních kanceláří). Tím se zajistí legislativní opora při posuzování případů, které mohou nasvědčovat zneužívání daňové podpory, a zároveň se zachová možnost reálné podpory stabilního a motivujícího pracovního prostředí. </w:t>
            </w:r>
          </w:p>
          <w:p w14:paraId="7A40866D" w14:textId="77777777" w:rsidR="00F175F2" w:rsidRPr="0035187E" w:rsidRDefault="00F175F2" w:rsidP="0035187E">
            <w:pPr>
              <w:jc w:val="both"/>
              <w:rPr>
                <w:rFonts w:ascii="Times New Roman" w:hAnsi="Times New Roman" w:cs="Times New Roman"/>
                <w:iCs/>
                <w:sz w:val="20"/>
                <w:szCs w:val="20"/>
              </w:rPr>
            </w:pPr>
          </w:p>
          <w:p w14:paraId="743893D7" w14:textId="09F8F90C" w:rsidR="00F175F2" w:rsidRPr="0035187E" w:rsidRDefault="00F175F2" w:rsidP="0035187E">
            <w:pPr>
              <w:jc w:val="both"/>
              <w:rPr>
                <w:rFonts w:ascii="Times New Roman" w:hAnsi="Times New Roman" w:cs="Times New Roman"/>
                <w:i/>
                <w:sz w:val="20"/>
                <w:szCs w:val="20"/>
              </w:rPr>
            </w:pPr>
            <w:r w:rsidRPr="0035187E">
              <w:rPr>
                <w:rFonts w:ascii="Times New Roman" w:hAnsi="Times New Roman" w:cs="Times New Roman"/>
                <w:i/>
                <w:sz w:val="20"/>
                <w:szCs w:val="20"/>
              </w:rPr>
              <w:t xml:space="preserve">Vyjádření připomínkového </w:t>
            </w:r>
            <w:r w:rsidR="00CD58DF" w:rsidRPr="0035187E">
              <w:rPr>
                <w:rFonts w:ascii="Times New Roman" w:hAnsi="Times New Roman" w:cs="Times New Roman"/>
                <w:i/>
                <w:sz w:val="20"/>
                <w:szCs w:val="20"/>
              </w:rPr>
              <w:t xml:space="preserve">místa </w:t>
            </w:r>
            <w:r w:rsidR="0095647F" w:rsidRPr="0035187E">
              <w:rPr>
                <w:rFonts w:ascii="Times New Roman" w:hAnsi="Times New Roman" w:cs="Times New Roman"/>
                <w:i/>
                <w:sz w:val="20"/>
                <w:szCs w:val="20"/>
              </w:rPr>
              <w:t>k písemnému vypořádání</w:t>
            </w:r>
            <w:r w:rsidRPr="0035187E">
              <w:rPr>
                <w:rFonts w:ascii="Times New Roman" w:hAnsi="Times New Roman" w:cs="Times New Roman"/>
                <w:i/>
                <w:sz w:val="20"/>
                <w:szCs w:val="20"/>
              </w:rPr>
              <w:t>:</w:t>
            </w:r>
            <w:r w:rsidR="00C80E42" w:rsidRPr="0035187E">
              <w:rPr>
                <w:rFonts w:ascii="Times New Roman" w:hAnsi="Times New Roman" w:cs="Times New Roman"/>
                <w:i/>
                <w:sz w:val="20"/>
                <w:szCs w:val="20"/>
              </w:rPr>
              <w:t xml:space="preserve"> </w:t>
            </w:r>
            <w:r w:rsidRPr="0035187E">
              <w:rPr>
                <w:rFonts w:ascii="Times New Roman" w:hAnsi="Times New Roman" w:cs="Times New Roman"/>
                <w:i/>
                <w:sz w:val="20"/>
                <w:szCs w:val="20"/>
              </w:rPr>
              <w:t>S vypořádáním nesouhlasíme.</w:t>
            </w:r>
          </w:p>
          <w:p w14:paraId="6B06560B" w14:textId="77777777" w:rsidR="00F175F2" w:rsidRPr="0035187E" w:rsidRDefault="00F175F2" w:rsidP="0035187E">
            <w:pPr>
              <w:jc w:val="both"/>
              <w:rPr>
                <w:rFonts w:ascii="Times New Roman" w:hAnsi="Times New Roman" w:cs="Times New Roman"/>
                <w:i/>
                <w:sz w:val="20"/>
                <w:szCs w:val="20"/>
              </w:rPr>
            </w:pPr>
            <w:r w:rsidRPr="0035187E">
              <w:rPr>
                <w:rFonts w:ascii="Times New Roman" w:hAnsi="Times New Roman" w:cs="Times New Roman"/>
                <w:i/>
                <w:sz w:val="20"/>
                <w:szCs w:val="20"/>
              </w:rPr>
              <w:t xml:space="preserve">Odůvodnění vypořádání je zmatečné. Meritem připomínky nebylo odstranění obvyklosti u akcí pořádaných zaměstnavatelem, ale odstranění nejistoty a obav zaměstnavatelů, zda pokud zakoupí vstupenky </w:t>
            </w:r>
            <w:r w:rsidRPr="0035187E">
              <w:rPr>
                <w:rFonts w:ascii="Times New Roman" w:hAnsi="Times New Roman" w:cs="Times New Roman"/>
                <w:i/>
                <w:sz w:val="20"/>
                <w:szCs w:val="20"/>
              </w:rPr>
              <w:lastRenderedPageBreak/>
              <w:t>na koncert nebo na sportovní utkání budou nebo nebudou testováni na obvyklost takového benefitu v čase a místě. Pokud předkladatel uvádí, že měl v úmyslu postihnout akce zajišťované zaměstnavatelem prostřednictvím externích subjektů typu zahraničních zájezdů na sportovní nebo kulturní akci, kde je motivem zájezd samotný více než konkrétní sportovní nebo kulturní akce, bylo by vhodné zvolit jinou textaci takového ustanovení. Připomínáme, že test přiměřenosti zůstává zachován, stejně jako obecná pravidla proti obcházení smyslu zákona, a tudíž se zavádění podmínky obvyklosti jeví jako nadbytečné.</w:t>
            </w:r>
          </w:p>
          <w:p w14:paraId="37BFC2DA" w14:textId="77777777" w:rsidR="0095647F" w:rsidRPr="0035187E" w:rsidRDefault="0095647F" w:rsidP="0035187E">
            <w:pPr>
              <w:jc w:val="both"/>
              <w:rPr>
                <w:rFonts w:ascii="Times New Roman" w:hAnsi="Times New Roman" w:cs="Times New Roman"/>
                <w:i/>
                <w:sz w:val="20"/>
                <w:szCs w:val="20"/>
              </w:rPr>
            </w:pPr>
          </w:p>
          <w:p w14:paraId="43DBF674" w14:textId="142A78D1" w:rsidR="0095647F" w:rsidRPr="0035187E" w:rsidRDefault="0095647F" w:rsidP="0035187E">
            <w:pPr>
              <w:jc w:val="both"/>
              <w:rPr>
                <w:rFonts w:ascii="Times New Roman" w:hAnsi="Times New Roman" w:cs="Times New Roman"/>
                <w:b/>
                <w:bCs/>
                <w:iCs/>
                <w:sz w:val="20"/>
                <w:szCs w:val="20"/>
              </w:rPr>
            </w:pPr>
            <w:r w:rsidRPr="003240A0">
              <w:rPr>
                <w:rFonts w:ascii="Times New Roman" w:hAnsi="Times New Roman" w:cs="Times New Roman"/>
                <w:i/>
                <w:iCs/>
                <w:sz w:val="20"/>
                <w:szCs w:val="20"/>
              </w:rPr>
              <w:t>Připomínkové místo se vypořádacího jednání k řešení rozporů nezúčastnilo.</w:t>
            </w:r>
          </w:p>
        </w:tc>
      </w:tr>
      <w:tr w:rsidR="0035187E" w:rsidRPr="0035187E" w14:paraId="422E8675"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7508EB8" w14:textId="2578CA1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48.</w:t>
            </w:r>
          </w:p>
        </w:tc>
        <w:tc>
          <w:tcPr>
            <w:tcW w:w="583" w:type="pct"/>
            <w:tcBorders>
              <w:top w:val="single" w:sz="4" w:space="0" w:color="auto"/>
              <w:left w:val="single" w:sz="4" w:space="0" w:color="auto"/>
              <w:right w:val="single" w:sz="4" w:space="0" w:color="auto"/>
            </w:tcBorders>
            <w:shd w:val="clear" w:color="auto" w:fill="auto"/>
          </w:tcPr>
          <w:p w14:paraId="58800322" w14:textId="25ED697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Konfederace zaměstnavatelských a podnikatelských svazů ČR</w:t>
            </w:r>
          </w:p>
        </w:tc>
        <w:tc>
          <w:tcPr>
            <w:tcW w:w="168" w:type="pct"/>
            <w:tcBorders>
              <w:top w:val="single" w:sz="4" w:space="0" w:color="auto"/>
              <w:left w:val="single" w:sz="4" w:space="0" w:color="auto"/>
              <w:right w:val="single" w:sz="4" w:space="0" w:color="auto"/>
            </w:tcBorders>
            <w:shd w:val="clear" w:color="auto" w:fill="auto"/>
          </w:tcPr>
          <w:p w14:paraId="42050478" w14:textId="3BEF70C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11.</w:t>
            </w:r>
          </w:p>
        </w:tc>
        <w:tc>
          <w:tcPr>
            <w:tcW w:w="169" w:type="pct"/>
            <w:tcBorders>
              <w:top w:val="single" w:sz="4" w:space="0" w:color="auto"/>
              <w:left w:val="single" w:sz="4" w:space="0" w:color="auto"/>
              <w:right w:val="single" w:sz="4" w:space="0" w:color="auto"/>
            </w:tcBorders>
            <w:shd w:val="clear" w:color="auto" w:fill="auto"/>
          </w:tcPr>
          <w:p w14:paraId="5589569F" w14:textId="6BC56D4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CFDA9AD"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lang w:bidi="cs-CZ"/>
              </w:rPr>
            </w:pPr>
            <w:r w:rsidRPr="0035187E">
              <w:rPr>
                <w:rFonts w:ascii="Times New Roman" w:eastAsia="Calibri" w:hAnsi="Times New Roman" w:cs="Times New Roman"/>
                <w:sz w:val="20"/>
                <w:szCs w:val="20"/>
                <w:lang w:bidi="cs-CZ"/>
              </w:rPr>
              <w:t xml:space="preserve">K návrhu zákona o daních z příjmů </w:t>
            </w:r>
          </w:p>
          <w:p w14:paraId="0A63483D"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lang w:bidi="cs-CZ"/>
              </w:rPr>
            </w:pPr>
            <w:r w:rsidRPr="0035187E">
              <w:rPr>
                <w:rFonts w:ascii="Times New Roman" w:eastAsia="Calibri" w:hAnsi="Times New Roman" w:cs="Times New Roman"/>
                <w:sz w:val="20"/>
                <w:szCs w:val="20"/>
                <w:lang w:bidi="cs-CZ"/>
              </w:rPr>
              <w:t>Navrhujeme provést příslušnou úpravu § 6 odst. 9 písm. d) bodu 2. a vedle možnosti využít nepeněžní plnění na tištěné knihy i na elektronické knihy a audioknihy.</w:t>
            </w:r>
          </w:p>
          <w:p w14:paraId="1DD6FF57"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u w:val="single"/>
                <w:lang w:bidi="cs-CZ"/>
              </w:rPr>
            </w:pPr>
            <w:r w:rsidRPr="0035187E">
              <w:rPr>
                <w:rFonts w:ascii="Times New Roman" w:eastAsia="Calibri" w:hAnsi="Times New Roman" w:cs="Times New Roman"/>
                <w:sz w:val="20"/>
                <w:szCs w:val="20"/>
                <w:u w:val="single"/>
                <w:lang w:bidi="cs-CZ"/>
              </w:rPr>
              <w:t>Odůvodnění:</w:t>
            </w:r>
          </w:p>
          <w:p w14:paraId="5C0E6267"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lang w:bidi="cs-CZ"/>
              </w:rPr>
            </w:pPr>
            <w:r w:rsidRPr="0035187E">
              <w:rPr>
                <w:rFonts w:ascii="Times New Roman" w:eastAsia="Calibri" w:hAnsi="Times New Roman" w:cs="Times New Roman"/>
                <w:sz w:val="20"/>
                <w:szCs w:val="20"/>
                <w:lang w:bidi="cs-CZ"/>
              </w:rPr>
              <w:t xml:space="preserve">Možnost využití nepeněžního plnění na tištěné knihy byla do zákona zahrnuta v době, kdy ještě nebyly jiné alternativy příliš rozšířené. V současné době však zahrnutí pouze tištěných knih vytváří nerovnost, kdy si stejné dílo od stejného autora a vydavatele může formou nepeněžního plnění zaměstnanec pořídit pouze v tištěné podobě, ale ne již formě elektronické nebo zvukové. Tyto formáty jsou přitom čím dál tím populárnější a není důvod k jejich znevýhodnění. </w:t>
            </w:r>
          </w:p>
          <w:p w14:paraId="10CCE23D" w14:textId="2EE1F34B" w:rsidR="000B4BD4" w:rsidRPr="0035187E" w:rsidRDefault="000B4BD4" w:rsidP="0035187E">
            <w:pPr>
              <w:widowControl w:val="0"/>
              <w:autoSpaceDE w:val="0"/>
              <w:autoSpaceDN w:val="0"/>
              <w:jc w:val="both"/>
              <w:rPr>
                <w:rFonts w:ascii="Times New Roman" w:eastAsia="Calibri" w:hAnsi="Times New Roman" w:cs="Times New Roman"/>
                <w:b/>
                <w:sz w:val="20"/>
                <w:szCs w:val="20"/>
                <w:u w:val="single"/>
                <w:lang w:bidi="cs-CZ"/>
              </w:rPr>
            </w:pPr>
            <w:r w:rsidRPr="0035187E">
              <w:rPr>
                <w:rFonts w:ascii="Times New Roman" w:eastAsia="Calibri" w:hAnsi="Times New Roman" w:cs="Times New Roman"/>
                <w:sz w:val="20"/>
                <w:szCs w:val="20"/>
                <w:lang w:bidi="cs-CZ"/>
              </w:rPr>
              <w:t>Přesná definice pojmů je v rukou zákonodárce, nicméně může např. vycházet z logiky autorského zákona, kdy se v případě elektronické knihy může jednat o literární dílo ve formě elektronického souboru a v případě audioknihy o literární dílo zvukově ztvárněné. Alternativně je možná využít definici ze zákona č. 424/2023 Sb. o požadavcích na přístupnost některých výrobků a služeb, který elektronické knihy definuje jako digitální soubory tvořící elektronickou verzi knihy, ke které lze přistupovat prostřednictvím čtečky elektronických knih nebo k tomu určeným softwarem.</w:t>
            </w:r>
          </w:p>
        </w:tc>
        <w:tc>
          <w:tcPr>
            <w:tcW w:w="1453" w:type="pct"/>
            <w:tcBorders>
              <w:top w:val="single" w:sz="4" w:space="0" w:color="auto"/>
              <w:left w:val="single" w:sz="4" w:space="0" w:color="auto"/>
              <w:right w:val="single" w:sz="4" w:space="0" w:color="auto"/>
            </w:tcBorders>
            <w:shd w:val="clear" w:color="auto" w:fill="auto"/>
          </w:tcPr>
          <w:p w14:paraId="33103009" w14:textId="77777777" w:rsidR="000B4BD4" w:rsidRPr="0035187E" w:rsidRDefault="000B4BD4" w:rsidP="0035187E">
            <w:pPr>
              <w:jc w:val="both"/>
              <w:rPr>
                <w:rFonts w:ascii="Times New Roman" w:hAnsi="Times New Roman" w:cs="Times New Roman"/>
                <w:iCs/>
                <w:sz w:val="20"/>
                <w:szCs w:val="20"/>
              </w:rPr>
            </w:pPr>
            <w:r w:rsidRPr="0035187E">
              <w:rPr>
                <w:rFonts w:ascii="Times New Roman" w:hAnsi="Times New Roman" w:cs="Times New Roman"/>
                <w:b/>
                <w:iCs/>
                <w:sz w:val="20"/>
                <w:szCs w:val="20"/>
              </w:rPr>
              <w:t>Nevyhověno.</w:t>
            </w:r>
          </w:p>
          <w:p w14:paraId="66923399" w14:textId="5309CD7E" w:rsidR="000B4BD4" w:rsidRPr="0035187E" w:rsidRDefault="000B4BD4"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Příspěvek na knihy podle § 6 odst. 9 písm. d) bod 4 zákona o daních z příjmů je zaměřen na podporu kulturního rozvoje zaměstnanců a jejich vzdělávání, zejména osob s nižšími příjmy a rodin s dětmi, pro které může nákup knih představovat významnou finanční zátěž. Tento benefit je záměrně vymezen pouze na tištěné knihy, včetně dětských obrázkových knih, aby bylo zajištěno naplnění cíle opatření.</w:t>
            </w:r>
            <w:r w:rsidRPr="0035187E">
              <w:t xml:space="preserve"> </w:t>
            </w:r>
            <w:r w:rsidRPr="0035187E">
              <w:rPr>
                <w:rFonts w:ascii="Times New Roman" w:hAnsi="Times New Roman" w:cs="Times New Roman"/>
                <w:iCs/>
                <w:sz w:val="20"/>
                <w:szCs w:val="20"/>
              </w:rPr>
              <w:t>Z toho důvodu je zřejmé úmyslné zacílení na tištěné knihy, které zcela naplňují cíl tohoto opatření, tj. zvýšení zájmu o četbu knih, resp. je zřejmé, že by tento benefit svým pojetím uvedený cíl v případě elektronické knihy (knihy v digitální podobě), resp. audioknihy zcela nenaplnil.</w:t>
            </w:r>
          </w:p>
          <w:p w14:paraId="16A57AC6" w14:textId="77777777" w:rsidR="000B4BD4" w:rsidRPr="0035187E" w:rsidRDefault="000B4BD4"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Rozšíření příspěvku na elektronické knihy nebo audioknihy by znamenalo podstatné rozšíření daňového osvobození, což by bylo v rozporu s principem zjednodušení daňového systému a omezení daňových výjimek. Současné vymezení tak zachovává rovnováhu mezi podporou vzdělávání a kontrolou daňových výjimek.</w:t>
            </w:r>
          </w:p>
          <w:p w14:paraId="4070C839" w14:textId="77777777" w:rsidR="00F175F2" w:rsidRPr="0035187E" w:rsidRDefault="00F175F2" w:rsidP="0035187E">
            <w:pPr>
              <w:jc w:val="both"/>
              <w:rPr>
                <w:rFonts w:ascii="Times New Roman" w:hAnsi="Times New Roman" w:cs="Times New Roman"/>
                <w:iCs/>
                <w:sz w:val="20"/>
                <w:szCs w:val="20"/>
              </w:rPr>
            </w:pPr>
          </w:p>
          <w:p w14:paraId="346417FB" w14:textId="50439898" w:rsidR="00F175F2" w:rsidRPr="0035187E" w:rsidRDefault="00F175F2" w:rsidP="0035187E">
            <w:pPr>
              <w:jc w:val="both"/>
              <w:rPr>
                <w:rFonts w:ascii="Times New Roman" w:hAnsi="Times New Roman" w:cs="Times New Roman"/>
                <w:i/>
                <w:sz w:val="20"/>
                <w:szCs w:val="20"/>
              </w:rPr>
            </w:pPr>
            <w:r w:rsidRPr="0035187E">
              <w:rPr>
                <w:rFonts w:ascii="Times New Roman" w:hAnsi="Times New Roman" w:cs="Times New Roman"/>
                <w:i/>
                <w:sz w:val="20"/>
                <w:szCs w:val="20"/>
              </w:rPr>
              <w:t>Vyjádření připomínkového</w:t>
            </w:r>
            <w:r w:rsidR="00B95535" w:rsidRPr="0035187E">
              <w:rPr>
                <w:rFonts w:ascii="Times New Roman" w:hAnsi="Times New Roman" w:cs="Times New Roman"/>
                <w:i/>
                <w:sz w:val="20"/>
                <w:szCs w:val="20"/>
              </w:rPr>
              <w:t xml:space="preserve"> místa k písemnému vyjádření</w:t>
            </w:r>
            <w:r w:rsidRPr="0035187E">
              <w:rPr>
                <w:rFonts w:ascii="Times New Roman" w:hAnsi="Times New Roman" w:cs="Times New Roman"/>
                <w:i/>
                <w:sz w:val="20"/>
                <w:szCs w:val="20"/>
              </w:rPr>
              <w:t>: S vypořádáním nesouhlasíme.</w:t>
            </w:r>
          </w:p>
          <w:p w14:paraId="55347877" w14:textId="77777777" w:rsidR="00F175F2" w:rsidRPr="0035187E" w:rsidRDefault="00F175F2" w:rsidP="0035187E">
            <w:pPr>
              <w:jc w:val="both"/>
              <w:rPr>
                <w:rFonts w:ascii="Times New Roman" w:hAnsi="Times New Roman" w:cs="Times New Roman"/>
                <w:i/>
                <w:sz w:val="20"/>
                <w:szCs w:val="20"/>
              </w:rPr>
            </w:pPr>
            <w:r w:rsidRPr="0035187E">
              <w:rPr>
                <w:rFonts w:ascii="Times New Roman" w:hAnsi="Times New Roman" w:cs="Times New Roman"/>
                <w:i/>
                <w:sz w:val="20"/>
                <w:szCs w:val="20"/>
              </w:rPr>
              <w:t xml:space="preserve">Nesouhlasíme s tím, že by elektronické knihy nebo audioknihy nenaplňovaly cíl podpory kulturního rozvoje </w:t>
            </w:r>
            <w:r w:rsidRPr="0035187E">
              <w:rPr>
                <w:rFonts w:ascii="Times New Roman" w:hAnsi="Times New Roman" w:cs="Times New Roman"/>
                <w:i/>
                <w:sz w:val="20"/>
                <w:szCs w:val="20"/>
              </w:rPr>
              <w:lastRenderedPageBreak/>
              <w:t>zaměstnanců a jejich vzdělávání, zejména osob s nižšími příjmy a rodin s dětmi, pro které může nákup knih představovat významnou finanční zátěž. Elektronické knihy jsou typicky levnější, než knihy tištěné a představují tak efektivnější alternativu pro nízkopříjmové osoby. V dnešní společnosti se velká část volného času odehrává v elektronickém prostoru a e-kniha nebo audiokniha v něm představuje vítanou alternativu neproduktivnímu trávení času na sociálních sítích. Knihy o osobním rozvoji, zdraví, kultuře nebo významná literární díla jsou dnes v elektronickém prostoru běžně dostupná. Úmyslem zákonodárce při zavádění knih mezi osvobozené benefity bylo zpřístupnit zaměstnancům a jejich rodinám literární díla a s tímto záměrem není náš návrh v rozporu.</w:t>
            </w:r>
          </w:p>
          <w:p w14:paraId="5C378C1E" w14:textId="77777777" w:rsidR="00B95535" w:rsidRPr="0035187E" w:rsidRDefault="00B95535" w:rsidP="0035187E">
            <w:pPr>
              <w:jc w:val="both"/>
              <w:rPr>
                <w:rFonts w:ascii="Times New Roman" w:hAnsi="Times New Roman" w:cs="Times New Roman"/>
                <w:i/>
                <w:sz w:val="20"/>
                <w:szCs w:val="20"/>
              </w:rPr>
            </w:pPr>
          </w:p>
          <w:p w14:paraId="1F0FF4C9" w14:textId="445AD500" w:rsidR="00B95535" w:rsidRPr="0035187E" w:rsidRDefault="00B95535" w:rsidP="0035187E">
            <w:pPr>
              <w:jc w:val="both"/>
              <w:rPr>
                <w:rFonts w:ascii="Times New Roman" w:hAnsi="Times New Roman" w:cs="Times New Roman"/>
                <w:b/>
                <w:bCs/>
                <w:iCs/>
                <w:sz w:val="20"/>
                <w:szCs w:val="20"/>
              </w:rPr>
            </w:pPr>
            <w:r w:rsidRPr="003240A0">
              <w:rPr>
                <w:rFonts w:ascii="Times New Roman" w:hAnsi="Times New Roman" w:cs="Times New Roman"/>
                <w:i/>
                <w:iCs/>
                <w:sz w:val="20"/>
                <w:szCs w:val="20"/>
              </w:rPr>
              <w:t>Připomínkové místo se vypořádacího jednání k řešení rozporů nezúčastnilo.</w:t>
            </w:r>
          </w:p>
        </w:tc>
      </w:tr>
      <w:tr w:rsidR="0035187E" w:rsidRPr="0035187E" w14:paraId="28DBF772"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DE8FC44" w14:textId="1FF49C6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48.</w:t>
            </w:r>
          </w:p>
        </w:tc>
        <w:tc>
          <w:tcPr>
            <w:tcW w:w="583" w:type="pct"/>
            <w:tcBorders>
              <w:top w:val="single" w:sz="4" w:space="0" w:color="auto"/>
              <w:left w:val="single" w:sz="4" w:space="0" w:color="auto"/>
              <w:right w:val="single" w:sz="4" w:space="0" w:color="auto"/>
            </w:tcBorders>
            <w:shd w:val="clear" w:color="auto" w:fill="auto"/>
          </w:tcPr>
          <w:p w14:paraId="3E22744D" w14:textId="0621EE6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Konfederace zaměstnavatelských a podnikatelských svazů ČR</w:t>
            </w:r>
          </w:p>
        </w:tc>
        <w:tc>
          <w:tcPr>
            <w:tcW w:w="168" w:type="pct"/>
            <w:tcBorders>
              <w:top w:val="single" w:sz="4" w:space="0" w:color="auto"/>
              <w:left w:val="single" w:sz="4" w:space="0" w:color="auto"/>
              <w:right w:val="single" w:sz="4" w:space="0" w:color="auto"/>
            </w:tcBorders>
            <w:shd w:val="clear" w:color="auto" w:fill="auto"/>
          </w:tcPr>
          <w:p w14:paraId="4AD47F45" w14:textId="5EBC919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12.</w:t>
            </w:r>
          </w:p>
        </w:tc>
        <w:tc>
          <w:tcPr>
            <w:tcW w:w="169" w:type="pct"/>
            <w:tcBorders>
              <w:top w:val="single" w:sz="4" w:space="0" w:color="auto"/>
              <w:left w:val="single" w:sz="4" w:space="0" w:color="auto"/>
              <w:right w:val="single" w:sz="4" w:space="0" w:color="auto"/>
            </w:tcBorders>
            <w:shd w:val="clear" w:color="auto" w:fill="auto"/>
          </w:tcPr>
          <w:p w14:paraId="552356FA" w14:textId="032A03E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351158B4"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lang w:bidi="cs-CZ"/>
              </w:rPr>
            </w:pPr>
            <w:r w:rsidRPr="0035187E">
              <w:rPr>
                <w:rFonts w:ascii="Times New Roman" w:eastAsia="Calibri" w:hAnsi="Times New Roman" w:cs="Times New Roman"/>
                <w:sz w:val="20"/>
                <w:szCs w:val="20"/>
                <w:lang w:bidi="cs-CZ"/>
              </w:rPr>
              <w:t>K návrhu zákona o daních z příjmů – nad rámec návrhu</w:t>
            </w:r>
          </w:p>
          <w:p w14:paraId="7584B68C"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lang w:bidi="cs-CZ"/>
              </w:rPr>
            </w:pPr>
            <w:r w:rsidRPr="0035187E">
              <w:rPr>
                <w:rFonts w:ascii="Times New Roman" w:eastAsia="Calibri" w:hAnsi="Times New Roman" w:cs="Times New Roman"/>
                <w:sz w:val="20"/>
                <w:szCs w:val="20"/>
                <w:lang w:bidi="cs-CZ"/>
              </w:rPr>
              <w:t>Navrhujeme, aby zdravotní benefity byly poskytovány jako osvobozený zaměstnanecký benefit bez hodnotového limitu, a současně bylo do limitu jedné průměrné měsíční mzdy za rok umožněno převádět mzdu nebo plat do zdravotních benefitů, které by byly osvobozeny od daně z příjmů fyzických osob.</w:t>
            </w:r>
          </w:p>
          <w:p w14:paraId="7F5C0BCC"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lang w:bidi="cs-CZ"/>
              </w:rPr>
            </w:pPr>
          </w:p>
          <w:p w14:paraId="093D8387"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lang w:bidi="cs-CZ"/>
              </w:rPr>
            </w:pPr>
          </w:p>
          <w:p w14:paraId="17EB939C"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lang w:bidi="cs-CZ"/>
              </w:rPr>
            </w:pPr>
            <w:r w:rsidRPr="0035187E">
              <w:rPr>
                <w:rFonts w:ascii="Times New Roman" w:eastAsia="Calibri" w:hAnsi="Times New Roman" w:cs="Times New Roman"/>
                <w:sz w:val="20"/>
                <w:szCs w:val="20"/>
                <w:lang w:bidi="cs-CZ"/>
              </w:rPr>
              <w:t>Návrh legislativní úpravy:</w:t>
            </w:r>
          </w:p>
          <w:p w14:paraId="438A78AD" w14:textId="77777777" w:rsidR="000B4BD4" w:rsidRPr="0035187E" w:rsidRDefault="000B4BD4" w:rsidP="0035187E">
            <w:pPr>
              <w:keepNext/>
              <w:keepLines/>
              <w:widowControl w:val="0"/>
              <w:numPr>
                <w:ilvl w:val="0"/>
                <w:numId w:val="29"/>
              </w:numPr>
              <w:autoSpaceDE w:val="0"/>
              <w:autoSpaceDN w:val="0"/>
              <w:jc w:val="both"/>
              <w:outlineLvl w:val="5"/>
              <w:rPr>
                <w:rFonts w:ascii="Times New Roman" w:hAnsi="Times New Roman" w:cs="Times New Roman"/>
                <w:sz w:val="20"/>
                <w:szCs w:val="20"/>
                <w:lang w:bidi="cs-CZ"/>
              </w:rPr>
            </w:pPr>
            <w:r w:rsidRPr="0035187E">
              <w:rPr>
                <w:rFonts w:ascii="Times New Roman" w:hAnsi="Times New Roman" w:cs="Times New Roman"/>
                <w:sz w:val="20"/>
                <w:szCs w:val="20"/>
                <w:lang w:bidi="cs-CZ"/>
              </w:rPr>
              <w:t>§ 6</w:t>
            </w:r>
          </w:p>
          <w:p w14:paraId="324456BF" w14:textId="77777777" w:rsidR="000B4BD4" w:rsidRPr="0035187E" w:rsidRDefault="000B4BD4" w:rsidP="0035187E">
            <w:pPr>
              <w:keepNext/>
              <w:keepLines/>
              <w:widowControl w:val="0"/>
              <w:autoSpaceDE w:val="0"/>
              <w:autoSpaceDN w:val="0"/>
              <w:jc w:val="both"/>
              <w:outlineLvl w:val="5"/>
              <w:rPr>
                <w:rFonts w:ascii="Times New Roman" w:hAnsi="Times New Roman" w:cs="Times New Roman"/>
                <w:b/>
                <w:sz w:val="20"/>
                <w:szCs w:val="20"/>
                <w:lang w:bidi="cs-CZ"/>
              </w:rPr>
            </w:pPr>
            <w:r w:rsidRPr="0035187E">
              <w:rPr>
                <w:rFonts w:ascii="Times New Roman" w:hAnsi="Times New Roman" w:cs="Times New Roman"/>
                <w:b/>
                <w:sz w:val="20"/>
                <w:szCs w:val="20"/>
                <w:lang w:bidi="cs-CZ"/>
              </w:rPr>
              <w:t>Příjmy ze závislé činnosti</w:t>
            </w:r>
          </w:p>
          <w:p w14:paraId="02C0A552" w14:textId="77777777" w:rsidR="000B4BD4" w:rsidRPr="0035187E" w:rsidRDefault="000B4BD4" w:rsidP="0035187E">
            <w:pPr>
              <w:widowControl w:val="0"/>
              <w:autoSpaceDE w:val="0"/>
              <w:autoSpaceDN w:val="0"/>
              <w:ind w:hanging="425"/>
              <w:jc w:val="both"/>
              <w:outlineLvl w:val="7"/>
              <w:rPr>
                <w:rFonts w:ascii="Times New Roman" w:hAnsi="Times New Roman" w:cs="Times New Roman"/>
                <w:sz w:val="20"/>
                <w:szCs w:val="20"/>
                <w:lang w:bidi="cs-CZ"/>
              </w:rPr>
            </w:pPr>
          </w:p>
          <w:p w14:paraId="3392FCA7" w14:textId="77777777" w:rsidR="000B4BD4" w:rsidRPr="0035187E" w:rsidRDefault="000B4BD4" w:rsidP="0035187E">
            <w:pPr>
              <w:widowControl w:val="0"/>
              <w:autoSpaceDE w:val="0"/>
              <w:autoSpaceDN w:val="0"/>
              <w:jc w:val="both"/>
              <w:outlineLvl w:val="7"/>
              <w:rPr>
                <w:rFonts w:ascii="Times New Roman" w:hAnsi="Times New Roman" w:cs="Times New Roman"/>
                <w:sz w:val="20"/>
                <w:szCs w:val="20"/>
                <w:lang w:bidi="cs-CZ"/>
              </w:rPr>
            </w:pPr>
            <w:r w:rsidRPr="0035187E">
              <w:rPr>
                <w:rFonts w:ascii="Times New Roman" w:hAnsi="Times New Roman" w:cs="Times New Roman"/>
                <w:sz w:val="20"/>
                <w:szCs w:val="20"/>
                <w:lang w:bidi="cs-CZ"/>
              </w:rPr>
              <w:t>(9) Od daně jsou, kromě příjmů uvedených v § 4, dále osvobozeny</w:t>
            </w:r>
          </w:p>
          <w:p w14:paraId="28F35F8C" w14:textId="77777777" w:rsidR="000B4BD4" w:rsidRPr="0035187E" w:rsidRDefault="000B4BD4" w:rsidP="0035187E">
            <w:pPr>
              <w:widowControl w:val="0"/>
              <w:autoSpaceDE w:val="0"/>
              <w:autoSpaceDN w:val="0"/>
              <w:jc w:val="both"/>
              <w:outlineLvl w:val="7"/>
              <w:rPr>
                <w:rFonts w:ascii="Times New Roman" w:hAnsi="Times New Roman" w:cs="Times New Roman"/>
                <w:sz w:val="20"/>
                <w:szCs w:val="20"/>
                <w:lang w:bidi="cs-CZ"/>
              </w:rPr>
            </w:pPr>
            <w:r w:rsidRPr="0035187E">
              <w:rPr>
                <w:rFonts w:ascii="Times New Roman" w:hAnsi="Times New Roman" w:cs="Times New Roman"/>
                <w:sz w:val="20"/>
                <w:szCs w:val="20"/>
                <w:lang w:bidi="cs-CZ"/>
              </w:rPr>
              <w:t>d) nepeněžní plnění</w:t>
            </w:r>
            <w:r w:rsidRPr="0035187E">
              <w:rPr>
                <w:rFonts w:ascii="Times New Roman" w:hAnsi="Times New Roman" w:cs="Times New Roman"/>
                <w:b/>
                <w:bCs/>
                <w:strike/>
                <w:sz w:val="20"/>
                <w:szCs w:val="20"/>
                <w:lang w:bidi="cs-CZ"/>
              </w:rPr>
              <w:t>, která nejsou mzdou, platem, odměnou ani náhradou za ušlý příjem,</w:t>
            </w:r>
            <w:r w:rsidRPr="0035187E">
              <w:rPr>
                <w:rFonts w:ascii="Times New Roman" w:hAnsi="Times New Roman" w:cs="Times New Roman"/>
                <w:sz w:val="20"/>
                <w:szCs w:val="20"/>
                <w:lang w:bidi="cs-CZ"/>
              </w:rPr>
              <w:t xml:space="preserve"> poskytovaná zaměstnavatelem zaměstnanci nebo jeho rodinnému příslušníkovi z fondu kulturních a sociálních potřeb, ze sociálního fondu, ze zisku (příjmu) po jeho zdanění anebo na vrub výdajů (nákladů), které nejsou výdaji (náklady) na dosažení, zajištění a udržení příjmů, ve formě</w:t>
            </w:r>
          </w:p>
          <w:p w14:paraId="1BA55647" w14:textId="77777777" w:rsidR="000B4BD4" w:rsidRPr="0035187E" w:rsidRDefault="000B4BD4" w:rsidP="0035187E">
            <w:pPr>
              <w:widowControl w:val="0"/>
              <w:tabs>
                <w:tab w:val="left" w:pos="851"/>
              </w:tabs>
              <w:autoSpaceDE w:val="0"/>
              <w:autoSpaceDN w:val="0"/>
              <w:jc w:val="both"/>
              <w:outlineLvl w:val="8"/>
              <w:rPr>
                <w:rFonts w:ascii="Times New Roman" w:hAnsi="Times New Roman" w:cs="Times New Roman"/>
                <w:b/>
                <w:bCs/>
                <w:strike/>
                <w:sz w:val="20"/>
                <w:szCs w:val="20"/>
                <w:lang w:bidi="cs-CZ"/>
              </w:rPr>
            </w:pPr>
            <w:r w:rsidRPr="0035187E">
              <w:rPr>
                <w:rFonts w:ascii="Times New Roman" w:hAnsi="Times New Roman" w:cs="Times New Roman"/>
                <w:sz w:val="20"/>
                <w:szCs w:val="20"/>
                <w:lang w:bidi="cs-CZ"/>
              </w:rPr>
              <w:t>1.</w:t>
            </w:r>
            <w:r w:rsidRPr="0035187E">
              <w:rPr>
                <w:rFonts w:ascii="Times New Roman" w:hAnsi="Times New Roman" w:cs="Times New Roman"/>
                <w:sz w:val="20"/>
                <w:szCs w:val="20"/>
                <w:lang w:bidi="cs-CZ"/>
              </w:rPr>
              <w:tab/>
              <w:t xml:space="preserve">pořízení zboží nebo služeb zdravotního, léčebného, hygienického a obdobného charakteru od zdravotnických zařízení nebo pořízení zdravotnických prostředků na lékařský předpis; </w:t>
            </w:r>
            <w:r w:rsidRPr="0035187E">
              <w:rPr>
                <w:rFonts w:ascii="Times New Roman" w:hAnsi="Times New Roman" w:cs="Times New Roman"/>
                <w:b/>
                <w:bCs/>
                <w:sz w:val="20"/>
                <w:szCs w:val="20"/>
                <w:lang w:bidi="cs-CZ"/>
              </w:rPr>
              <w:t>tato plnění jsou osvobozena v úhrnu do výše průměrné mzdy za zdaňovací období, pokud jsou poskytována jako součást mzdy, platu nebo odměny; jsou-li poskytována jinak než jako mzda, plat, odměna nebo náhrada za ušlý příjem, může být jejich osvobození uplatněno i nad tuto výši,</w:t>
            </w:r>
            <w:r w:rsidRPr="0035187E" w:rsidDel="00C244B3">
              <w:rPr>
                <w:rFonts w:ascii="Times New Roman" w:hAnsi="Times New Roman" w:cs="Times New Roman"/>
                <w:b/>
                <w:bCs/>
                <w:sz w:val="20"/>
                <w:szCs w:val="20"/>
                <w:lang w:bidi="cs-CZ"/>
              </w:rPr>
              <w:t xml:space="preserve"> </w:t>
            </w:r>
            <w:r w:rsidRPr="0035187E">
              <w:rPr>
                <w:rFonts w:ascii="Times New Roman" w:hAnsi="Times New Roman" w:cs="Times New Roman"/>
                <w:b/>
                <w:bCs/>
                <w:strike/>
                <w:sz w:val="20"/>
                <w:szCs w:val="20"/>
                <w:lang w:bidi="cs-CZ"/>
              </w:rPr>
              <w:t>tato plnění jsou osvobozena v úhrnu do výše průměrné mzdy za zdaňovací období,</w:t>
            </w:r>
          </w:p>
          <w:p w14:paraId="30EBA228" w14:textId="77777777" w:rsidR="000B4BD4" w:rsidRPr="0035187E" w:rsidRDefault="000B4BD4" w:rsidP="0035187E">
            <w:pPr>
              <w:widowControl w:val="0"/>
              <w:tabs>
                <w:tab w:val="left" w:pos="851"/>
              </w:tabs>
              <w:autoSpaceDE w:val="0"/>
              <w:autoSpaceDN w:val="0"/>
              <w:jc w:val="both"/>
              <w:outlineLvl w:val="8"/>
              <w:rPr>
                <w:rFonts w:ascii="Times New Roman" w:hAnsi="Times New Roman" w:cs="Times New Roman"/>
                <w:sz w:val="20"/>
                <w:szCs w:val="20"/>
                <w:lang w:bidi="cs-CZ"/>
              </w:rPr>
            </w:pPr>
            <w:r w:rsidRPr="0035187E">
              <w:rPr>
                <w:rFonts w:ascii="Times New Roman" w:hAnsi="Times New Roman" w:cs="Times New Roman"/>
                <w:sz w:val="20"/>
                <w:szCs w:val="20"/>
                <w:lang w:bidi="cs-CZ"/>
              </w:rPr>
              <w:lastRenderedPageBreak/>
              <w:t>2.</w:t>
            </w:r>
            <w:r w:rsidRPr="0035187E">
              <w:rPr>
                <w:rFonts w:ascii="Times New Roman" w:hAnsi="Times New Roman" w:cs="Times New Roman"/>
                <w:sz w:val="20"/>
                <w:szCs w:val="20"/>
                <w:lang w:bidi="cs-CZ"/>
              </w:rPr>
              <w:tab/>
              <w:t xml:space="preserve">použití vzdělávacích nebo rekreačních zařízení, </w:t>
            </w:r>
            <w:r w:rsidRPr="0035187E">
              <w:rPr>
                <w:rFonts w:ascii="Times New Roman" w:hAnsi="Times New Roman" w:cs="Times New Roman"/>
                <w:strike/>
                <w:sz w:val="20"/>
                <w:szCs w:val="20"/>
                <w:lang w:bidi="cs-CZ"/>
              </w:rPr>
              <w:t>poskytnutí rekreace nebo zájezdu,</w:t>
            </w:r>
            <w:r w:rsidRPr="0035187E">
              <w:rPr>
                <w:rFonts w:ascii="Times New Roman" w:hAnsi="Times New Roman" w:cs="Times New Roman"/>
                <w:sz w:val="20"/>
                <w:szCs w:val="20"/>
                <w:lang w:bidi="cs-CZ"/>
              </w:rPr>
              <w:t xml:space="preserve"> použití zařízení péče o děti předškolního věku včetně mateřské školy podle školského zákona, knihovny zaměstnavatele nebo tělovýchovných a sportovních zařízení</w:t>
            </w:r>
            <w:r w:rsidRPr="0035187E">
              <w:rPr>
                <w:rFonts w:ascii="Times New Roman" w:hAnsi="Times New Roman" w:cs="Times New Roman"/>
                <w:b/>
                <w:bCs/>
                <w:sz w:val="20"/>
                <w:szCs w:val="20"/>
                <w:lang w:bidi="cs-CZ"/>
              </w:rPr>
              <w:t>, účasti  na společenské akci, včetně té s kulturním nebo sportovním prvkem, pořádané zaměstnavatelem pro omezený okruh účastníků</w:t>
            </w:r>
            <w:r w:rsidRPr="0035187E">
              <w:rPr>
                <w:rFonts w:ascii="Times New Roman" w:hAnsi="Times New Roman" w:cs="Times New Roman"/>
                <w:sz w:val="20"/>
                <w:szCs w:val="20"/>
                <w:lang w:bidi="cs-CZ"/>
              </w:rPr>
              <w:t xml:space="preserve"> nebo poskytnutí příspěvku na kulturní nebo sportovní akce nebo příspěvku na tištěné knihy, včetně obrázkových knih pro děti, mimo knih, ve kterých reklama přesahuje 50 % plochy; </w:t>
            </w:r>
            <w:r w:rsidRPr="0035187E">
              <w:rPr>
                <w:rFonts w:ascii="Times New Roman" w:hAnsi="Times New Roman" w:cs="Times New Roman"/>
                <w:strike/>
                <w:sz w:val="20"/>
                <w:szCs w:val="20"/>
                <w:lang w:bidi="cs-CZ"/>
              </w:rPr>
              <w:t>tato plnění jsou osvobozena v úhrnu do výše poloviny průměrné mzdy za zdaňovací období</w:t>
            </w:r>
            <w:r w:rsidRPr="0035187E">
              <w:rPr>
                <w:rFonts w:ascii="Times New Roman" w:hAnsi="Times New Roman" w:cs="Times New Roman"/>
                <w:b/>
                <w:bCs/>
                <w:sz w:val="20"/>
                <w:szCs w:val="20"/>
                <w:lang w:bidi="cs-CZ"/>
              </w:rPr>
              <w:t xml:space="preserve"> plnění ve formě účasti  na společenské akci, včetně té s kulturním nebo sportovním prvkem, pořádané zaměstnavatelem pro omezený okruh účastníků</w:t>
            </w:r>
            <w:r w:rsidRPr="0035187E">
              <w:rPr>
                <w:rFonts w:ascii="Times New Roman" w:hAnsi="Times New Roman" w:cs="Times New Roman"/>
                <w:sz w:val="20"/>
                <w:szCs w:val="20"/>
                <w:lang w:bidi="cs-CZ"/>
              </w:rPr>
              <w:t xml:space="preserve"> </w:t>
            </w:r>
            <w:r w:rsidRPr="0035187E">
              <w:rPr>
                <w:rFonts w:ascii="Times New Roman" w:hAnsi="Times New Roman" w:cs="Times New Roman"/>
                <w:b/>
                <w:bCs/>
                <w:sz w:val="20"/>
                <w:szCs w:val="20"/>
                <w:lang w:bidi="cs-CZ"/>
              </w:rPr>
              <w:t>nebo poskytnutí příspěvku na kulturní nebo sportovní akce jsou osvobozena pouze tehdy, pokud vzhledem k jejich povaze je jejich poskytování zaměstnavateli obvyklé a jejich forma a rozsah jsou přiměřené</w:t>
            </w:r>
            <w:r w:rsidRPr="0035187E">
              <w:rPr>
                <w:rFonts w:ascii="Times New Roman" w:hAnsi="Times New Roman" w:cs="Times New Roman"/>
                <w:sz w:val="20"/>
                <w:szCs w:val="20"/>
                <w:lang w:bidi="cs-CZ"/>
              </w:rPr>
              <w:t>,</w:t>
            </w:r>
          </w:p>
          <w:p w14:paraId="5AB8B37E" w14:textId="77777777" w:rsidR="000B4BD4" w:rsidRPr="0035187E" w:rsidRDefault="000B4BD4" w:rsidP="0035187E">
            <w:pPr>
              <w:widowControl w:val="0"/>
              <w:tabs>
                <w:tab w:val="left" w:pos="851"/>
              </w:tabs>
              <w:autoSpaceDE w:val="0"/>
              <w:autoSpaceDN w:val="0"/>
              <w:jc w:val="both"/>
              <w:outlineLvl w:val="8"/>
              <w:rPr>
                <w:rFonts w:ascii="Times New Roman" w:hAnsi="Times New Roman" w:cs="Times New Roman"/>
                <w:b/>
                <w:bCs/>
                <w:sz w:val="20"/>
                <w:szCs w:val="20"/>
                <w:lang w:bidi="cs-CZ"/>
              </w:rPr>
            </w:pPr>
            <w:r w:rsidRPr="0035187E">
              <w:rPr>
                <w:rFonts w:ascii="Times New Roman" w:hAnsi="Times New Roman" w:cs="Times New Roman"/>
                <w:b/>
                <w:bCs/>
                <w:sz w:val="20"/>
                <w:szCs w:val="20"/>
                <w:lang w:bidi="cs-CZ"/>
              </w:rPr>
              <w:t>3.</w:t>
            </w:r>
            <w:r w:rsidRPr="0035187E">
              <w:rPr>
                <w:rFonts w:ascii="Times New Roman" w:hAnsi="Times New Roman" w:cs="Times New Roman"/>
                <w:b/>
                <w:bCs/>
                <w:sz w:val="20"/>
                <w:szCs w:val="20"/>
                <w:lang w:bidi="cs-CZ"/>
              </w:rPr>
              <w:tab/>
              <w:t>poskytnutí rekreace nebo zájezdu; tato plnění jsou osvobozena v úhrnu do výše 20 000 Kč za zdaňovací období,</w:t>
            </w:r>
          </w:p>
          <w:p w14:paraId="7ACAD63E" w14:textId="77777777" w:rsidR="000B4BD4" w:rsidRPr="0035187E" w:rsidRDefault="000B4BD4" w:rsidP="0035187E">
            <w:pPr>
              <w:widowControl w:val="0"/>
              <w:tabs>
                <w:tab w:val="left" w:pos="851"/>
              </w:tabs>
              <w:autoSpaceDE w:val="0"/>
              <w:autoSpaceDN w:val="0"/>
              <w:jc w:val="both"/>
              <w:outlineLvl w:val="8"/>
              <w:rPr>
                <w:rFonts w:ascii="Times New Roman" w:hAnsi="Times New Roman" w:cs="Times New Roman"/>
                <w:b/>
                <w:bCs/>
                <w:sz w:val="20"/>
                <w:szCs w:val="20"/>
                <w:lang w:bidi="cs-CZ"/>
              </w:rPr>
            </w:pPr>
            <w:r w:rsidRPr="0035187E">
              <w:rPr>
                <w:rFonts w:ascii="Times New Roman" w:hAnsi="Times New Roman" w:cs="Times New Roman"/>
                <w:b/>
                <w:bCs/>
                <w:sz w:val="20"/>
                <w:szCs w:val="20"/>
                <w:lang w:bidi="cs-CZ"/>
              </w:rPr>
              <w:t>4.</w:t>
            </w:r>
            <w:r w:rsidRPr="0035187E">
              <w:rPr>
                <w:rFonts w:ascii="Times New Roman" w:hAnsi="Times New Roman" w:cs="Times New Roman"/>
                <w:b/>
                <w:bCs/>
                <w:sz w:val="20"/>
                <w:szCs w:val="20"/>
                <w:lang w:bidi="cs-CZ"/>
              </w:rPr>
              <w:tab/>
              <w:t>poskytnutí příspěvku na osobní asistenci, pečovatelskou službu, tísňovou péči, odlehčovací službu, ranou péči nebo službu centra denních služeb nebo denního stacionáře, pokud jsou poskytovány jako služby komunitního charakteru a na základě oprávnění podle zákona upravujícího sociální služby,</w:t>
            </w:r>
          </w:p>
          <w:p w14:paraId="5289F0D3" w14:textId="77777777" w:rsidR="000B4BD4" w:rsidRPr="0035187E" w:rsidRDefault="000B4BD4" w:rsidP="0035187E">
            <w:pPr>
              <w:widowControl w:val="0"/>
              <w:tabs>
                <w:tab w:val="left" w:pos="851"/>
              </w:tabs>
              <w:autoSpaceDE w:val="0"/>
              <w:autoSpaceDN w:val="0"/>
              <w:jc w:val="both"/>
              <w:outlineLvl w:val="8"/>
              <w:rPr>
                <w:rFonts w:ascii="Times New Roman" w:hAnsi="Times New Roman" w:cs="Times New Roman"/>
                <w:b/>
                <w:bCs/>
                <w:sz w:val="20"/>
                <w:szCs w:val="20"/>
                <w:lang w:bidi="cs-CZ"/>
              </w:rPr>
            </w:pPr>
            <w:r w:rsidRPr="0035187E">
              <w:rPr>
                <w:rFonts w:ascii="Times New Roman" w:hAnsi="Times New Roman" w:cs="Times New Roman"/>
                <w:b/>
                <w:bCs/>
                <w:sz w:val="20"/>
                <w:szCs w:val="20"/>
                <w:lang w:bidi="cs-CZ"/>
              </w:rPr>
              <w:t>Plnění podle bodů 2 až 4 jsou osvobozena pouze tehdy, pokud nejsou poskytována jako mzda, plat, odměna ani náhrada za ušlý příjem.</w:t>
            </w:r>
          </w:p>
          <w:p w14:paraId="10E8A280"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lang w:bidi="cs-CZ"/>
              </w:rPr>
            </w:pPr>
          </w:p>
          <w:p w14:paraId="47AEC5CB"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u w:val="single"/>
                <w:lang w:bidi="cs-CZ"/>
              </w:rPr>
            </w:pPr>
            <w:r w:rsidRPr="0035187E">
              <w:rPr>
                <w:rFonts w:ascii="Times New Roman" w:eastAsia="Calibri" w:hAnsi="Times New Roman" w:cs="Times New Roman"/>
                <w:sz w:val="20"/>
                <w:szCs w:val="20"/>
                <w:u w:val="single"/>
                <w:lang w:bidi="cs-CZ"/>
              </w:rPr>
              <w:t>Odůvodnění:</w:t>
            </w:r>
          </w:p>
          <w:p w14:paraId="16E6C68E"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lang w:bidi="cs-CZ"/>
              </w:rPr>
            </w:pPr>
            <w:r w:rsidRPr="0035187E">
              <w:rPr>
                <w:rFonts w:ascii="Times New Roman" w:eastAsia="Calibri" w:hAnsi="Times New Roman" w:cs="Times New Roman"/>
                <w:sz w:val="20"/>
                <w:szCs w:val="20"/>
                <w:lang w:bidi="cs-CZ"/>
              </w:rPr>
              <w:t xml:space="preserve">Navrhujeme, aby vedle zrušení limitu u zdravotních benefitů vznikla možnost jejich financování z mezd nebo platu, způsobem, který je obdobný tomu, který byl možný před 1. 1. 2026. Nově by však tato možnost existovala pouze v omezené míře a byla </w:t>
            </w:r>
            <w:proofErr w:type="spellStart"/>
            <w:r w:rsidRPr="0035187E">
              <w:rPr>
                <w:rFonts w:ascii="Times New Roman" w:eastAsia="Calibri" w:hAnsi="Times New Roman" w:cs="Times New Roman"/>
                <w:sz w:val="20"/>
                <w:szCs w:val="20"/>
                <w:lang w:bidi="cs-CZ"/>
              </w:rPr>
              <w:t>zastropována</w:t>
            </w:r>
            <w:proofErr w:type="spellEnd"/>
            <w:r w:rsidRPr="0035187E">
              <w:rPr>
                <w:rFonts w:ascii="Times New Roman" w:eastAsia="Calibri" w:hAnsi="Times New Roman" w:cs="Times New Roman"/>
                <w:sz w:val="20"/>
                <w:szCs w:val="20"/>
                <w:lang w:bidi="cs-CZ"/>
              </w:rPr>
              <w:t xml:space="preserve"> výší jedné průměrné mzdy ročně. Zaměstnanec by se mohl dobrovolně vzdát části své peněžní mzdy, platu nebo bonusu ve prospěch nepeněžního zdravotního benefitu, který by byl za splnění zákonných podmínek osvobozen od daně z příjmů. Limit by zároveň představoval garanci, že nedojde ke zneužívání této možnosti jako náhrady za mzdu nebo její navýšení.  </w:t>
            </w:r>
          </w:p>
          <w:p w14:paraId="2E5BE5D7"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lang w:bidi="cs-CZ"/>
              </w:rPr>
            </w:pPr>
            <w:r w:rsidRPr="0035187E">
              <w:rPr>
                <w:rFonts w:ascii="Times New Roman" w:eastAsia="Calibri" w:hAnsi="Times New Roman" w:cs="Times New Roman"/>
                <w:sz w:val="20"/>
                <w:szCs w:val="20"/>
                <w:lang w:bidi="cs-CZ"/>
              </w:rPr>
              <w:t xml:space="preserve">Navrhovaná úprava reflektuje potřebu flexibility při financování péče o zdraví zaměstnanců. Současná praxe ukazuje, že mnoho zákroků (např. v zubní oblasti jako rovnátka nebo zubní implantáty, případně plně nehrazené zdravotní prostředky či služby), není předem </w:t>
            </w:r>
            <w:proofErr w:type="spellStart"/>
            <w:r w:rsidRPr="0035187E">
              <w:rPr>
                <w:rFonts w:ascii="Times New Roman" w:eastAsia="Calibri" w:hAnsi="Times New Roman" w:cs="Times New Roman"/>
                <w:sz w:val="20"/>
                <w:szCs w:val="20"/>
                <w:lang w:bidi="cs-CZ"/>
              </w:rPr>
              <w:t>naplánovatelných</w:t>
            </w:r>
            <w:proofErr w:type="spellEnd"/>
            <w:r w:rsidRPr="0035187E">
              <w:rPr>
                <w:rFonts w:ascii="Times New Roman" w:eastAsia="Calibri" w:hAnsi="Times New Roman" w:cs="Times New Roman"/>
                <w:sz w:val="20"/>
                <w:szCs w:val="20"/>
                <w:lang w:bidi="cs-CZ"/>
              </w:rPr>
              <w:t xml:space="preserve"> a zaměstnanec na ně potřebuje prostředky v konkrétním čase a případě. Proto by měla být zaměstnancům a zaměstnavatelům dána možnost dohodnout se, že část jejich finanční odměny, mzdy nebo platu bude nahrazena daňově zvýhodněným zdravotním benefitem. Tento nástroj umožní zaměstnancům řešit zdravotní potíže bez odkladu, což nejen zvyšuje jejich pracovní schopnost, ale v konečném důsledku generuje úspory v systému veřejného zdravotního pojištění díky preferenci včasné prevence a léčby. </w:t>
            </w:r>
          </w:p>
          <w:p w14:paraId="168D420C" w14:textId="77777777" w:rsidR="000B4BD4" w:rsidRPr="0035187E" w:rsidRDefault="000B4BD4" w:rsidP="0035187E">
            <w:pPr>
              <w:widowControl w:val="0"/>
              <w:autoSpaceDE w:val="0"/>
              <w:autoSpaceDN w:val="0"/>
              <w:jc w:val="both"/>
              <w:rPr>
                <w:rFonts w:ascii="Times New Roman" w:eastAsia="Calibri" w:hAnsi="Times New Roman" w:cs="Times New Roman"/>
                <w:sz w:val="20"/>
                <w:szCs w:val="20"/>
                <w:lang w:bidi="cs-CZ"/>
              </w:rPr>
            </w:pPr>
            <w:r w:rsidRPr="0035187E">
              <w:rPr>
                <w:rFonts w:ascii="Times New Roman" w:eastAsia="Calibri" w:hAnsi="Times New Roman" w:cs="Times New Roman"/>
                <w:sz w:val="20"/>
                <w:szCs w:val="20"/>
                <w:lang w:bidi="cs-CZ"/>
              </w:rPr>
              <w:t xml:space="preserve">Nástroj de facto představuje umožnění dobrovolné spoluúčasti zaměstnance na financování vlastního zdraví prostřednictvím daňově zvýhodněného režimu. To reflektuje dlouhodobý cíl dostat do zdravotnictví více soukromých prostředků v situaci, kdy jsou prostředky ve veřejném zdravotním pojištění na dlouhodobě špatné úrovni. Současně se jedná </w:t>
            </w:r>
            <w:r w:rsidRPr="0035187E">
              <w:rPr>
                <w:rFonts w:ascii="Times New Roman" w:eastAsia="Calibri" w:hAnsi="Times New Roman" w:cs="Times New Roman"/>
                <w:sz w:val="20"/>
                <w:szCs w:val="20"/>
                <w:lang w:bidi="cs-CZ"/>
              </w:rPr>
              <w:lastRenderedPageBreak/>
              <w:t>o formu sdílené odpovědnosti – zaměstnanec se vědomě vzdává části své mzdy ve prospěch zdravotního plnění. Nejde tedy o jednostranné zvýhodnění.</w:t>
            </w:r>
          </w:p>
          <w:p w14:paraId="47CC97A7" w14:textId="442B9123" w:rsidR="000B4BD4" w:rsidRPr="0035187E" w:rsidRDefault="000B4BD4" w:rsidP="0035187E">
            <w:pPr>
              <w:widowControl w:val="0"/>
              <w:autoSpaceDE w:val="0"/>
              <w:autoSpaceDN w:val="0"/>
              <w:jc w:val="both"/>
              <w:rPr>
                <w:rFonts w:ascii="Times New Roman" w:eastAsia="Calibri" w:hAnsi="Times New Roman" w:cs="Times New Roman"/>
                <w:b/>
                <w:sz w:val="20"/>
                <w:szCs w:val="20"/>
                <w:u w:val="single"/>
                <w:lang w:bidi="cs-CZ"/>
              </w:rPr>
            </w:pPr>
            <w:r w:rsidRPr="0035187E">
              <w:rPr>
                <w:rFonts w:ascii="Times New Roman" w:eastAsia="Calibri" w:hAnsi="Times New Roman" w:cs="Times New Roman"/>
                <w:sz w:val="20"/>
                <w:szCs w:val="20"/>
                <w:lang w:bidi="cs-CZ"/>
              </w:rPr>
              <w:t>Stanovený limit zároveň minimalizuje riziko fiskálních dopadů a systémového zneužívání. Přeměna části mzdy na osvobozený benefit sice představuje nižší inkaso daně z příjmů a pojistného, avšak jedná se také o daňově neuznatelný náklad na straně zaměstnavatele, což tento výpadek částečně kompenzuje. Zároveň však opatření má sloužit k nižší nemocnosti a čerpání zdravotní péče, čímž by z dlouhodobého hlediska mělo dojít i ke snížení tlaku na výdaje z veřejného zdravotního pojištění.</w:t>
            </w:r>
          </w:p>
        </w:tc>
        <w:tc>
          <w:tcPr>
            <w:tcW w:w="1453" w:type="pct"/>
            <w:tcBorders>
              <w:top w:val="single" w:sz="4" w:space="0" w:color="auto"/>
              <w:left w:val="single" w:sz="4" w:space="0" w:color="auto"/>
              <w:right w:val="single" w:sz="4" w:space="0" w:color="auto"/>
            </w:tcBorders>
            <w:shd w:val="clear" w:color="auto" w:fill="auto"/>
          </w:tcPr>
          <w:p w14:paraId="5761CDB2" w14:textId="3AF0FE8E" w:rsidR="000B4BD4" w:rsidRPr="0035187E" w:rsidRDefault="000B4BD4" w:rsidP="0035187E">
            <w:pPr>
              <w:jc w:val="both"/>
              <w:rPr>
                <w:rFonts w:ascii="Times New Roman" w:hAnsi="Times New Roman" w:cs="Times New Roman"/>
                <w:iCs/>
                <w:sz w:val="20"/>
                <w:szCs w:val="20"/>
              </w:rPr>
            </w:pPr>
            <w:r w:rsidRPr="0035187E">
              <w:rPr>
                <w:rFonts w:ascii="Times New Roman" w:hAnsi="Times New Roman" w:cs="Times New Roman"/>
                <w:b/>
                <w:iCs/>
                <w:sz w:val="20"/>
                <w:szCs w:val="20"/>
              </w:rPr>
              <w:lastRenderedPageBreak/>
              <w:t>Nevyhověno.</w:t>
            </w:r>
            <w:r w:rsidR="003240A0">
              <w:rPr>
                <w:rFonts w:ascii="Times New Roman" w:hAnsi="Times New Roman" w:cs="Times New Roman"/>
                <w:b/>
                <w:iCs/>
                <w:sz w:val="20"/>
                <w:szCs w:val="20"/>
              </w:rPr>
              <w:t xml:space="preserve"> </w:t>
            </w:r>
            <w:r w:rsidR="003240A0" w:rsidRPr="003240A0">
              <w:rPr>
                <w:rFonts w:ascii="Times New Roman" w:hAnsi="Times New Roman" w:cs="Times New Roman"/>
                <w:b/>
                <w:iCs/>
                <w:color w:val="FF0000"/>
                <w:sz w:val="20"/>
                <w:szCs w:val="20"/>
              </w:rPr>
              <w:t>ROZPOR</w:t>
            </w:r>
          </w:p>
          <w:p w14:paraId="187A5570" w14:textId="311B23AB" w:rsidR="000B4BD4" w:rsidRPr="0035187E" w:rsidRDefault="000B4BD4"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Zachování limitu pro zdravotní benefity je věcně opodstatněné. Zatímco volnočasové benefity mají převážně společenský nebo relaxační charakter a jejich hodnotové limity nemají přímý vliv na prevenci nemocí ani udržení pracovní schopnosti, zdravotní benefity přímo podporují zdraví zaměstnanců, prevenci nemocí a přispívají k dlouhodobé pracovní výkonnosti.</w:t>
            </w:r>
          </w:p>
          <w:p w14:paraId="48412E77" w14:textId="79342352" w:rsidR="000B4BD4" w:rsidRPr="0035187E" w:rsidRDefault="000B4BD4"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Zrušení limitu by mohlo vést k jejich zneužívání pro daňovou optimalizaci, kdy by výhody přesahující skutečné zdravotní potřeby zaměstnanců byly osvobozeny od daně, aniž by přinášely reálný zdravotní prospěch. Zachování limitu proto umožňuje cílené a efektivní využití těchto benefitů s pozitivním dopadem jak pro zaměstnance, tak pro veřejný zdravotní systém.</w:t>
            </w:r>
          </w:p>
          <w:p w14:paraId="2FC5300A" w14:textId="603BF693" w:rsidR="000B4BD4" w:rsidRPr="0035187E" w:rsidRDefault="000B4BD4"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 xml:space="preserve">Uplatnění navrhovaného mechanismu převodu části mzdy na zdravotní benefity by znamenalo zásadní změnu koncepce zaměstnaneckých benefitů a jejich vztahu ke mzdě. Tento postup by vedl k výpadku daňových a pojistných příjmů veřejných rozpočtů, zvýšil by administrativní zátěž zaměstnavatelů i správy daně a zároveň by mohl vytvářet nerovnosti mezi zaměstnanci, kdy by zaměstnanci s vyššími příjmy </w:t>
            </w:r>
            <w:r w:rsidRPr="0035187E">
              <w:rPr>
                <w:rFonts w:ascii="Times New Roman" w:hAnsi="Times New Roman" w:cs="Times New Roman"/>
                <w:iCs/>
                <w:sz w:val="20"/>
                <w:szCs w:val="20"/>
              </w:rPr>
              <w:lastRenderedPageBreak/>
              <w:t>mohli získat výrazně větší daňové zvýhodnění než zaměstnanci s nižšími příjmy. Nelze rovněž vyloučit nepřímý tlak na zaměstnance k převodu části mzdy, čímž by byla ohrožena princip dobrovolnosti.</w:t>
            </w:r>
          </w:p>
          <w:p w14:paraId="7507CD0F" w14:textId="776F53EB" w:rsidR="000B4BD4" w:rsidRPr="0035187E" w:rsidRDefault="000B4BD4"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Dalším rizikem je narušení základního principu odměňování za práci. Podle pracovněprávní úpravy náleží zaměstnanci za vykonanou práci mzda, plat nebo odměna, které podléhají zdanění a odvodům na pojistné. Zaměstnanecké benefity představují plnění poskytovaná nad rámec mzdy jako nenároková, bez přímé vazby na výkon práce. Systematický převod mzdy do benefitů by tento rozdíl stíral a mohl by vést k nežádoucím dopadům, například ke snížení započitatelných příjmů pro důchodové či nemocenské pojištění.</w:t>
            </w:r>
          </w:p>
          <w:p w14:paraId="4752B727" w14:textId="77777777" w:rsidR="000B4BD4" w:rsidRPr="0035187E" w:rsidRDefault="000B4BD4"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 xml:space="preserve">Současná úprava daňového osvobození benefitů v § 6 odst. 9 písm. d) zákona o daních z příjmů tak potvrzuje záměr zákonodárce, že osvobození se vztahuje pouze na </w:t>
            </w:r>
            <w:proofErr w:type="spellStart"/>
            <w:r w:rsidRPr="0035187E">
              <w:rPr>
                <w:rFonts w:ascii="Times New Roman" w:hAnsi="Times New Roman" w:cs="Times New Roman"/>
                <w:iCs/>
                <w:sz w:val="20"/>
                <w:szCs w:val="20"/>
              </w:rPr>
              <w:t>mimomzdová</w:t>
            </w:r>
            <w:proofErr w:type="spellEnd"/>
            <w:r w:rsidRPr="0035187E">
              <w:rPr>
                <w:rFonts w:ascii="Times New Roman" w:hAnsi="Times New Roman" w:cs="Times New Roman"/>
                <w:iCs/>
                <w:sz w:val="20"/>
                <w:szCs w:val="20"/>
              </w:rPr>
              <w:t>, nenároková plnění poskytovaná nad rámec odměny za práci, nikoli na plnění nahrazující mzdu či její část. Přijetí navrhované úpravy by mohlo narušit spravedlivý a vyvážený systém zdanění příjmů ze závislé činnosti, zvýšit možnost daňové optimalizace a oslabit transparentnost odměňování.</w:t>
            </w:r>
          </w:p>
          <w:p w14:paraId="757CD560" w14:textId="77777777" w:rsidR="00F175F2" w:rsidRPr="0035187E" w:rsidRDefault="00F175F2" w:rsidP="0035187E">
            <w:pPr>
              <w:jc w:val="both"/>
              <w:rPr>
                <w:rFonts w:ascii="Times New Roman" w:hAnsi="Times New Roman" w:cs="Times New Roman"/>
                <w:iCs/>
                <w:sz w:val="20"/>
                <w:szCs w:val="20"/>
              </w:rPr>
            </w:pPr>
          </w:p>
          <w:p w14:paraId="6A956FBE" w14:textId="397936FF" w:rsidR="00F175F2" w:rsidRPr="0035187E" w:rsidRDefault="00F175F2" w:rsidP="0035187E">
            <w:pPr>
              <w:jc w:val="both"/>
              <w:rPr>
                <w:rFonts w:ascii="Times New Roman" w:hAnsi="Times New Roman" w:cs="Times New Roman"/>
                <w:i/>
                <w:sz w:val="20"/>
                <w:szCs w:val="20"/>
              </w:rPr>
            </w:pPr>
            <w:r w:rsidRPr="0035187E">
              <w:rPr>
                <w:rFonts w:ascii="Times New Roman" w:hAnsi="Times New Roman" w:cs="Times New Roman"/>
                <w:i/>
                <w:sz w:val="20"/>
                <w:szCs w:val="20"/>
              </w:rPr>
              <w:t xml:space="preserve">Vyjádření připomínkového </w:t>
            </w:r>
            <w:r w:rsidR="00CD58DF" w:rsidRPr="0035187E">
              <w:rPr>
                <w:rFonts w:ascii="Times New Roman" w:hAnsi="Times New Roman" w:cs="Times New Roman"/>
                <w:i/>
                <w:sz w:val="20"/>
                <w:szCs w:val="20"/>
              </w:rPr>
              <w:t xml:space="preserve">místa </w:t>
            </w:r>
            <w:r w:rsidR="00B95535" w:rsidRPr="0035187E">
              <w:rPr>
                <w:rFonts w:ascii="Times New Roman" w:hAnsi="Times New Roman" w:cs="Times New Roman"/>
                <w:i/>
                <w:sz w:val="20"/>
                <w:szCs w:val="20"/>
              </w:rPr>
              <w:t>k písemnému vypořádání</w:t>
            </w:r>
            <w:r w:rsidRPr="0035187E">
              <w:rPr>
                <w:rFonts w:ascii="Times New Roman" w:hAnsi="Times New Roman" w:cs="Times New Roman"/>
                <w:i/>
                <w:sz w:val="20"/>
                <w:szCs w:val="20"/>
              </w:rPr>
              <w:t>:</w:t>
            </w:r>
            <w:r w:rsidRPr="0035187E">
              <w:rPr>
                <w:rFonts w:ascii="Times New Roman" w:hAnsi="Times New Roman" w:cs="Times New Roman"/>
                <w:iCs/>
                <w:sz w:val="20"/>
                <w:szCs w:val="20"/>
              </w:rPr>
              <w:t xml:space="preserve"> </w:t>
            </w:r>
            <w:r w:rsidRPr="0035187E">
              <w:rPr>
                <w:rFonts w:ascii="Times New Roman" w:hAnsi="Times New Roman" w:cs="Times New Roman"/>
                <w:i/>
                <w:sz w:val="20"/>
                <w:szCs w:val="20"/>
              </w:rPr>
              <w:t>S vypořádáním nesouhlasíme.</w:t>
            </w:r>
          </w:p>
          <w:p w14:paraId="6FFCD16F" w14:textId="7C9C99DC" w:rsidR="00F175F2" w:rsidRPr="0035187E" w:rsidRDefault="00F175F2" w:rsidP="0035187E">
            <w:pPr>
              <w:jc w:val="both"/>
              <w:rPr>
                <w:rFonts w:ascii="Times New Roman" w:hAnsi="Times New Roman" w:cs="Times New Roman"/>
                <w:i/>
                <w:sz w:val="20"/>
                <w:szCs w:val="20"/>
              </w:rPr>
            </w:pPr>
            <w:r w:rsidRPr="0035187E">
              <w:rPr>
                <w:rFonts w:ascii="Times New Roman" w:hAnsi="Times New Roman" w:cs="Times New Roman"/>
                <w:i/>
                <w:sz w:val="20"/>
                <w:szCs w:val="20"/>
              </w:rPr>
              <w:t xml:space="preserve">Pokud jde o zrušení limitu na zdravotní benefity, nevidíme důvod pro to, aby byly zaměstnanecké benefity podle §6 odst. 9 písm. d) zákona o daních z příjmů odlišovány hodnotovým limitem od ostatních benefitů, které mají být osvobozeny neomezeně. Nota </w:t>
            </w:r>
            <w:proofErr w:type="gramStart"/>
            <w:r w:rsidRPr="0035187E">
              <w:rPr>
                <w:rFonts w:ascii="Times New Roman" w:hAnsi="Times New Roman" w:cs="Times New Roman"/>
                <w:i/>
                <w:sz w:val="20"/>
                <w:szCs w:val="20"/>
              </w:rPr>
              <w:t>bene</w:t>
            </w:r>
            <w:proofErr w:type="gramEnd"/>
            <w:r w:rsidRPr="0035187E">
              <w:rPr>
                <w:rFonts w:ascii="Times New Roman" w:hAnsi="Times New Roman" w:cs="Times New Roman"/>
                <w:i/>
                <w:sz w:val="20"/>
                <w:szCs w:val="20"/>
              </w:rPr>
              <w:t xml:space="preserve"> pokud zdravotní benefity byly dosud zvýhodněny vyšším hodnotovým limitem, což vyjadřovalo podporu péče o zdraví zaměstnanců. Z odůvodnění vypořádání se zdá, že předkladatel pokládá příspěvky na sport, kulturu, vzdělání za </w:t>
            </w:r>
            <w:proofErr w:type="gramStart"/>
            <w:r w:rsidRPr="0035187E">
              <w:rPr>
                <w:rFonts w:ascii="Times New Roman" w:hAnsi="Times New Roman" w:cs="Times New Roman"/>
                <w:i/>
                <w:sz w:val="20"/>
                <w:szCs w:val="20"/>
              </w:rPr>
              <w:t>hodnotnější,</w:t>
            </w:r>
            <w:proofErr w:type="gramEnd"/>
            <w:r w:rsidRPr="0035187E">
              <w:rPr>
                <w:rFonts w:ascii="Times New Roman" w:hAnsi="Times New Roman" w:cs="Times New Roman"/>
                <w:i/>
                <w:sz w:val="20"/>
                <w:szCs w:val="20"/>
              </w:rPr>
              <w:t xml:space="preserve"> než příspěvky na zdraví. S tímto hodnocením nesouzníme. Zároveň poukazujeme na to, že premiér ČR na jednání Rady hospodářské a sociální dohody ČR jednoznačně přislíbil, že současné hodnotové limity budou odstraněny i u zdravotních benefitů. V neposlední řadě je argument </w:t>
            </w:r>
            <w:r w:rsidRPr="0035187E">
              <w:rPr>
                <w:rFonts w:ascii="Times New Roman" w:hAnsi="Times New Roman" w:cs="Times New Roman"/>
                <w:i/>
                <w:sz w:val="20"/>
                <w:szCs w:val="20"/>
              </w:rPr>
              <w:lastRenderedPageBreak/>
              <w:t>o tom, že by byly poskytovány benefity přesahující skutečné zdravotní potřeby zaměstnanců nebo jejich rodin nepodložený čísly a vysoce spekulativní.</w:t>
            </w:r>
          </w:p>
          <w:p w14:paraId="5E4DD040" w14:textId="1EC77A65" w:rsidR="00F175F2" w:rsidRPr="0035187E" w:rsidRDefault="00F175F2" w:rsidP="0035187E">
            <w:pPr>
              <w:jc w:val="both"/>
              <w:rPr>
                <w:rFonts w:ascii="Times New Roman" w:hAnsi="Times New Roman" w:cs="Times New Roman"/>
                <w:i/>
                <w:sz w:val="20"/>
                <w:szCs w:val="20"/>
              </w:rPr>
            </w:pPr>
            <w:r w:rsidRPr="0035187E">
              <w:rPr>
                <w:rFonts w:ascii="Times New Roman" w:hAnsi="Times New Roman" w:cs="Times New Roman"/>
                <w:i/>
                <w:sz w:val="20"/>
                <w:szCs w:val="20"/>
              </w:rPr>
              <w:t>K dalším našim návrhům doplňujeme, že navrhovaná úprava v pracovněprávním režimu vylepšuje postavení zaměstnanců, protože plnění poskytovaná jako součást mzdy by se i nadále zahrnovala do všech pracovněprávních průměrů. Nedochází ani k narušení konceptu odměňování za práci. Právě naopak, benefity poskytované jako součást mzdy by se promítaly v pracovněprávních průměrech, náhradách mezd nebo odstupném.</w:t>
            </w:r>
          </w:p>
          <w:p w14:paraId="0EE2AB8D" w14:textId="04BBBF8E" w:rsidR="00B95535" w:rsidRPr="0035187E" w:rsidRDefault="00F175F2" w:rsidP="003240A0">
            <w:pPr>
              <w:jc w:val="both"/>
              <w:rPr>
                <w:rFonts w:ascii="Times New Roman" w:hAnsi="Times New Roman" w:cs="Times New Roman"/>
                <w:b/>
                <w:bCs/>
                <w:iCs/>
                <w:sz w:val="20"/>
                <w:szCs w:val="20"/>
              </w:rPr>
            </w:pPr>
            <w:r w:rsidRPr="0035187E">
              <w:rPr>
                <w:rFonts w:ascii="Times New Roman" w:hAnsi="Times New Roman" w:cs="Times New Roman"/>
                <w:i/>
                <w:sz w:val="20"/>
                <w:szCs w:val="20"/>
              </w:rPr>
              <w:t xml:space="preserve">Z benefitů mimo mzdu se neodvádí pojistné a daň ani nyní a neodvádělo by se ani v případě, že by byly považovány za součást mzdy. Obava z nahrazování peněžních mezd benefity tak, jako se tomu stalo u peněžitého příspěvku na stravování, není podložena čísly. Na úrovni výběru daní by byl efekt v zásadě nulový, protože podmínka daňové </w:t>
            </w:r>
            <w:proofErr w:type="spellStart"/>
            <w:r w:rsidRPr="0035187E">
              <w:rPr>
                <w:rFonts w:ascii="Times New Roman" w:hAnsi="Times New Roman" w:cs="Times New Roman"/>
                <w:i/>
                <w:sz w:val="20"/>
                <w:szCs w:val="20"/>
              </w:rPr>
              <w:t>neuznatelnosti</w:t>
            </w:r>
            <w:proofErr w:type="spellEnd"/>
            <w:r w:rsidRPr="0035187E">
              <w:rPr>
                <w:rFonts w:ascii="Times New Roman" w:hAnsi="Times New Roman" w:cs="Times New Roman"/>
                <w:i/>
                <w:sz w:val="20"/>
                <w:szCs w:val="20"/>
              </w:rPr>
              <w:t xml:space="preserve"> je zachována. Omezený efekt na pojistném existuje, ale částečně bude kompenzován vyššími výběry z náhrad mezd a ostatních plnění navázaných na pracovněprávní průměry.</w:t>
            </w:r>
          </w:p>
        </w:tc>
      </w:tr>
      <w:tr w:rsidR="0035187E" w:rsidRPr="0035187E" w14:paraId="58E287FA"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48D5E8E1" w14:textId="357C4B0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48.</w:t>
            </w:r>
          </w:p>
        </w:tc>
        <w:tc>
          <w:tcPr>
            <w:tcW w:w="583" w:type="pct"/>
            <w:tcBorders>
              <w:top w:val="single" w:sz="4" w:space="0" w:color="auto"/>
              <w:left w:val="single" w:sz="4" w:space="0" w:color="auto"/>
              <w:right w:val="single" w:sz="4" w:space="0" w:color="auto"/>
            </w:tcBorders>
            <w:shd w:val="clear" w:color="auto" w:fill="auto"/>
          </w:tcPr>
          <w:p w14:paraId="5153C8CB" w14:textId="7C5755A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Konfederace zaměstnavatelských a podnikatelských svazů ČR</w:t>
            </w:r>
          </w:p>
        </w:tc>
        <w:tc>
          <w:tcPr>
            <w:tcW w:w="168" w:type="pct"/>
            <w:tcBorders>
              <w:top w:val="single" w:sz="4" w:space="0" w:color="auto"/>
              <w:left w:val="single" w:sz="4" w:space="0" w:color="auto"/>
              <w:right w:val="single" w:sz="4" w:space="0" w:color="auto"/>
            </w:tcBorders>
            <w:shd w:val="clear" w:color="auto" w:fill="auto"/>
          </w:tcPr>
          <w:p w14:paraId="164AF169" w14:textId="77CF3D5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13.</w:t>
            </w:r>
          </w:p>
        </w:tc>
        <w:tc>
          <w:tcPr>
            <w:tcW w:w="169" w:type="pct"/>
            <w:tcBorders>
              <w:top w:val="single" w:sz="4" w:space="0" w:color="auto"/>
              <w:left w:val="single" w:sz="4" w:space="0" w:color="auto"/>
              <w:right w:val="single" w:sz="4" w:space="0" w:color="auto"/>
            </w:tcBorders>
            <w:shd w:val="clear" w:color="auto" w:fill="auto"/>
          </w:tcPr>
          <w:p w14:paraId="541BFE91" w14:textId="6E47909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3D96FD71" w14:textId="77777777"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V § 18a se doplňuje odstavec 6, který zní:</w:t>
            </w:r>
          </w:p>
          <w:p w14:paraId="6485A753"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„(6) U poplatníka daně z příjmů právnických osob, který je pouze část zdaňovacího období veřejně prospěšným poplatníkem podle odstavce 5, se použije odstavec 5 na příjmy za celé zdaňovací období.“.</w:t>
            </w:r>
          </w:p>
          <w:p w14:paraId="7670FBBB" w14:textId="77777777" w:rsidR="000B4BD4" w:rsidRPr="0035187E" w:rsidRDefault="000B4BD4" w:rsidP="0035187E">
            <w:pPr>
              <w:jc w:val="both"/>
              <w:rPr>
                <w:rFonts w:ascii="Times New Roman" w:hAnsi="Times New Roman" w:cs="Times New Roman"/>
                <w:sz w:val="20"/>
                <w:szCs w:val="20"/>
              </w:rPr>
            </w:pPr>
          </w:p>
          <w:p w14:paraId="67763A4E" w14:textId="77777777"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 k bodu 1 (§ 18a odst. 6)</w:t>
            </w:r>
          </w:p>
          <w:p w14:paraId="3DA7A877"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V současné době není v zákoně o daních z příjmů řešeno, jakým způsobem má postupovat veřejně prospěšný poplatník, který v průběhu zdaňovacího období přestane nebo začne splňovat podmínky pro veřejně prospěšného poplatníka s tzv. širokým základem daně, tedy základem daně určovaným podle § 18a odst. 4. Navrhuje se tedy nové ustanovení, které stanoví, že v případě, kdy je poplatník alespoň část zdaňovacího období poplatníkem se širokým základem daně, stanoví základ daně, jako by byl tímto poplatníkem celé zdaňovací období. Zajišťuje se tak jednotný postup poplatníků při stanovení základu daně a aplikace tzv. širokého základu daně je při přechodu na nový režim administrativně jednodušší. Pro účely uplatnění srážkové daně podle § 36 odst. 5 písm. a) ZDP to neplatí, skutečnost, zda se uplatní srážková daň, by se měla posoudit vždy v okamžiku vzniku příjmu podle charakteru poplatníka v dané chvíli.</w:t>
            </w:r>
          </w:p>
          <w:p w14:paraId="5101EE12" w14:textId="42CB7449"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Ke změně z úzkého základu daně na široký základ daně u VPP v průběhu zdaňovacího období může dojít např. v případě, pokud v průběhu zdaňovacího období VPP dostane oprávnění k poskytování zdravotních služeb podle zákona upravujícího zdravotní služby.</w:t>
            </w:r>
          </w:p>
        </w:tc>
        <w:tc>
          <w:tcPr>
            <w:tcW w:w="1453" w:type="pct"/>
            <w:tcBorders>
              <w:top w:val="single" w:sz="4" w:space="0" w:color="auto"/>
              <w:left w:val="single" w:sz="4" w:space="0" w:color="auto"/>
              <w:right w:val="single" w:sz="4" w:space="0" w:color="auto"/>
            </w:tcBorders>
            <w:shd w:val="clear" w:color="auto" w:fill="auto"/>
          </w:tcPr>
          <w:p w14:paraId="2E3F282E"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Vyhověno jinak.</w:t>
            </w:r>
          </w:p>
          <w:p w14:paraId="521709DF" w14:textId="47F53671" w:rsidR="000B4BD4" w:rsidRPr="0035187E" w:rsidRDefault="000B4BD4" w:rsidP="0035187E">
            <w:pPr>
              <w:jc w:val="both"/>
              <w:rPr>
                <w:rFonts w:ascii="Times New Roman" w:hAnsi="Times New Roman" w:cs="Times New Roman"/>
                <w:i/>
                <w:sz w:val="20"/>
                <w:szCs w:val="20"/>
              </w:rPr>
            </w:pPr>
            <w:r w:rsidRPr="0035187E">
              <w:rPr>
                <w:rFonts w:ascii="Times New Roman" w:hAnsi="Times New Roman" w:cs="Times New Roman"/>
                <w:sz w:val="20"/>
                <w:szCs w:val="20"/>
              </w:rPr>
              <w:t>Bude navrženo nové pravidlo, které zajistí, že veřejně prospěšný poplatník, který v průběhu zdaňovacího období přestane nebo začne splňovat podmínky pro veřejně prospěšného poplatníka s tzv. širokým základem daně, tedy základem daně určovaným podle § 18a odst. 5, bude postupovat podle původního režimu na počátku zdaňovacího období po celé zdaňovací období, ve kterém ke změně došlo. Ke přechodu na nový systém dojde až v následujícím zdaňovacím období. To pro poplatníky zajistí jednoduší přechod, neboť nebudou muset zpětně cokoliv měnit. V případě, že by poplatník např. získal oprávnění poskytovat zdravotní služby ke konci roku, mohlo by být pro něj problematické zpětně opravovat evidenci.</w:t>
            </w:r>
          </w:p>
        </w:tc>
      </w:tr>
      <w:tr w:rsidR="0035187E" w:rsidRPr="0035187E" w14:paraId="61B3FB9F"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6B4F8B3" w14:textId="40A31F8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48.</w:t>
            </w:r>
          </w:p>
        </w:tc>
        <w:tc>
          <w:tcPr>
            <w:tcW w:w="583" w:type="pct"/>
            <w:tcBorders>
              <w:top w:val="single" w:sz="4" w:space="0" w:color="auto"/>
              <w:left w:val="single" w:sz="4" w:space="0" w:color="auto"/>
              <w:right w:val="single" w:sz="4" w:space="0" w:color="auto"/>
            </w:tcBorders>
            <w:shd w:val="clear" w:color="auto" w:fill="auto"/>
          </w:tcPr>
          <w:p w14:paraId="07B5C4CC" w14:textId="4CFD619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Konfederace zaměstnavatelských a podnikatelských svazů ČR</w:t>
            </w:r>
          </w:p>
        </w:tc>
        <w:tc>
          <w:tcPr>
            <w:tcW w:w="168" w:type="pct"/>
            <w:tcBorders>
              <w:top w:val="single" w:sz="4" w:space="0" w:color="auto"/>
              <w:left w:val="single" w:sz="4" w:space="0" w:color="auto"/>
              <w:right w:val="single" w:sz="4" w:space="0" w:color="auto"/>
            </w:tcBorders>
            <w:shd w:val="clear" w:color="auto" w:fill="auto"/>
          </w:tcPr>
          <w:p w14:paraId="634B6A73" w14:textId="11FA432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14.</w:t>
            </w:r>
          </w:p>
        </w:tc>
        <w:tc>
          <w:tcPr>
            <w:tcW w:w="169" w:type="pct"/>
            <w:tcBorders>
              <w:top w:val="single" w:sz="4" w:space="0" w:color="auto"/>
              <w:left w:val="single" w:sz="4" w:space="0" w:color="auto"/>
              <w:right w:val="single" w:sz="4" w:space="0" w:color="auto"/>
            </w:tcBorders>
            <w:shd w:val="clear" w:color="auto" w:fill="auto"/>
          </w:tcPr>
          <w:p w14:paraId="5F3F9B49" w14:textId="2126879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58903AA" w14:textId="77777777"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V § 18a se doplňuje odstavec 5 písm. c), který zní:</w:t>
            </w:r>
          </w:p>
          <w:p w14:paraId="545E7862"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sz w:val="20"/>
                <w:szCs w:val="20"/>
              </w:rPr>
              <w:t xml:space="preserve">„c) poskytovatelem zdravotních služeb, který má oprávnění k poskytování zdravotních služeb podle zákona upravujícího zdravotní služby, </w:t>
            </w:r>
            <w:r w:rsidRPr="0035187E">
              <w:rPr>
                <w:rFonts w:ascii="Times New Roman" w:hAnsi="Times New Roman" w:cs="Times New Roman"/>
                <w:b/>
                <w:bCs/>
                <w:sz w:val="20"/>
                <w:szCs w:val="20"/>
              </w:rPr>
              <w:t>mimo poskytovatele zdravotních služeb s převažující činností poskytování sociálních služeb podle zákona upravujícího poskytování sociálních službách, u nichž je poskytování zdravotních služeb součástí sociálně-zdravotních služeb“,</w:t>
            </w:r>
          </w:p>
          <w:p w14:paraId="473D2975" w14:textId="77777777" w:rsidR="000B4BD4" w:rsidRPr="0035187E" w:rsidRDefault="000B4BD4" w:rsidP="0035187E">
            <w:pPr>
              <w:jc w:val="both"/>
              <w:rPr>
                <w:rFonts w:ascii="Times New Roman" w:hAnsi="Times New Roman" w:cs="Times New Roman"/>
                <w:sz w:val="20"/>
                <w:szCs w:val="20"/>
              </w:rPr>
            </w:pPr>
          </w:p>
          <w:p w14:paraId="3987B081" w14:textId="77777777"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 k bodu 2 (§ 18a odst. 5, písm. c):</w:t>
            </w:r>
          </w:p>
          <w:p w14:paraId="258B1770" w14:textId="24018E9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Podle změnového zákona č. 38/2025 Sb., tzv. změnový zákon o sociálně zdravotním pomezí, musí poskytovatel taxativně vymezených druhů sociálních služeb, jejichž součástí je rovněž poskytování zdravotních služeb, získat nejpozději od 1. 1. 2027 oprávnění k poskytování zdravotní služby. Vzhledem k tomu, že do této změny uvedeným zákonem, nebyl poskytovatel sociálních služeb poplatníkem s oprávním k poskytování zdravotních služeb, nejednalo se o poskytovatele zdravotních služeb. Dopadem této změny a zavedením povinného oprávnění ztratí poskytovatelé sociálních služeb jako nositelé oprávnění k poskytování zdravotních služeb daňová zvýhodnění veřejně prospěšných poplatníků, ačkoliv zdravotní složka péče tvoří pouze marginální část všech činností, kdy navíc z povahy sociálních služeb příjmy těchto poskytovatelů nedostačují na pokrytý nákladů za poskytování sociálních služeb. </w:t>
            </w:r>
          </w:p>
          <w:p w14:paraId="263533BC" w14:textId="39F5EB55"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Cílem změnového zákona by ale nemělo být zhoršení daňových podmínek pro poskytovatele sociálních služeb. Tato změna by se dotkla pouze některých druhů sociálních služeb a poskytovatelé sociálních služeb by měli rozdílné postavení z hlediska zákona o daních z příjmů. V případě např. domovů pro seniory není jejich cílem vstupovat na trh s nabídkou zdravotních služeb, ale pouze s rámci sociálních služeb zabezpečit zdravotní potřeby svých klientů. Je pravděpodobné, že se jedná o opominutí zákonodárce ve vztahu k vymezené skupině poskytovatelů sociálních služeb, navrhovaná změna tak má za cíl napravit toto opomenutí. Vzhledem k tomu, že by změnou bylo zachování stávajícího stavu ve vztahu k poskytovatelům sociálních služeb, návrh je rozpočtově neutrální. Nedojde jím však k budoucímu zhoršení postavení poskytovatelů sociálních služeb.</w:t>
            </w:r>
          </w:p>
        </w:tc>
        <w:tc>
          <w:tcPr>
            <w:tcW w:w="1453" w:type="pct"/>
            <w:tcBorders>
              <w:top w:val="single" w:sz="4" w:space="0" w:color="auto"/>
              <w:left w:val="single" w:sz="4" w:space="0" w:color="auto"/>
              <w:right w:val="single" w:sz="4" w:space="0" w:color="auto"/>
            </w:tcBorders>
            <w:shd w:val="clear" w:color="auto" w:fill="auto"/>
          </w:tcPr>
          <w:p w14:paraId="20ED1ACF"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Nevyhověno.</w:t>
            </w:r>
          </w:p>
          <w:p w14:paraId="432A3F81"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Podle informací MF poplatníci poskytující sociální služby, kteří budou mít zároveň i nově oprávnění k poskytování zdravotních služeb, s přechodem na nový systém „širokého základu daně“ počítají a připravují se na něj, nelze tedy bez širší diskuse tento režim zase omezit. Zároveň by mohlo dojít k situaci, kdy někteří z těchto poplatníků už na široký základ přešli a opět by se museli vracet zpět, což by bylo administrativně náročné. Jednoznačně nelze určit, který systém stanovení základu daně je pro poplatníky výhodnější. Při „úzkém základu daně“ některé příjmy nejsou předmětem daně, poplatníci však musí provádět administrativně náročné klíčování a určité typy příjmů zdanit vždy. V širokém základu daně jsou předmětem daně všechny příjmy (s výjimkou investičních dotací), zároveň však oproti těmto příjmům lze započítat veškeré daňově uznatelné náklady, což může vyústit v nulový základ daně. Nelze tedy souhlasit, že dojde ke zhoršenému postavení poskytovatelů sociálních služeb.</w:t>
            </w:r>
          </w:p>
          <w:p w14:paraId="46D31C91"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Přechod na nový systém bude vyřešen novou úpravou, která zajistí, že se systém nebude měnit v průběhu zdaňovacího období.</w:t>
            </w:r>
          </w:p>
          <w:p w14:paraId="513D7BEA" w14:textId="77777777" w:rsidR="000B4BD4" w:rsidRPr="0035187E" w:rsidRDefault="000B4BD4" w:rsidP="0035187E">
            <w:pPr>
              <w:jc w:val="both"/>
              <w:rPr>
                <w:rFonts w:ascii="Times New Roman" w:hAnsi="Times New Roman" w:cs="Times New Roman"/>
                <w:i/>
                <w:sz w:val="20"/>
                <w:szCs w:val="20"/>
              </w:rPr>
            </w:pPr>
          </w:p>
          <w:p w14:paraId="620E8292" w14:textId="5AC18211" w:rsidR="00B95535" w:rsidRPr="0035187E" w:rsidRDefault="00356B47" w:rsidP="0035187E">
            <w:pPr>
              <w:jc w:val="both"/>
              <w:rPr>
                <w:rFonts w:ascii="Times New Roman" w:hAnsi="Times New Roman" w:cs="Times New Roman"/>
                <w:i/>
                <w:iCs/>
                <w:sz w:val="20"/>
                <w:szCs w:val="20"/>
              </w:rPr>
            </w:pPr>
            <w:r w:rsidRPr="00356B47">
              <w:rPr>
                <w:rFonts w:ascii="Times New Roman" w:hAnsi="Times New Roman" w:cs="Times New Roman"/>
                <w:i/>
                <w:iCs/>
                <w:sz w:val="20"/>
                <w:szCs w:val="20"/>
              </w:rPr>
              <w:t>V rámci vypořádání připomínky bylo dohodnuto toto téma dále diskutovat a řešit při jiné příležitosti</w:t>
            </w:r>
            <w:r w:rsidR="00B95535" w:rsidRPr="00356B47">
              <w:rPr>
                <w:rFonts w:ascii="Times New Roman" w:hAnsi="Times New Roman" w:cs="Times New Roman"/>
                <w:i/>
                <w:iCs/>
                <w:sz w:val="20"/>
                <w:szCs w:val="20"/>
              </w:rPr>
              <w:t>.</w:t>
            </w:r>
          </w:p>
        </w:tc>
      </w:tr>
      <w:tr w:rsidR="0035187E" w:rsidRPr="0035187E" w14:paraId="42D11247"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334C51E" w14:textId="1F09436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55.</w:t>
            </w:r>
          </w:p>
        </w:tc>
        <w:tc>
          <w:tcPr>
            <w:tcW w:w="583" w:type="pct"/>
            <w:tcBorders>
              <w:top w:val="single" w:sz="4" w:space="0" w:color="auto"/>
              <w:left w:val="single" w:sz="4" w:space="0" w:color="auto"/>
              <w:right w:val="single" w:sz="4" w:space="0" w:color="auto"/>
            </w:tcBorders>
            <w:shd w:val="clear" w:color="auto" w:fill="auto"/>
          </w:tcPr>
          <w:p w14:paraId="1A7AD330" w14:textId="0826031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Krajský úřad Moravskoslezského kraje</w:t>
            </w:r>
          </w:p>
        </w:tc>
        <w:tc>
          <w:tcPr>
            <w:tcW w:w="168" w:type="pct"/>
            <w:tcBorders>
              <w:top w:val="single" w:sz="4" w:space="0" w:color="auto"/>
              <w:left w:val="single" w:sz="4" w:space="0" w:color="auto"/>
              <w:right w:val="single" w:sz="4" w:space="0" w:color="auto"/>
            </w:tcBorders>
            <w:shd w:val="clear" w:color="auto" w:fill="auto"/>
          </w:tcPr>
          <w:p w14:paraId="75049042" w14:textId="6172983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4B1F312E" w14:textId="0445B13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F5C5927" w14:textId="77777777" w:rsidR="000B4BD4" w:rsidRPr="0035187E" w:rsidRDefault="000B4BD4" w:rsidP="0035187E">
            <w:pPr>
              <w:keepNext/>
              <w:jc w:val="both"/>
              <w:rPr>
                <w:rFonts w:ascii="Times New Roman" w:hAnsi="Times New Roman" w:cs="Times New Roman"/>
                <w:b/>
                <w:bCs/>
                <w:sz w:val="20"/>
                <w:szCs w:val="20"/>
              </w:rPr>
            </w:pPr>
            <w:r w:rsidRPr="0035187E">
              <w:rPr>
                <w:rFonts w:ascii="Times New Roman" w:hAnsi="Times New Roman" w:cs="Times New Roman"/>
                <w:b/>
                <w:bCs/>
                <w:sz w:val="20"/>
                <w:szCs w:val="20"/>
              </w:rPr>
              <w:t>1. ZÁSADNÍ PŘIPOMÍNKA</w:t>
            </w:r>
          </w:p>
          <w:p w14:paraId="1BE36AB6" w14:textId="77777777" w:rsidR="000B4BD4" w:rsidRPr="0035187E" w:rsidRDefault="000B4BD4" w:rsidP="0035187E">
            <w:pPr>
              <w:jc w:val="both"/>
              <w:rPr>
                <w:rFonts w:ascii="Times New Roman" w:hAnsi="Times New Roman" w:cs="Times New Roman"/>
                <w:b/>
                <w:sz w:val="20"/>
                <w:szCs w:val="20"/>
              </w:rPr>
            </w:pPr>
            <w:bookmarkStart w:id="7" w:name="_Hlk127779197"/>
          </w:p>
          <w:p w14:paraId="14D534CB" w14:textId="76C9197B"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t xml:space="preserve">K části druhé, Změna zákona o daních z příjmů  </w:t>
            </w:r>
          </w:p>
          <w:p w14:paraId="5256FA88"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bCs/>
                <w:sz w:val="20"/>
                <w:szCs w:val="20"/>
              </w:rPr>
              <w:t xml:space="preserve">Navrhujeme vložit do návrhu nový novelizační bod, v němž se do § 18a odst. 5 doplní tučně zvýrazněný text do písmene c): </w:t>
            </w:r>
          </w:p>
          <w:p w14:paraId="6DD60261" w14:textId="77777777" w:rsidR="000B4BD4" w:rsidRPr="0035187E" w:rsidRDefault="000B4BD4" w:rsidP="0035187E">
            <w:pPr>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sz w:val="20"/>
                <w:szCs w:val="20"/>
                <w:lang w:eastAsia="en-US"/>
              </w:rPr>
              <w:t xml:space="preserve">„c) poskytovatelem zdravotních služeb, který má oprávnění k poskytování zdravotních služeb podle zákona upravujícího zdravotní služby, </w:t>
            </w:r>
            <w:r w:rsidRPr="0035187E">
              <w:rPr>
                <w:rFonts w:ascii="Times New Roman" w:eastAsia="Calibri" w:hAnsi="Times New Roman" w:cs="Times New Roman"/>
                <w:b/>
                <w:bCs/>
                <w:sz w:val="20"/>
                <w:szCs w:val="20"/>
                <w:lang w:eastAsia="en-US"/>
              </w:rPr>
              <w:t>s výjimkou poskytovatele zdravotních služeb s převažující činností poskytování sociálních služeb podle zákona upravujícího poskytování sociálních služeb,</w:t>
            </w:r>
            <w:r w:rsidRPr="0035187E">
              <w:rPr>
                <w:rFonts w:ascii="Times New Roman" w:eastAsia="Calibri" w:hAnsi="Times New Roman" w:cs="Times New Roman"/>
                <w:sz w:val="20"/>
                <w:szCs w:val="20"/>
                <w:lang w:eastAsia="en-US"/>
              </w:rPr>
              <w:t>“.</w:t>
            </w:r>
          </w:p>
          <w:p w14:paraId="46262E50" w14:textId="77777777" w:rsidR="000B4BD4" w:rsidRPr="0035187E" w:rsidRDefault="000B4BD4" w:rsidP="0035187E">
            <w:pPr>
              <w:jc w:val="both"/>
              <w:rPr>
                <w:rFonts w:ascii="Times New Roman" w:hAnsi="Times New Roman" w:cs="Times New Roman"/>
                <w:b/>
                <w:sz w:val="20"/>
                <w:szCs w:val="20"/>
              </w:rPr>
            </w:pPr>
          </w:p>
          <w:p w14:paraId="41CB7C45" w14:textId="77777777" w:rsidR="000B4BD4" w:rsidRPr="0035187E" w:rsidRDefault="000B4BD4" w:rsidP="0035187E">
            <w:pPr>
              <w:jc w:val="both"/>
              <w:rPr>
                <w:rFonts w:ascii="Times New Roman" w:hAnsi="Times New Roman" w:cs="Times New Roman"/>
                <w:bCs/>
                <w:i/>
                <w:iCs/>
                <w:sz w:val="20"/>
                <w:szCs w:val="20"/>
                <w:u w:val="single"/>
              </w:rPr>
            </w:pPr>
            <w:r w:rsidRPr="0035187E">
              <w:rPr>
                <w:rFonts w:ascii="Times New Roman" w:hAnsi="Times New Roman" w:cs="Times New Roman"/>
                <w:bCs/>
                <w:i/>
                <w:iCs/>
                <w:sz w:val="20"/>
                <w:szCs w:val="20"/>
                <w:u w:val="single"/>
              </w:rPr>
              <w:t xml:space="preserve">Odůvodnění: </w:t>
            </w:r>
          </w:p>
          <w:bookmarkEnd w:id="7"/>
          <w:p w14:paraId="366B284D" w14:textId="77777777" w:rsidR="000B4BD4" w:rsidRPr="0035187E" w:rsidRDefault="000B4BD4" w:rsidP="0035187E">
            <w:pPr>
              <w:jc w:val="both"/>
              <w:rPr>
                <w:rFonts w:ascii="Times New Roman" w:hAnsi="Times New Roman" w:cs="Times New Roman"/>
                <w:bCs/>
                <w:i/>
                <w:iCs/>
                <w:sz w:val="20"/>
                <w:szCs w:val="20"/>
              </w:rPr>
            </w:pPr>
            <w:r w:rsidRPr="0035187E">
              <w:rPr>
                <w:rFonts w:ascii="Times New Roman" w:hAnsi="Times New Roman" w:cs="Times New Roman"/>
                <w:bCs/>
                <w:i/>
                <w:iCs/>
                <w:sz w:val="20"/>
                <w:szCs w:val="20"/>
              </w:rPr>
              <w:t xml:space="preserve">Podle zákona č. 38/2025 Sb., kterým se mění zákon č. 108/2006 Sb., o sociálních službách, ve znění pozdějších předpisů, a další související zákony (tzv. změnový zákon o sociálně </w:t>
            </w:r>
            <w:r w:rsidRPr="0035187E">
              <w:rPr>
                <w:rFonts w:ascii="Times New Roman" w:hAnsi="Times New Roman" w:cs="Times New Roman"/>
                <w:bCs/>
                <w:i/>
                <w:iCs/>
                <w:sz w:val="20"/>
                <w:szCs w:val="20"/>
              </w:rPr>
              <w:lastRenderedPageBreak/>
              <w:t xml:space="preserve">zdravotním pomezí), musí poskytovatel taxativně vymezených druhů sociálních služeb, jejichž součástí je rovněž poskytování zdravotních služeb, získat nejpozději od 1. 1. 2027 oprávnění k poskytování zdravotních služeb. Vzhledem k tomu, že do účinnosti této změny není poskytovatel sociálních služeb poplatníkem s oprávněním k poskytování zdravotních služeb, nejedná se bez dalšího o poskytovatele zdravotních služeb. V důsledku této změny a zavedení povinného oprávnění ztratí poskytovatelé sociálních služeb jako nositelé oprávnění k poskytování zdravotních služeb daňová zvýhodnění veřejně prospěšných poplatníků, ačkoliv zdravotní složka péče tvoří pouze marginální část všech činností, přičemž navíc z povahy sociálních služeb příjmy těchto poskytovatelů nedostačují na pokrytí nákladů na poskytování sociálních služeb. </w:t>
            </w:r>
          </w:p>
          <w:p w14:paraId="47F5E584" w14:textId="77777777" w:rsidR="000B4BD4" w:rsidRPr="0035187E" w:rsidRDefault="000B4BD4" w:rsidP="0035187E">
            <w:pPr>
              <w:jc w:val="both"/>
              <w:rPr>
                <w:rFonts w:ascii="Times New Roman" w:hAnsi="Times New Roman" w:cs="Times New Roman"/>
                <w:bCs/>
                <w:i/>
                <w:iCs/>
                <w:sz w:val="20"/>
                <w:szCs w:val="20"/>
              </w:rPr>
            </w:pPr>
          </w:p>
          <w:p w14:paraId="06AE9FA2" w14:textId="34C1E8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bCs/>
                <w:i/>
                <w:iCs/>
                <w:sz w:val="20"/>
                <w:szCs w:val="20"/>
              </w:rPr>
              <w:t>Cílem změnového zákona by ale nemělo být zhoršení daňových podmínek pro poskytovatele sociálních služeb. Tato změna by se dotkla pouze některých druhů sociálních služeb a poskytovatelé sociálních služeb by měli rozdílné postavení z hlediska zákona o daních z příjmů. V případě například domovů pro seniory není jejich cílem vstupovat na trh s nabídkou zdravotních služeb, ale pouze v rámci sociálních služeb zabezpečit zdravotní potřeby svých klientů. Je pravděpodobné, že se jedná o opomenutí zákonodárce ve vztahu k vymezené skupině poskytovatelů sociálních služeb; navrhovaná změna má proto za cíl toto opomenutí napravit. Vzhledem k tomu, že změna zachovává stávající stav ve vztahu k poskytovatelům sociálních služeb, návrh je rozpočtově neutrální. Nedojde jím však k budoucímu zhoršení postavení poskytovatelů sociálních služeb.</w:t>
            </w:r>
          </w:p>
        </w:tc>
        <w:tc>
          <w:tcPr>
            <w:tcW w:w="1453" w:type="pct"/>
            <w:tcBorders>
              <w:top w:val="single" w:sz="4" w:space="0" w:color="auto"/>
              <w:left w:val="single" w:sz="4" w:space="0" w:color="auto"/>
              <w:right w:val="single" w:sz="4" w:space="0" w:color="auto"/>
            </w:tcBorders>
            <w:shd w:val="clear" w:color="auto" w:fill="auto"/>
          </w:tcPr>
          <w:p w14:paraId="70C7CBFC"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Nevyhověno.</w:t>
            </w:r>
          </w:p>
          <w:p w14:paraId="3BE96EAB"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Podle informací MF poplatníci poskytující sociální služby, kteří budou mít zároveň i nově oprávnění k poskytování zdravotních služeb, s přechodem na nový systém „širokého základu daně“ počítají a připravují se na něj, nelze tedy bez širší diskuse tento režim zase omezit. Zároveň by mohlo dojít k situaci, kdy někteří z těchto poplatníků už na široký základ přešli a opět by se museli vracet zpět, což by bylo administrativně náročné. Jednoznačně nelze určit, který systém stanovení základu daně je pro poplatníky výhodnější. Při „úzkém základu daně“ některé příjmy nejsou předmětem daně, poplatníci však musí provádět administrativně náročné klíčování a určité typy </w:t>
            </w:r>
            <w:r w:rsidRPr="0035187E">
              <w:rPr>
                <w:rFonts w:ascii="Times New Roman" w:hAnsi="Times New Roman" w:cs="Times New Roman"/>
                <w:sz w:val="20"/>
                <w:szCs w:val="20"/>
              </w:rPr>
              <w:lastRenderedPageBreak/>
              <w:t>příjmů zdanit vždy. V širokém základu daně jsou předmětem daně všechny příjmy (s výjimkou investičních dotací), zároveň však oproti těmto příjmům lze započítat veškeré daňově uznatelné náklady, což může vyústit v nulový základ daně. Nelze tedy souhlasit, že dojde ke zhoršenému postavení poskytovatelů sociálních služeb.</w:t>
            </w:r>
          </w:p>
          <w:p w14:paraId="05477429"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Přechod na nový systém bude vyřešen novou úpravou, která zajistí, že se systém nebude měnit v průběhu zdaňovacího období.</w:t>
            </w:r>
          </w:p>
          <w:p w14:paraId="390ECCF8" w14:textId="77777777" w:rsidR="00A87717" w:rsidRPr="0035187E" w:rsidRDefault="00A87717" w:rsidP="0035187E">
            <w:pPr>
              <w:jc w:val="both"/>
              <w:rPr>
                <w:rFonts w:ascii="Times New Roman" w:hAnsi="Times New Roman" w:cs="Times New Roman"/>
                <w:sz w:val="20"/>
                <w:szCs w:val="20"/>
              </w:rPr>
            </w:pPr>
          </w:p>
          <w:p w14:paraId="742ECF3B" w14:textId="3996000F" w:rsidR="000B4BD4" w:rsidRPr="0035187E" w:rsidRDefault="00A87717"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 xml:space="preserve">Vyjádření připomínkového místa: Proti vypořádání neuplatňujeme rozpor, nicméně máme zato, že současná právní úprava a aktuálně nastavený systém není vhodný. Poskytovatelé sociálních služeb jsou totiž skutečně a reálně poskytovateli především úkonů spadající pod sociální služby a zdravotní úkony (nově poskytované na základě získaného oprávnění k poskytované zdravotních služeb) jsou vykonávány pouze marginálně, pro zajištění „kompletních“ potřeb klientů, tj. osob, které se nacházejí v sociálně nepříznivé situaci. Mezi poskytovateli dle jednotlivých typů služeb tak vzniknou rozdíly, kdy nadto máme zato, že v postavení poskytovatelů sociálních služeb poskytujících i zdravotní služby dojde jednoznačně ke zhoršení jejich postavení. Považujeme tedy za potřebné, aby MF svůj postoj přehodnotilo. </w:t>
            </w:r>
          </w:p>
        </w:tc>
      </w:tr>
      <w:tr w:rsidR="0035187E" w:rsidRPr="0035187E" w14:paraId="1399259B"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4D6BB0C4" w14:textId="4DDA107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55.</w:t>
            </w:r>
          </w:p>
        </w:tc>
        <w:tc>
          <w:tcPr>
            <w:tcW w:w="583" w:type="pct"/>
            <w:tcBorders>
              <w:top w:val="single" w:sz="4" w:space="0" w:color="auto"/>
              <w:left w:val="single" w:sz="4" w:space="0" w:color="auto"/>
              <w:right w:val="single" w:sz="4" w:space="0" w:color="auto"/>
            </w:tcBorders>
            <w:shd w:val="clear" w:color="auto" w:fill="auto"/>
          </w:tcPr>
          <w:p w14:paraId="37691FE7" w14:textId="41B62B9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Krajský úřad Moravskoslezského kraje</w:t>
            </w:r>
          </w:p>
        </w:tc>
        <w:tc>
          <w:tcPr>
            <w:tcW w:w="168" w:type="pct"/>
            <w:tcBorders>
              <w:top w:val="single" w:sz="4" w:space="0" w:color="auto"/>
              <w:left w:val="single" w:sz="4" w:space="0" w:color="auto"/>
              <w:right w:val="single" w:sz="4" w:space="0" w:color="auto"/>
            </w:tcBorders>
            <w:shd w:val="clear" w:color="auto" w:fill="auto"/>
          </w:tcPr>
          <w:p w14:paraId="56F9AC72" w14:textId="73F3D1C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w:t>
            </w:r>
          </w:p>
        </w:tc>
        <w:tc>
          <w:tcPr>
            <w:tcW w:w="169" w:type="pct"/>
            <w:tcBorders>
              <w:top w:val="single" w:sz="4" w:space="0" w:color="auto"/>
              <w:left w:val="single" w:sz="4" w:space="0" w:color="auto"/>
              <w:right w:val="single" w:sz="4" w:space="0" w:color="auto"/>
            </w:tcBorders>
            <w:shd w:val="clear" w:color="auto" w:fill="auto"/>
          </w:tcPr>
          <w:p w14:paraId="43596EDA" w14:textId="6BC4C51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7110E9E" w14:textId="77777777" w:rsidR="000B4BD4" w:rsidRPr="0035187E" w:rsidRDefault="000B4BD4" w:rsidP="0035187E">
            <w:pPr>
              <w:keepNext/>
              <w:jc w:val="both"/>
              <w:rPr>
                <w:rFonts w:ascii="Times New Roman" w:hAnsi="Times New Roman" w:cs="Times New Roman"/>
                <w:b/>
                <w:bCs/>
                <w:sz w:val="20"/>
                <w:szCs w:val="20"/>
              </w:rPr>
            </w:pPr>
            <w:r w:rsidRPr="0035187E">
              <w:rPr>
                <w:rFonts w:ascii="Times New Roman" w:hAnsi="Times New Roman" w:cs="Times New Roman"/>
                <w:b/>
                <w:bCs/>
                <w:sz w:val="20"/>
                <w:szCs w:val="20"/>
              </w:rPr>
              <w:t>2. ZÁSADNÍ PŘIPOMÍNKA</w:t>
            </w:r>
          </w:p>
          <w:p w14:paraId="4CCA95B6" w14:textId="77777777" w:rsidR="000B4BD4" w:rsidRPr="0035187E" w:rsidRDefault="000B4BD4" w:rsidP="0035187E">
            <w:pPr>
              <w:jc w:val="both"/>
              <w:rPr>
                <w:rFonts w:ascii="Times New Roman" w:hAnsi="Times New Roman" w:cs="Times New Roman"/>
                <w:b/>
                <w:sz w:val="20"/>
                <w:szCs w:val="20"/>
              </w:rPr>
            </w:pPr>
          </w:p>
          <w:p w14:paraId="746AAE78" w14:textId="7E8198A9"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t xml:space="preserve">K části druhé, Změna zákona o daních z příjmů  </w:t>
            </w:r>
          </w:p>
          <w:p w14:paraId="3BB42116" w14:textId="7777777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Navrhujeme vložit do návrhu nový novelizační bod, v němž se do § 18a doplní nový odstavec 6, který zní:</w:t>
            </w:r>
          </w:p>
          <w:p w14:paraId="08662DA0" w14:textId="77777777"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„(6) U poplatníka daně z příjmů právnických osob, který je pouze část zdaňovacího období veřejně prospěšným poplatníkem podle odstavce 5, se odstavec 5 použije na příjmy za celé zdaňovací období.“.</w:t>
            </w:r>
          </w:p>
          <w:p w14:paraId="52F1046D" w14:textId="77777777" w:rsidR="000B4BD4" w:rsidRPr="0035187E" w:rsidRDefault="000B4BD4" w:rsidP="0035187E">
            <w:pPr>
              <w:jc w:val="both"/>
              <w:rPr>
                <w:rFonts w:ascii="Times New Roman" w:hAnsi="Times New Roman" w:cs="Times New Roman"/>
                <w:b/>
                <w:sz w:val="20"/>
                <w:szCs w:val="20"/>
              </w:rPr>
            </w:pPr>
          </w:p>
          <w:p w14:paraId="0343B75F" w14:textId="77777777" w:rsidR="000B4BD4" w:rsidRPr="0035187E" w:rsidRDefault="000B4BD4" w:rsidP="0035187E">
            <w:pPr>
              <w:jc w:val="both"/>
              <w:rPr>
                <w:rFonts w:ascii="Times New Roman" w:hAnsi="Times New Roman" w:cs="Times New Roman"/>
                <w:bCs/>
                <w:i/>
                <w:iCs/>
                <w:sz w:val="20"/>
                <w:szCs w:val="20"/>
                <w:u w:val="single"/>
              </w:rPr>
            </w:pPr>
            <w:r w:rsidRPr="0035187E">
              <w:rPr>
                <w:rFonts w:ascii="Times New Roman" w:hAnsi="Times New Roman" w:cs="Times New Roman"/>
                <w:bCs/>
                <w:i/>
                <w:iCs/>
                <w:sz w:val="20"/>
                <w:szCs w:val="20"/>
                <w:u w:val="single"/>
              </w:rPr>
              <w:t xml:space="preserve">Odůvodnění: </w:t>
            </w:r>
          </w:p>
          <w:p w14:paraId="57DE6EF5" w14:textId="77777777" w:rsidR="000B4BD4" w:rsidRPr="0035187E" w:rsidRDefault="000B4BD4" w:rsidP="0035187E">
            <w:pPr>
              <w:jc w:val="both"/>
              <w:rPr>
                <w:rFonts w:ascii="Times New Roman" w:hAnsi="Times New Roman" w:cs="Times New Roman"/>
                <w:bCs/>
                <w:i/>
                <w:iCs/>
                <w:sz w:val="20"/>
                <w:szCs w:val="20"/>
              </w:rPr>
            </w:pPr>
            <w:r w:rsidRPr="0035187E">
              <w:rPr>
                <w:rFonts w:ascii="Times New Roman" w:hAnsi="Times New Roman" w:cs="Times New Roman"/>
                <w:bCs/>
                <w:i/>
                <w:iCs/>
                <w:sz w:val="20"/>
                <w:szCs w:val="20"/>
              </w:rPr>
              <w:t>V současné době není v zákoně o daních z příjmů řešeno, jakým způsobem má postupovat veřejně prospěšný poplatník, který v průběhu zdaňovacího období přestane nebo začne splňovat podmínky pro veřejně prospěšného poplatníka s tzv. širokým základem daně, tedy základem daně určovaným podle § 18a odst. 4. Navrhuje se tedy nové ustanovení, které stanoví, že v případě, kdy je poplatník alespoň část zdaňovacího období poplatníkem se ši</w:t>
            </w:r>
            <w:r w:rsidRPr="0035187E">
              <w:rPr>
                <w:rFonts w:ascii="Times New Roman" w:hAnsi="Times New Roman" w:cs="Times New Roman"/>
                <w:bCs/>
                <w:i/>
                <w:iCs/>
                <w:sz w:val="20"/>
                <w:szCs w:val="20"/>
              </w:rPr>
              <w:lastRenderedPageBreak/>
              <w:t>rokým základem daně, se stanoví základ daně, jako by byl tímto poplatníkem po celé zdaňovací období. Zajišťuje se tak jednotný postup poplatníků při stanovení základu daně a že aplikace tzv. širokého základu daně je při přechodu na nový režim administrativně jednodušší. Pro účely uplatnění srážkové daně podle § 36 odst. 5 písm. a) zákona o daních z příjmů to neplatí; skutečnost, zda se uplatní srážková daň, by se měla posoudit vždy v okamžiku vzniku příjmu podle charakteru poplatníka v dané chvíli.</w:t>
            </w:r>
          </w:p>
          <w:p w14:paraId="0B5396BC" w14:textId="77777777" w:rsidR="000B4BD4" w:rsidRPr="0035187E" w:rsidRDefault="000B4BD4" w:rsidP="0035187E">
            <w:pPr>
              <w:jc w:val="both"/>
              <w:rPr>
                <w:rFonts w:ascii="Times New Roman" w:hAnsi="Times New Roman" w:cs="Times New Roman"/>
                <w:bCs/>
                <w:i/>
                <w:iCs/>
                <w:sz w:val="20"/>
                <w:szCs w:val="20"/>
              </w:rPr>
            </w:pPr>
          </w:p>
          <w:p w14:paraId="58FE6814" w14:textId="737CD584"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bCs/>
                <w:i/>
                <w:iCs/>
                <w:sz w:val="20"/>
                <w:szCs w:val="20"/>
              </w:rPr>
              <w:t>Ke změně z úzkého základu daně na široký základ daně u veřejně prospěšného poplatníka v průběhu zdaňovacího období může dojít například v případě, kdy tento poplatník v průběhu zdaňovacího období získá oprávnění k poskytování zdravotních služeb podle zákona upravujícího zdravotní služby.</w:t>
            </w:r>
          </w:p>
        </w:tc>
        <w:tc>
          <w:tcPr>
            <w:tcW w:w="1453" w:type="pct"/>
            <w:tcBorders>
              <w:top w:val="single" w:sz="4" w:space="0" w:color="auto"/>
              <w:left w:val="single" w:sz="4" w:space="0" w:color="auto"/>
              <w:right w:val="single" w:sz="4" w:space="0" w:color="auto"/>
            </w:tcBorders>
            <w:shd w:val="clear" w:color="auto" w:fill="auto"/>
          </w:tcPr>
          <w:p w14:paraId="623D5284"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Vyhověno jinak.</w:t>
            </w:r>
          </w:p>
          <w:p w14:paraId="1370DBDF"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Bude navrženo nové pravidlo, které zajistí, že veřejně prospěšný poplatník, který v průběhu zdaňovacího období přestane nebo začne splňovat podmínky pro veřejně prospěšného poplatníka s tzv. širokým základem daně, tedy základem daně určovaným podle § 18a odst. 5, bude postupovat podle původního režimu na počátku zdaňovacího období po celé zdaňovací období, ve kterém ke změně došlo. Ke přechodu na nový systém dojde až v následujícím zdaňovacím období. To pro poplatníky zajistí jednoduší přechod, neboť nebudou muset zpětně cokoliv měnit. V případě, že by poplatník např. získal oprávnění poskytovat zdravotní služby ke konci roku, mohlo by být pro něj problematické zpětně opravovat evidenci.</w:t>
            </w:r>
          </w:p>
          <w:p w14:paraId="4D6BA869" w14:textId="77777777" w:rsidR="00A87717" w:rsidRPr="0035187E" w:rsidRDefault="00A87717" w:rsidP="0035187E">
            <w:pPr>
              <w:jc w:val="both"/>
              <w:rPr>
                <w:rFonts w:ascii="Times New Roman" w:hAnsi="Times New Roman" w:cs="Times New Roman"/>
                <w:sz w:val="20"/>
                <w:szCs w:val="20"/>
              </w:rPr>
            </w:pPr>
          </w:p>
          <w:p w14:paraId="32EB9AA9" w14:textId="165B3398" w:rsidR="00A87717" w:rsidRPr="0035187E" w:rsidRDefault="00A87717"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lastRenderedPageBreak/>
              <w:t>Připomínkové místo s vypořádáním souhlasí.</w:t>
            </w:r>
          </w:p>
        </w:tc>
      </w:tr>
      <w:tr w:rsidR="0035187E" w:rsidRPr="0035187E" w14:paraId="7E63DB8A"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E6925A9" w14:textId="416B422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56.</w:t>
            </w:r>
          </w:p>
        </w:tc>
        <w:tc>
          <w:tcPr>
            <w:tcW w:w="583" w:type="pct"/>
            <w:tcBorders>
              <w:top w:val="single" w:sz="4" w:space="0" w:color="auto"/>
              <w:left w:val="single" w:sz="4" w:space="0" w:color="auto"/>
              <w:right w:val="single" w:sz="4" w:space="0" w:color="auto"/>
            </w:tcBorders>
            <w:shd w:val="clear" w:color="auto" w:fill="auto"/>
          </w:tcPr>
          <w:p w14:paraId="22D6BFE1" w14:textId="355162A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Krajský úřad Olomouckého kraje</w:t>
            </w:r>
          </w:p>
        </w:tc>
        <w:tc>
          <w:tcPr>
            <w:tcW w:w="168" w:type="pct"/>
            <w:tcBorders>
              <w:top w:val="single" w:sz="4" w:space="0" w:color="auto"/>
              <w:left w:val="single" w:sz="4" w:space="0" w:color="auto"/>
              <w:right w:val="single" w:sz="4" w:space="0" w:color="auto"/>
            </w:tcBorders>
            <w:shd w:val="clear" w:color="auto" w:fill="auto"/>
          </w:tcPr>
          <w:p w14:paraId="238BDB67" w14:textId="3F2590F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476CCEE4" w14:textId="1F37B3F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E898D10" w14:textId="77777777" w:rsidR="000B4BD4" w:rsidRPr="0035187E" w:rsidRDefault="000B4BD4" w:rsidP="0035187E">
            <w:pPr>
              <w:numPr>
                <w:ilvl w:val="0"/>
                <w:numId w:val="21"/>
              </w:numPr>
              <w:ind w:left="0" w:firstLine="0"/>
              <w:jc w:val="both"/>
              <w:rPr>
                <w:rFonts w:ascii="Times New Roman" w:hAnsi="Times New Roman" w:cs="Times New Roman"/>
                <w:b/>
                <w:bCs/>
                <w:sz w:val="20"/>
                <w:szCs w:val="20"/>
                <w:u w:val="single"/>
              </w:rPr>
            </w:pPr>
            <w:r w:rsidRPr="0035187E">
              <w:rPr>
                <w:rFonts w:ascii="Times New Roman" w:hAnsi="Times New Roman" w:cs="Times New Roman"/>
                <w:b/>
                <w:bCs/>
                <w:sz w:val="20"/>
                <w:szCs w:val="20"/>
                <w:u w:val="single"/>
              </w:rPr>
              <w:t xml:space="preserve">K Části druhé </w:t>
            </w:r>
            <w:proofErr w:type="gramStart"/>
            <w:r w:rsidRPr="0035187E">
              <w:rPr>
                <w:rFonts w:ascii="Times New Roman" w:hAnsi="Times New Roman" w:cs="Times New Roman"/>
                <w:b/>
                <w:bCs/>
                <w:sz w:val="20"/>
                <w:szCs w:val="20"/>
                <w:u w:val="single"/>
              </w:rPr>
              <w:t>Návrhu - Změna</w:t>
            </w:r>
            <w:proofErr w:type="gramEnd"/>
            <w:r w:rsidRPr="0035187E">
              <w:rPr>
                <w:rFonts w:ascii="Times New Roman" w:hAnsi="Times New Roman" w:cs="Times New Roman"/>
                <w:b/>
                <w:bCs/>
                <w:sz w:val="20"/>
                <w:szCs w:val="20"/>
                <w:u w:val="single"/>
              </w:rPr>
              <w:t xml:space="preserve"> zákona č. 586/1992 Sb., o daních z příjmů (dále jen „Změna ZDP“): </w:t>
            </w:r>
          </w:p>
          <w:p w14:paraId="0778A6EA" w14:textId="77777777" w:rsidR="000B4BD4" w:rsidRPr="0035187E" w:rsidRDefault="000B4BD4" w:rsidP="0035187E">
            <w:pPr>
              <w:jc w:val="both"/>
              <w:rPr>
                <w:rFonts w:ascii="Times New Roman" w:hAnsi="Times New Roman" w:cs="Times New Roman"/>
                <w:b/>
                <w:bCs/>
                <w:sz w:val="20"/>
                <w:szCs w:val="20"/>
              </w:rPr>
            </w:pPr>
          </w:p>
          <w:p w14:paraId="2DF58F0E" w14:textId="254C9EE6" w:rsidR="000B4BD4" w:rsidRPr="0035187E" w:rsidRDefault="000B4BD4" w:rsidP="0035187E">
            <w:pPr>
              <w:jc w:val="both"/>
              <w:rPr>
                <w:rFonts w:ascii="Times New Roman" w:hAnsi="Times New Roman" w:cs="Times New Roman"/>
                <w:b/>
                <w:bCs/>
                <w:sz w:val="20"/>
                <w:szCs w:val="20"/>
                <w:u w:val="single"/>
              </w:rPr>
            </w:pPr>
            <w:r w:rsidRPr="0035187E">
              <w:rPr>
                <w:rFonts w:ascii="Times New Roman" w:hAnsi="Times New Roman" w:cs="Times New Roman"/>
                <w:b/>
                <w:bCs/>
                <w:sz w:val="20"/>
                <w:szCs w:val="20"/>
              </w:rPr>
              <w:t>Navrhujeme v § 18a doplnit odstavec 5 písm. c), který zní:</w:t>
            </w:r>
          </w:p>
          <w:p w14:paraId="407DE9D2"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sz w:val="20"/>
                <w:szCs w:val="20"/>
              </w:rPr>
              <w:t>„</w:t>
            </w:r>
            <w:r w:rsidRPr="0035187E">
              <w:rPr>
                <w:rFonts w:ascii="Times New Roman" w:hAnsi="Times New Roman" w:cs="Times New Roman"/>
                <w:i/>
                <w:iCs/>
                <w:sz w:val="20"/>
                <w:szCs w:val="20"/>
              </w:rPr>
              <w:t xml:space="preserve">c) poskytovatelem zdravotních služeb, který má oprávnění k poskytování zdravotních služeb podle zákona upravujícího zdravotní služby, </w:t>
            </w:r>
            <w:r w:rsidRPr="0035187E">
              <w:rPr>
                <w:rFonts w:ascii="Times New Roman" w:hAnsi="Times New Roman" w:cs="Times New Roman"/>
                <w:b/>
                <w:bCs/>
                <w:i/>
                <w:iCs/>
                <w:sz w:val="20"/>
                <w:szCs w:val="20"/>
              </w:rPr>
              <w:t>mimo poskytovatele zdravotních služeb s převažující činností poskytování sociálních služeb podle zákona upravujícího poskytování sociálních službách, u nichž je poskytování zdravotních služeb součástí sociálně-zdravotních služeb</w:t>
            </w:r>
            <w:r w:rsidRPr="0035187E">
              <w:rPr>
                <w:rFonts w:ascii="Times New Roman" w:hAnsi="Times New Roman" w:cs="Times New Roman"/>
                <w:b/>
                <w:bCs/>
                <w:sz w:val="20"/>
                <w:szCs w:val="20"/>
              </w:rPr>
              <w:t>“,</w:t>
            </w:r>
          </w:p>
          <w:p w14:paraId="5BDA1C3A" w14:textId="77777777" w:rsidR="000B4BD4" w:rsidRPr="0035187E" w:rsidRDefault="000B4BD4" w:rsidP="0035187E">
            <w:pPr>
              <w:jc w:val="both"/>
              <w:rPr>
                <w:rFonts w:ascii="Times New Roman" w:hAnsi="Times New Roman" w:cs="Times New Roman"/>
                <w:sz w:val="20"/>
                <w:szCs w:val="20"/>
                <w:u w:val="single"/>
              </w:rPr>
            </w:pPr>
          </w:p>
          <w:p w14:paraId="3980000C" w14:textId="3AA80BD1"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w:t>
            </w:r>
            <w:r w:rsidRPr="0035187E">
              <w:rPr>
                <w:rFonts w:ascii="Times New Roman" w:hAnsi="Times New Roman" w:cs="Times New Roman"/>
                <w:sz w:val="20"/>
                <w:szCs w:val="20"/>
              </w:rPr>
              <w:t>:</w:t>
            </w:r>
          </w:p>
          <w:p w14:paraId="7E8E8F44" w14:textId="5979CBF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Podle změnového zákona č. 38/2025 Sb., tzv. změnový zákon o sociálně zdravotním pomezí, musí poskytovatel taxativně vymezených druhů sociálních služeb, jejichž součástí je rovněž poskytování zdravotních služeb, získat nejpozději od 1. 1. 2027 oprávnění k poskytování zdravotní služby. Vzhledem k tomu, že do této změny uvedeným zákonem, nebyl poskytovatel sociálních služeb poplatníkem s oprávněním k poskytování zdravotních služeb, nejednalo se o poskytovatele zdravotních služeb. Dopadem této změny a zavedením povinného oprávnění ztratí poskytovatelé sociálních služeb jako nositelé oprávnění k poskytování zdravotních služeb daňová zvýhodnění veřejně prospěšných poplatníků, ačkoliv zdravotní složka péče tvoří pouze marginální část všech činností, kdy navíc z povahy sociálních služeb příjmy těchto poskytovatelů nedostačují na pokrytí nákladů za poskytování sociálních služeb. Cílem změnového zákona by ale nemělo být zhoršení daňových podmínek pro poskytovatele sociálních služeb. Tato změna by se dotkla pouze některých druhů sociálních služeb a poskytovatelé sociálních služeb by měli rozdílné postavení z hlediska ZDP. </w:t>
            </w:r>
          </w:p>
          <w:p w14:paraId="309295FA" w14:textId="77777777" w:rsidR="000B4BD4" w:rsidRPr="0035187E" w:rsidRDefault="000B4BD4" w:rsidP="0035187E">
            <w:pPr>
              <w:jc w:val="both"/>
              <w:rPr>
                <w:rFonts w:ascii="Times New Roman" w:hAnsi="Times New Roman" w:cs="Times New Roman"/>
                <w:sz w:val="20"/>
                <w:szCs w:val="20"/>
              </w:rPr>
            </w:pPr>
          </w:p>
          <w:p w14:paraId="3E1B2BC6" w14:textId="77777777" w:rsidR="000B4BD4" w:rsidRPr="0035187E" w:rsidRDefault="000B4BD4" w:rsidP="0035187E">
            <w:pPr>
              <w:tabs>
                <w:tab w:val="left" w:pos="1134"/>
                <w:tab w:val="left" w:pos="2410"/>
              </w:tabs>
              <w:jc w:val="both"/>
              <w:outlineLvl w:val="0"/>
              <w:rPr>
                <w:rFonts w:ascii="Times New Roman" w:hAnsi="Times New Roman" w:cs="Times New Roman"/>
                <w:sz w:val="20"/>
                <w:szCs w:val="20"/>
              </w:rPr>
            </w:pPr>
            <w:r w:rsidRPr="0035187E">
              <w:rPr>
                <w:rFonts w:ascii="Times New Roman" w:hAnsi="Times New Roman" w:cs="Times New Roman"/>
                <w:sz w:val="20"/>
                <w:szCs w:val="20"/>
              </w:rPr>
              <w:t xml:space="preserve">V případě např. domovů pro seniory není jejich cílem vstupovat na trh s nabídkou zdravotních služeb, ale pouze v rámci sociálních služeb zabezpečit zdravotní potřeby svých klientů. Je zřejmé, že se jedná o opominutí zákonodárce ve vztahu k vymezené skupině poskytovatelů sociálních služeb, navrhovaná změna tak má za cíl napravit toto opomenutí. </w:t>
            </w:r>
            <w:r w:rsidRPr="0035187E">
              <w:rPr>
                <w:rFonts w:ascii="Times New Roman" w:hAnsi="Times New Roman" w:cs="Times New Roman"/>
                <w:sz w:val="20"/>
                <w:szCs w:val="20"/>
              </w:rPr>
              <w:lastRenderedPageBreak/>
              <w:t>Vzhledem k tomu, že by změnou bylo zachování stávajícího stavu ve vztahu k poskytovatelům sociálních služeb, návrh je rozpočtově neutrální. Nedojde jím však k budoucímu zhoršení postavení poskytovatelů sociálních služeb.</w:t>
            </w:r>
          </w:p>
          <w:p w14:paraId="336B1F60" w14:textId="77777777" w:rsidR="000B4BD4" w:rsidRPr="0035187E" w:rsidRDefault="000B4BD4" w:rsidP="0035187E">
            <w:pPr>
              <w:jc w:val="both"/>
              <w:rPr>
                <w:rFonts w:ascii="Times New Roman" w:hAnsi="Times New Roman" w:cs="Times New Roman"/>
                <w:sz w:val="20"/>
                <w:szCs w:val="20"/>
              </w:rPr>
            </w:pPr>
          </w:p>
          <w:p w14:paraId="3449DDD1" w14:textId="50F810F3"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b/>
                <w:bCs/>
                <w:sz w:val="20"/>
                <w:szCs w:val="20"/>
              </w:rPr>
              <w:t xml:space="preserve">Tuto připomínku považuje Olomoucký kraj za </w:t>
            </w:r>
            <w:r w:rsidRPr="0035187E">
              <w:rPr>
                <w:rFonts w:ascii="Times New Roman" w:hAnsi="Times New Roman" w:cs="Times New Roman"/>
                <w:b/>
                <w:bCs/>
                <w:sz w:val="20"/>
                <w:szCs w:val="20"/>
                <w:u w:val="single"/>
              </w:rPr>
              <w:t>zásadní</w:t>
            </w:r>
            <w:r w:rsidRPr="0035187E">
              <w:rPr>
                <w:rFonts w:ascii="Times New Roman" w:hAnsi="Times New Roman" w:cs="Times New Roman"/>
                <w:sz w:val="20"/>
                <w:szCs w:val="20"/>
              </w:rPr>
              <w:t>.</w:t>
            </w:r>
          </w:p>
        </w:tc>
        <w:tc>
          <w:tcPr>
            <w:tcW w:w="1453" w:type="pct"/>
            <w:tcBorders>
              <w:top w:val="single" w:sz="4" w:space="0" w:color="auto"/>
              <w:left w:val="single" w:sz="4" w:space="0" w:color="auto"/>
              <w:right w:val="single" w:sz="4" w:space="0" w:color="auto"/>
            </w:tcBorders>
            <w:shd w:val="clear" w:color="auto" w:fill="auto"/>
          </w:tcPr>
          <w:p w14:paraId="72B6C559"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Nevyhověno.</w:t>
            </w:r>
          </w:p>
          <w:p w14:paraId="68BDE163"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Podle informací MF poplatníci poskytující sociální služby, kteří budou mít zároveň i nově oprávnění k poskytování zdravotních služeb, s přechodem na nový systém „širokého základu daně“ počítají a připravují se na něj, nelze tedy bez širší diskuse tento režim zase omezit. Zároveň by mohlo dojít k situaci, kdy někteří z těchto poplatníků už na široký základ přešli a opět by se museli vracet zpět, což by bylo administrativně náročné. Jednoznačně nelze určit, který systém stanovení základu daně je pro poplatníky výhodnější. Při „úzkém základu daně“ některé příjmy nejsou předmětem daně, poplatníci však musí provádět administrativně náročné klíčování a určité typy příjmů zdanit vždy. V širokém základu daně jsou předmětem daně všechny příjmy (s výjimkou investičních dotací), zároveň však oproti těmto příjmům lze započítat veškeré daňově uznatelné náklady, což může vyústit v nulový základ daně. Nelze tedy souhlasit, že dojde ke zhoršenému postavení poskytovatelů sociálních služeb.</w:t>
            </w:r>
          </w:p>
          <w:p w14:paraId="577C8F1F"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Přechod na nový systém bude vyřešen novou úpravou, která zajistí, že se systém nebude měnit v průběhu zdaňovacího období.</w:t>
            </w:r>
          </w:p>
          <w:p w14:paraId="19BEB509" w14:textId="77777777" w:rsidR="000C1241" w:rsidRPr="0035187E" w:rsidRDefault="000C1241" w:rsidP="0035187E">
            <w:pPr>
              <w:jc w:val="both"/>
              <w:rPr>
                <w:rFonts w:ascii="Times New Roman" w:hAnsi="Times New Roman" w:cs="Times New Roman"/>
                <w:sz w:val="20"/>
                <w:szCs w:val="20"/>
              </w:rPr>
            </w:pPr>
          </w:p>
          <w:p w14:paraId="58AFDA4B" w14:textId="2CB9B11A" w:rsidR="000C1241" w:rsidRPr="0035187E" w:rsidRDefault="000C1241"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 xml:space="preserve">Připomínkové místo se s argumentací k připomínce vztahující se k zachování současného stavu – úzkého základu daně pro poskytovatele sociálních služeb - není možné se ztotožnit, dovoluje si tak navrhnout zvážení jiné možnosti zachování jisté daňové „výhody/ pro „poskytovatele zdravotních služeb s převažující činností poskytování sociálních služeb podle </w:t>
            </w:r>
            <w:r w:rsidRPr="0035187E">
              <w:rPr>
                <w:rFonts w:ascii="Times New Roman" w:hAnsi="Times New Roman" w:cs="Times New Roman"/>
                <w:i/>
                <w:iCs/>
                <w:sz w:val="20"/>
                <w:szCs w:val="20"/>
              </w:rPr>
              <w:lastRenderedPageBreak/>
              <w:t xml:space="preserve">zákona upravujícího poskytování sociálních služeb“ možnost (i nadále, resp. po získání oprávnění k poskytování zdravotních služeb), tedy snížení základu daně ve smyslu: </w:t>
            </w:r>
          </w:p>
          <w:p w14:paraId="10CF5E5D" w14:textId="6ACC034A" w:rsidR="000B4BD4" w:rsidRPr="0035187E" w:rsidRDefault="000C1241" w:rsidP="0035187E">
            <w:pPr>
              <w:jc w:val="both"/>
              <w:rPr>
                <w:rFonts w:ascii="Times New Roman" w:hAnsi="Times New Roman" w:cs="Times New Roman"/>
                <w:sz w:val="20"/>
                <w:szCs w:val="20"/>
              </w:rPr>
            </w:pPr>
            <w:r w:rsidRPr="0035187E">
              <w:rPr>
                <w:rFonts w:ascii="Times New Roman" w:hAnsi="Times New Roman" w:cs="Times New Roman"/>
                <w:i/>
                <w:iCs/>
                <w:sz w:val="20"/>
                <w:szCs w:val="20"/>
              </w:rPr>
              <w:t>Základ daně zjištěný podle § 20 odst. 1 snížený podle § 34 dále snížit až o 30 %, maximálně však o 1 000 000 Kč, použije-li prostředky získané touto úsporou na dani v následujícím zdaňovacím období ke krytí nákladů (výdajů) prováděných nepodnikatelských činností. V případě, že 30% snížení činí méně než 300 000 Kč, lze odečíst částku ve výši 300 000 Kč, maximálně však do výše základu daně. Veřejná vysoká škola, obecně prospěšná společnost nebo ústav, které jsou soukromou vysokou školou podle zákona upravujícího vysoké školy, a veřejná výzkumná instituce mohou základ daně zjištěný podle § 20 odstavce 1 snížený podle § 34 dále snížit až o 30 %, maximálně však o 3 000 000 Kč, použijí-li prostředky získané touto úsporou na dani v následujícím zdaňovacím období ke krytí nákladů (výdajů) na vzdělávání, vědecké, výzkumné, vývojové nebo umělecké činnosti a v případě, že 30% snížení činí méně než 1 000 000 Kč, mohou odečíst částku ve výši 1 000 000 Kč, maximálně však do výše základu daně.</w:t>
            </w:r>
          </w:p>
        </w:tc>
      </w:tr>
      <w:tr w:rsidR="0035187E" w:rsidRPr="0035187E" w14:paraId="5742222E"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57775AA" w14:textId="3AAE67C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56.</w:t>
            </w:r>
          </w:p>
        </w:tc>
        <w:tc>
          <w:tcPr>
            <w:tcW w:w="583" w:type="pct"/>
            <w:tcBorders>
              <w:top w:val="single" w:sz="4" w:space="0" w:color="auto"/>
              <w:left w:val="single" w:sz="4" w:space="0" w:color="auto"/>
              <w:right w:val="single" w:sz="4" w:space="0" w:color="auto"/>
            </w:tcBorders>
            <w:shd w:val="clear" w:color="auto" w:fill="auto"/>
          </w:tcPr>
          <w:p w14:paraId="32E9E1C9" w14:textId="4FCF14D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Krajský úřad Olomouckého kraje</w:t>
            </w:r>
          </w:p>
        </w:tc>
        <w:tc>
          <w:tcPr>
            <w:tcW w:w="168" w:type="pct"/>
            <w:tcBorders>
              <w:top w:val="single" w:sz="4" w:space="0" w:color="auto"/>
              <w:left w:val="single" w:sz="4" w:space="0" w:color="auto"/>
              <w:right w:val="single" w:sz="4" w:space="0" w:color="auto"/>
            </w:tcBorders>
            <w:shd w:val="clear" w:color="auto" w:fill="auto"/>
          </w:tcPr>
          <w:p w14:paraId="5187AC7E" w14:textId="1981B09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w:t>
            </w:r>
          </w:p>
        </w:tc>
        <w:tc>
          <w:tcPr>
            <w:tcW w:w="169" w:type="pct"/>
            <w:tcBorders>
              <w:top w:val="single" w:sz="4" w:space="0" w:color="auto"/>
              <w:left w:val="single" w:sz="4" w:space="0" w:color="auto"/>
              <w:right w:val="single" w:sz="4" w:space="0" w:color="auto"/>
            </w:tcBorders>
            <w:shd w:val="clear" w:color="auto" w:fill="auto"/>
          </w:tcPr>
          <w:p w14:paraId="5CF13AC2" w14:textId="1F60C86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A66A193" w14:textId="77777777" w:rsidR="000B4BD4" w:rsidRPr="0035187E" w:rsidRDefault="000B4BD4" w:rsidP="0035187E">
            <w:pPr>
              <w:numPr>
                <w:ilvl w:val="0"/>
                <w:numId w:val="21"/>
              </w:numPr>
              <w:tabs>
                <w:tab w:val="left" w:pos="284"/>
                <w:tab w:val="left" w:pos="567"/>
                <w:tab w:val="left" w:pos="709"/>
                <w:tab w:val="left" w:pos="851"/>
              </w:tabs>
              <w:ind w:left="0" w:firstLine="0"/>
              <w:jc w:val="both"/>
              <w:rPr>
                <w:rFonts w:ascii="Times New Roman" w:hAnsi="Times New Roman" w:cs="Times New Roman"/>
                <w:b/>
                <w:bCs/>
                <w:sz w:val="20"/>
                <w:szCs w:val="20"/>
                <w:u w:val="single"/>
              </w:rPr>
            </w:pPr>
            <w:r w:rsidRPr="0035187E">
              <w:rPr>
                <w:rFonts w:ascii="Times New Roman" w:hAnsi="Times New Roman" w:cs="Times New Roman"/>
                <w:b/>
                <w:bCs/>
                <w:sz w:val="20"/>
                <w:szCs w:val="20"/>
                <w:u w:val="single"/>
              </w:rPr>
              <w:t xml:space="preserve">K Části druhé Návrhu – Změna ZDP: </w:t>
            </w:r>
          </w:p>
          <w:p w14:paraId="63F69AD8" w14:textId="77777777" w:rsidR="000B4BD4" w:rsidRPr="0035187E" w:rsidRDefault="000B4BD4" w:rsidP="0035187E">
            <w:pPr>
              <w:tabs>
                <w:tab w:val="left" w:pos="284"/>
                <w:tab w:val="left" w:pos="567"/>
                <w:tab w:val="left" w:pos="709"/>
                <w:tab w:val="left" w:pos="851"/>
              </w:tabs>
              <w:jc w:val="both"/>
              <w:rPr>
                <w:rFonts w:ascii="Times New Roman" w:hAnsi="Times New Roman" w:cs="Times New Roman"/>
                <w:b/>
                <w:bCs/>
                <w:sz w:val="20"/>
                <w:szCs w:val="20"/>
              </w:rPr>
            </w:pPr>
          </w:p>
          <w:p w14:paraId="6E5133E8" w14:textId="2692ACA9" w:rsidR="000B4BD4" w:rsidRPr="0035187E" w:rsidRDefault="000B4BD4" w:rsidP="0035187E">
            <w:pPr>
              <w:tabs>
                <w:tab w:val="left" w:pos="284"/>
                <w:tab w:val="left" w:pos="567"/>
                <w:tab w:val="left" w:pos="709"/>
                <w:tab w:val="left" w:pos="851"/>
              </w:tabs>
              <w:jc w:val="both"/>
              <w:rPr>
                <w:rFonts w:ascii="Times New Roman" w:hAnsi="Times New Roman" w:cs="Times New Roman"/>
                <w:b/>
                <w:bCs/>
                <w:sz w:val="20"/>
                <w:szCs w:val="20"/>
              </w:rPr>
            </w:pPr>
            <w:r w:rsidRPr="0035187E">
              <w:rPr>
                <w:rFonts w:ascii="Times New Roman" w:hAnsi="Times New Roman" w:cs="Times New Roman"/>
                <w:b/>
                <w:bCs/>
                <w:sz w:val="20"/>
                <w:szCs w:val="20"/>
              </w:rPr>
              <w:t>Navrhujeme v § 18a doplnit odstavec 6, který zní:</w:t>
            </w:r>
          </w:p>
          <w:p w14:paraId="3C412B44" w14:textId="77777777" w:rsidR="000B4BD4" w:rsidRPr="0035187E" w:rsidRDefault="000B4BD4"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 xml:space="preserve">„(6) </w:t>
            </w:r>
            <w:r w:rsidRPr="0035187E">
              <w:rPr>
                <w:rFonts w:ascii="Times New Roman" w:hAnsi="Times New Roman" w:cs="Times New Roman"/>
                <w:b/>
                <w:bCs/>
                <w:i/>
                <w:iCs/>
                <w:sz w:val="20"/>
                <w:szCs w:val="20"/>
              </w:rPr>
              <w:t>U poplatníka daně z příjmů právnických osob, který je pouze část zdaňovacího období veřejně prospěšným poplatníkem podle odstavce 5, se použije odstavec 5 na příjmy za celé zdaňovací období</w:t>
            </w:r>
            <w:r w:rsidRPr="0035187E">
              <w:rPr>
                <w:rFonts w:ascii="Times New Roman" w:hAnsi="Times New Roman" w:cs="Times New Roman"/>
                <w:i/>
                <w:iCs/>
                <w:sz w:val="20"/>
                <w:szCs w:val="20"/>
              </w:rPr>
              <w:t>.“.</w:t>
            </w:r>
          </w:p>
          <w:p w14:paraId="28654DFA" w14:textId="77777777" w:rsidR="000B4BD4" w:rsidRPr="0035187E" w:rsidRDefault="000B4BD4" w:rsidP="0035187E">
            <w:pPr>
              <w:jc w:val="both"/>
              <w:rPr>
                <w:rFonts w:ascii="Times New Roman" w:hAnsi="Times New Roman" w:cs="Times New Roman"/>
                <w:sz w:val="20"/>
                <w:szCs w:val="20"/>
                <w:u w:val="single"/>
              </w:rPr>
            </w:pPr>
          </w:p>
          <w:p w14:paraId="2B259D68" w14:textId="069F4D4E"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w:t>
            </w:r>
            <w:r w:rsidRPr="0035187E">
              <w:rPr>
                <w:rFonts w:ascii="Times New Roman" w:hAnsi="Times New Roman" w:cs="Times New Roman"/>
                <w:sz w:val="20"/>
                <w:szCs w:val="20"/>
              </w:rPr>
              <w:t>:</w:t>
            </w:r>
          </w:p>
          <w:p w14:paraId="5D14601E" w14:textId="516D42D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V současné době není v ZDP řešeno, jakým způsobem má postupovat veřejně prospěšný poplatník (dále jen „VPP“), který v průběhu zdaňovacího období přestane nebo začne splňovat podmínky pro VPP s tzv. širokým základem daně, tedy základem daně určovaným podle § 18a odst. 4 ZDP. Navrhuje se tedy nové ustanovení, které stanoví, že v případě, kdy je poplatník alespoň část zdaňovacího období poplatníkem se širokým základem daně, stanoví základ daně, jako by byl tímto poplatníkem celé zdaňovací období. Zajišťuje se tak jednotný postup poplatníků při stanovení základu daně a aplikace tzv. širokého základu daně je při přechodu na nový režim administrativně jednodušší. Pro účely uplatnění srážkové daně podle § 36 odst. 5 písm. a) ZDP to neplatí; skutečnost, zda se uplatní srážková daň, by se měla posoudit vždy v okamžiku vzniku příjmu podle charakteru poplatníka v dané chvíli.</w:t>
            </w:r>
          </w:p>
          <w:p w14:paraId="67AA15D5" w14:textId="77777777" w:rsidR="000B4BD4" w:rsidRPr="0035187E" w:rsidRDefault="000B4BD4" w:rsidP="0035187E">
            <w:pPr>
              <w:jc w:val="both"/>
              <w:rPr>
                <w:rFonts w:ascii="Times New Roman" w:hAnsi="Times New Roman" w:cs="Times New Roman"/>
                <w:sz w:val="20"/>
                <w:szCs w:val="20"/>
              </w:rPr>
            </w:pPr>
          </w:p>
          <w:p w14:paraId="71B847B8" w14:textId="03148385"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Ke změně z úzkého základu daně na široký základ daně u VPP v průběhu zdaňovacího období může dojít např. v případě, pokud v průběhu zdaňovacího období VPP dostane oprávnění k poskytování zdravotních služeb podle zákona upravujícího zdravotní služby.</w:t>
            </w:r>
          </w:p>
          <w:p w14:paraId="45063173" w14:textId="77777777" w:rsidR="000B4BD4" w:rsidRPr="0035187E" w:rsidRDefault="000B4BD4" w:rsidP="0035187E">
            <w:pPr>
              <w:jc w:val="both"/>
              <w:rPr>
                <w:rFonts w:ascii="Times New Roman" w:hAnsi="Times New Roman" w:cs="Times New Roman"/>
                <w:sz w:val="20"/>
                <w:szCs w:val="20"/>
              </w:rPr>
            </w:pPr>
          </w:p>
          <w:p w14:paraId="2D680E47" w14:textId="7AE27BA1"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b/>
                <w:bCs/>
                <w:sz w:val="20"/>
                <w:szCs w:val="20"/>
              </w:rPr>
              <w:t xml:space="preserve">Tuto připomínku považuje Olomoucký kraj za </w:t>
            </w:r>
            <w:r w:rsidRPr="0035187E">
              <w:rPr>
                <w:rFonts w:ascii="Times New Roman" w:hAnsi="Times New Roman" w:cs="Times New Roman"/>
                <w:b/>
                <w:bCs/>
                <w:sz w:val="20"/>
                <w:szCs w:val="20"/>
                <w:u w:val="single"/>
              </w:rPr>
              <w:t>zásadní</w:t>
            </w:r>
            <w:r w:rsidRPr="0035187E">
              <w:rPr>
                <w:rFonts w:ascii="Times New Roman" w:hAnsi="Times New Roman" w:cs="Times New Roman"/>
                <w:sz w:val="20"/>
                <w:szCs w:val="20"/>
              </w:rPr>
              <w:t>.</w:t>
            </w:r>
          </w:p>
        </w:tc>
        <w:tc>
          <w:tcPr>
            <w:tcW w:w="1453" w:type="pct"/>
            <w:tcBorders>
              <w:top w:val="single" w:sz="4" w:space="0" w:color="auto"/>
              <w:left w:val="single" w:sz="4" w:space="0" w:color="auto"/>
              <w:right w:val="single" w:sz="4" w:space="0" w:color="auto"/>
            </w:tcBorders>
            <w:shd w:val="clear" w:color="auto" w:fill="auto"/>
          </w:tcPr>
          <w:p w14:paraId="785B77F2"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Vyhověno jinak.</w:t>
            </w:r>
          </w:p>
          <w:p w14:paraId="0BF87F8E" w14:textId="681565B7" w:rsidR="000B4BD4" w:rsidRPr="0035187E" w:rsidRDefault="000B4BD4" w:rsidP="0035187E">
            <w:pPr>
              <w:jc w:val="both"/>
              <w:rPr>
                <w:rFonts w:ascii="Times New Roman" w:hAnsi="Times New Roman" w:cs="Times New Roman"/>
                <w:i/>
                <w:sz w:val="20"/>
                <w:szCs w:val="20"/>
              </w:rPr>
            </w:pPr>
            <w:r w:rsidRPr="0035187E">
              <w:rPr>
                <w:rFonts w:ascii="Times New Roman" w:hAnsi="Times New Roman" w:cs="Times New Roman"/>
                <w:sz w:val="20"/>
                <w:szCs w:val="20"/>
              </w:rPr>
              <w:t>Bude navrženo nové pravidlo, které zajistí, že veřejně prospěšný poplatník, který v průběhu zdaňovacího období přestane nebo začne splňovat podmínky pro veřejně prospěšného poplatníka s tzv. širokým základem daně, tedy základem daně určovaným podle § 18a odst. 5, bude postupovat podle původního režimu na počátku zdaňovacího období po celé zdaňovací období, ve kterém ke změně došlo. Ke přechodu na nový systém dojde až v následujícím zdaňovacím období. To pro poplatníky zajistí jednoduší přechod, neboť nebudou muset zpětně cokoliv měnit. V případě, že by poplatník např. získal oprávnění poskytovat zdravotní služby ke konci roku, mohlo by být pro něj problematické zpětně opravovat evidenci.</w:t>
            </w:r>
          </w:p>
        </w:tc>
      </w:tr>
      <w:tr w:rsidR="0035187E" w:rsidRPr="0035187E" w14:paraId="09987DCF"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94ADA89" w14:textId="7A6C940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58.</w:t>
            </w:r>
          </w:p>
        </w:tc>
        <w:tc>
          <w:tcPr>
            <w:tcW w:w="583" w:type="pct"/>
            <w:tcBorders>
              <w:top w:val="single" w:sz="4" w:space="0" w:color="auto"/>
              <w:left w:val="single" w:sz="4" w:space="0" w:color="auto"/>
              <w:right w:val="single" w:sz="4" w:space="0" w:color="auto"/>
            </w:tcBorders>
            <w:shd w:val="clear" w:color="auto" w:fill="auto"/>
          </w:tcPr>
          <w:p w14:paraId="07AE95B6" w14:textId="415873E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Krajský úřad Plzeňského kraje</w:t>
            </w:r>
          </w:p>
        </w:tc>
        <w:tc>
          <w:tcPr>
            <w:tcW w:w="168" w:type="pct"/>
            <w:tcBorders>
              <w:top w:val="single" w:sz="4" w:space="0" w:color="auto"/>
              <w:left w:val="single" w:sz="4" w:space="0" w:color="auto"/>
              <w:right w:val="single" w:sz="4" w:space="0" w:color="auto"/>
            </w:tcBorders>
            <w:shd w:val="clear" w:color="auto" w:fill="auto"/>
          </w:tcPr>
          <w:p w14:paraId="4FB215B9" w14:textId="5A8DA86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7DF8334B" w14:textId="07833D3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21674A5" w14:textId="77777777" w:rsidR="000B4BD4" w:rsidRPr="0035187E" w:rsidRDefault="000B4BD4" w:rsidP="0035187E">
            <w:pPr>
              <w:widowControl w:val="0"/>
              <w:autoSpaceDE w:val="0"/>
              <w:autoSpaceDN w:val="0"/>
              <w:adjustRightInd w:val="0"/>
              <w:jc w:val="both"/>
              <w:rPr>
                <w:rFonts w:ascii="Times New Roman" w:hAnsi="Times New Roman" w:cs="Times New Roman"/>
                <w:b/>
                <w:sz w:val="20"/>
                <w:szCs w:val="20"/>
              </w:rPr>
            </w:pPr>
            <w:r w:rsidRPr="0035187E">
              <w:rPr>
                <w:rFonts w:ascii="Times New Roman" w:hAnsi="Times New Roman" w:cs="Times New Roman"/>
                <w:b/>
                <w:sz w:val="20"/>
                <w:szCs w:val="20"/>
              </w:rPr>
              <w:t>Zásadní připomínky:</w:t>
            </w:r>
          </w:p>
          <w:p w14:paraId="5285B0D0" w14:textId="77777777" w:rsidR="000B4BD4" w:rsidRPr="0035187E" w:rsidRDefault="000B4BD4" w:rsidP="0035187E">
            <w:pPr>
              <w:widowControl w:val="0"/>
              <w:numPr>
                <w:ilvl w:val="0"/>
                <w:numId w:val="48"/>
              </w:numPr>
              <w:autoSpaceDE w:val="0"/>
              <w:autoSpaceDN w:val="0"/>
              <w:adjustRightInd w:val="0"/>
              <w:jc w:val="both"/>
              <w:rPr>
                <w:rFonts w:ascii="Times New Roman" w:hAnsi="Times New Roman" w:cs="Times New Roman"/>
                <w:sz w:val="20"/>
                <w:szCs w:val="20"/>
                <w:u w:val="single"/>
              </w:rPr>
            </w:pPr>
            <w:r w:rsidRPr="0035187E">
              <w:rPr>
                <w:rFonts w:ascii="Times New Roman" w:hAnsi="Times New Roman" w:cs="Times New Roman"/>
                <w:sz w:val="20"/>
                <w:szCs w:val="20"/>
                <w:u w:val="single"/>
              </w:rPr>
              <w:t xml:space="preserve">Ke znění </w:t>
            </w:r>
            <w:proofErr w:type="spellStart"/>
            <w:r w:rsidRPr="0035187E">
              <w:rPr>
                <w:rFonts w:ascii="Times New Roman" w:hAnsi="Times New Roman" w:cs="Times New Roman"/>
                <w:sz w:val="20"/>
                <w:szCs w:val="20"/>
                <w:u w:val="single"/>
              </w:rPr>
              <w:t>ust</w:t>
            </w:r>
            <w:proofErr w:type="spellEnd"/>
            <w:r w:rsidRPr="0035187E">
              <w:rPr>
                <w:rFonts w:ascii="Times New Roman" w:hAnsi="Times New Roman" w:cs="Times New Roman"/>
                <w:sz w:val="20"/>
                <w:szCs w:val="20"/>
                <w:u w:val="single"/>
              </w:rPr>
              <w:t>. § 18a zákona č. 586/1992 Sb., o daních z příjmů</w:t>
            </w:r>
          </w:p>
          <w:p w14:paraId="6DDCF15A" w14:textId="77777777" w:rsidR="000B4BD4" w:rsidRPr="0035187E" w:rsidRDefault="000B4BD4" w:rsidP="0035187E">
            <w:pPr>
              <w:widowControl w:val="0"/>
              <w:autoSpaceDE w:val="0"/>
              <w:autoSpaceDN w:val="0"/>
              <w:adjustRightInd w:val="0"/>
              <w:jc w:val="both"/>
              <w:rPr>
                <w:rFonts w:ascii="Times New Roman" w:hAnsi="Times New Roman" w:cs="Times New Roman"/>
                <w:sz w:val="20"/>
                <w:szCs w:val="20"/>
                <w:u w:val="single"/>
              </w:rPr>
            </w:pPr>
          </w:p>
          <w:p w14:paraId="50240913" w14:textId="77777777" w:rsidR="000B4BD4" w:rsidRPr="0035187E" w:rsidRDefault="000B4BD4" w:rsidP="0035187E">
            <w:pPr>
              <w:widowControl w:val="0"/>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V § 18a se doplňuje odstavec 6, který zní:</w:t>
            </w:r>
          </w:p>
          <w:p w14:paraId="117CEFA7" w14:textId="77777777" w:rsidR="000B4BD4" w:rsidRPr="0035187E" w:rsidRDefault="000B4BD4" w:rsidP="0035187E">
            <w:pPr>
              <w:widowControl w:val="0"/>
              <w:autoSpaceDE w:val="0"/>
              <w:autoSpaceDN w:val="0"/>
              <w:adjustRightInd w:val="0"/>
              <w:jc w:val="both"/>
              <w:rPr>
                <w:rFonts w:ascii="Times New Roman" w:hAnsi="Times New Roman" w:cs="Times New Roman"/>
                <w:b/>
                <w:bCs/>
                <w:sz w:val="20"/>
                <w:szCs w:val="20"/>
              </w:rPr>
            </w:pPr>
            <w:r w:rsidRPr="0035187E">
              <w:rPr>
                <w:rFonts w:ascii="Times New Roman" w:hAnsi="Times New Roman" w:cs="Times New Roman"/>
                <w:b/>
                <w:bCs/>
                <w:sz w:val="20"/>
                <w:szCs w:val="20"/>
              </w:rPr>
              <w:t>„(6) U poplatníka daně z příjmů právnických osob, který je pouze část zdaňovacího období veřejně prospěšným poplatníkem podle odstavce 5, se použije odstavec 5 na příjmy za celé zdaňovací období.“.</w:t>
            </w:r>
          </w:p>
          <w:p w14:paraId="010293AB" w14:textId="77777777" w:rsidR="000B4BD4" w:rsidRPr="0035187E" w:rsidRDefault="000B4BD4" w:rsidP="0035187E">
            <w:pPr>
              <w:widowControl w:val="0"/>
              <w:autoSpaceDE w:val="0"/>
              <w:autoSpaceDN w:val="0"/>
              <w:adjustRightInd w:val="0"/>
              <w:jc w:val="both"/>
              <w:rPr>
                <w:rFonts w:ascii="Times New Roman" w:hAnsi="Times New Roman" w:cs="Times New Roman"/>
                <w:sz w:val="20"/>
                <w:szCs w:val="20"/>
              </w:rPr>
            </w:pPr>
          </w:p>
          <w:p w14:paraId="5AE7AADC" w14:textId="77777777" w:rsidR="000B4BD4" w:rsidRPr="0035187E" w:rsidRDefault="000B4BD4" w:rsidP="0035187E">
            <w:pPr>
              <w:widowControl w:val="0"/>
              <w:autoSpaceDE w:val="0"/>
              <w:autoSpaceDN w:val="0"/>
              <w:adjustRightInd w:val="0"/>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 k bodu 1 (§ 18a odst. 6)</w:t>
            </w:r>
          </w:p>
          <w:p w14:paraId="0492AC6B" w14:textId="77777777" w:rsidR="000B4BD4" w:rsidRPr="0035187E" w:rsidRDefault="000B4BD4" w:rsidP="0035187E">
            <w:pPr>
              <w:widowControl w:val="0"/>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V současné době není v zákoně o daních z příjmů řešeno, jakým způsobem má postupovat veřejně prospěšný poplatník, který v průběhu zdaňovacího období přestane nebo začne splňovat podmínky pro veřejně prospěšného poplatníka s tzv. širokým základem daně, tedy základem daně určovaným podle § 18a odst. 4. Navrhuje se tedy nové ustanovení, které stanoví, že v případě, kdy je poplatník alespoň část zdaňovacího období poplatníkem se širokým základem daně, stanoví základ daně, jako by byl tímto poplatníkem celé zdaňovací období. Zajišťuje se tak jednotný postup poplatníků při stanovení základu daně a aplikace tzv. širokého základu daně je při přechodu na nový režim administrativně jednodušší. Pro účely uplatnění srážkové daně podle § 36 odst. 5 písm. a) ZDP to neplatí, skutečnost, zda se uplatní srážková daň, by se měla posoudit vždy v okamžiku vzniku příjmu podle charakteru poplatníka v dané chvíli.</w:t>
            </w:r>
          </w:p>
          <w:p w14:paraId="35D4C353" w14:textId="2D9F1063" w:rsidR="000B4BD4" w:rsidRPr="0035187E" w:rsidRDefault="000B4BD4" w:rsidP="0035187E">
            <w:pPr>
              <w:widowControl w:val="0"/>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Ke změně z úzkého základu daně na široký základ daně u VPP v průběhu zdaňovacího období může dojít např. v případě, pokud v průběhu zdaňovacího období VPP dostane oprávnění k poskytování zdravotních služeb podle zákona upravujícího zdravotní služby.</w:t>
            </w:r>
          </w:p>
        </w:tc>
        <w:tc>
          <w:tcPr>
            <w:tcW w:w="1453" w:type="pct"/>
            <w:tcBorders>
              <w:top w:val="single" w:sz="4" w:space="0" w:color="auto"/>
              <w:left w:val="single" w:sz="4" w:space="0" w:color="auto"/>
              <w:right w:val="single" w:sz="4" w:space="0" w:color="auto"/>
            </w:tcBorders>
            <w:shd w:val="clear" w:color="auto" w:fill="auto"/>
          </w:tcPr>
          <w:p w14:paraId="4D744C04"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Vyhověno jinak.</w:t>
            </w:r>
          </w:p>
          <w:p w14:paraId="4B6B2D6F"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Bude navrženo nové pravidlo, které zajistí, že veřejně prospěšný poplatník, který v průběhu zdaňovacího období přestane nebo začne splňovat podmínky pro veřejně prospěšného poplatníka s tzv. širokým základem daně, tedy základem daně určovaným podle § 18a odst. 5, bude postupovat podle původního režimu na počátku zdaňovacího období po celé zdaňovací období, ve kterém ke změně došlo. Ke přechodu na nový systém dojde až v následujícím zdaňovacím období. To pro poplatníky zajistí jednoduší přechod, neboť nebudou muset zpětně cokoliv měnit. V případě, že by poplatník např. získal oprávnění poskytovat zdravotní služby ke konci roku, mohlo by být pro něj problematické zpětně opravovat evidenci.</w:t>
            </w:r>
          </w:p>
          <w:p w14:paraId="41062D1E" w14:textId="77777777" w:rsidR="00A30E90" w:rsidRPr="0035187E" w:rsidRDefault="00A30E90" w:rsidP="0035187E">
            <w:pPr>
              <w:jc w:val="both"/>
              <w:rPr>
                <w:rFonts w:ascii="Times New Roman" w:hAnsi="Times New Roman" w:cs="Times New Roman"/>
                <w:sz w:val="20"/>
                <w:szCs w:val="20"/>
              </w:rPr>
            </w:pPr>
          </w:p>
          <w:p w14:paraId="3E562364" w14:textId="258D99F5" w:rsidR="00A30E90" w:rsidRPr="0035187E" w:rsidRDefault="00A30E90" w:rsidP="0035187E">
            <w:pPr>
              <w:jc w:val="both"/>
              <w:rPr>
                <w:rFonts w:ascii="Times New Roman" w:hAnsi="Times New Roman" w:cs="Times New Roman"/>
                <w:i/>
                <w:sz w:val="20"/>
                <w:szCs w:val="20"/>
              </w:rPr>
            </w:pPr>
            <w:r w:rsidRPr="0035187E">
              <w:rPr>
                <w:rFonts w:ascii="Times New Roman" w:hAnsi="Times New Roman" w:cs="Times New Roman"/>
                <w:i/>
                <w:sz w:val="20"/>
                <w:szCs w:val="20"/>
              </w:rPr>
              <w:t>Připomínkové místo uvedlo, že vypořádání je z jejich strany akceptováno.</w:t>
            </w:r>
          </w:p>
        </w:tc>
      </w:tr>
      <w:tr w:rsidR="0035187E" w:rsidRPr="0035187E" w14:paraId="04984DD4" w14:textId="77777777" w:rsidTr="0035187E">
        <w:trPr>
          <w:trHeight w:val="139"/>
        </w:trPr>
        <w:tc>
          <w:tcPr>
            <w:tcW w:w="227" w:type="pct"/>
            <w:tcBorders>
              <w:top w:val="single" w:sz="4" w:space="0" w:color="auto"/>
              <w:left w:val="single" w:sz="4" w:space="0" w:color="auto"/>
              <w:right w:val="single" w:sz="4" w:space="0" w:color="auto"/>
            </w:tcBorders>
            <w:shd w:val="clear" w:color="auto" w:fill="auto"/>
          </w:tcPr>
          <w:p w14:paraId="5EAAD980" w14:textId="44061D3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58.</w:t>
            </w:r>
          </w:p>
        </w:tc>
        <w:tc>
          <w:tcPr>
            <w:tcW w:w="583" w:type="pct"/>
            <w:tcBorders>
              <w:top w:val="single" w:sz="4" w:space="0" w:color="auto"/>
              <w:left w:val="single" w:sz="4" w:space="0" w:color="auto"/>
              <w:right w:val="single" w:sz="4" w:space="0" w:color="auto"/>
            </w:tcBorders>
            <w:shd w:val="clear" w:color="auto" w:fill="auto"/>
          </w:tcPr>
          <w:p w14:paraId="5B66E787" w14:textId="399CDC1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Krajský úřad Plzeňského kraje</w:t>
            </w:r>
          </w:p>
        </w:tc>
        <w:tc>
          <w:tcPr>
            <w:tcW w:w="168" w:type="pct"/>
            <w:tcBorders>
              <w:top w:val="single" w:sz="4" w:space="0" w:color="auto"/>
              <w:left w:val="single" w:sz="4" w:space="0" w:color="auto"/>
              <w:right w:val="single" w:sz="4" w:space="0" w:color="auto"/>
            </w:tcBorders>
            <w:shd w:val="clear" w:color="auto" w:fill="auto"/>
          </w:tcPr>
          <w:p w14:paraId="15CD12B1" w14:textId="32DB6FA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w:t>
            </w:r>
          </w:p>
        </w:tc>
        <w:tc>
          <w:tcPr>
            <w:tcW w:w="169" w:type="pct"/>
            <w:tcBorders>
              <w:top w:val="single" w:sz="4" w:space="0" w:color="auto"/>
              <w:left w:val="single" w:sz="4" w:space="0" w:color="auto"/>
              <w:right w:val="single" w:sz="4" w:space="0" w:color="auto"/>
            </w:tcBorders>
            <w:shd w:val="clear" w:color="auto" w:fill="auto"/>
          </w:tcPr>
          <w:p w14:paraId="7752D24F" w14:textId="2757C4F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007003D" w14:textId="77777777" w:rsidR="000B4BD4" w:rsidRPr="0035187E" w:rsidRDefault="000B4BD4" w:rsidP="0035187E">
            <w:pPr>
              <w:widowControl w:val="0"/>
              <w:numPr>
                <w:ilvl w:val="0"/>
                <w:numId w:val="48"/>
              </w:numPr>
              <w:autoSpaceDE w:val="0"/>
              <w:autoSpaceDN w:val="0"/>
              <w:adjustRightInd w:val="0"/>
              <w:ind w:left="0" w:firstLine="0"/>
              <w:jc w:val="both"/>
              <w:rPr>
                <w:rFonts w:ascii="Times New Roman" w:hAnsi="Times New Roman" w:cs="Times New Roman"/>
                <w:sz w:val="20"/>
                <w:szCs w:val="20"/>
                <w:u w:val="single"/>
              </w:rPr>
            </w:pPr>
            <w:r w:rsidRPr="0035187E">
              <w:rPr>
                <w:rFonts w:ascii="Times New Roman" w:hAnsi="Times New Roman" w:cs="Times New Roman"/>
                <w:sz w:val="20"/>
                <w:szCs w:val="20"/>
                <w:u w:val="single"/>
              </w:rPr>
              <w:t xml:space="preserve">Ke znění </w:t>
            </w:r>
            <w:proofErr w:type="spellStart"/>
            <w:r w:rsidRPr="0035187E">
              <w:rPr>
                <w:rFonts w:ascii="Times New Roman" w:hAnsi="Times New Roman" w:cs="Times New Roman"/>
                <w:sz w:val="20"/>
                <w:szCs w:val="20"/>
                <w:u w:val="single"/>
              </w:rPr>
              <w:t>ust</w:t>
            </w:r>
            <w:proofErr w:type="spellEnd"/>
            <w:r w:rsidRPr="0035187E">
              <w:rPr>
                <w:rFonts w:ascii="Times New Roman" w:hAnsi="Times New Roman" w:cs="Times New Roman"/>
                <w:sz w:val="20"/>
                <w:szCs w:val="20"/>
                <w:u w:val="single"/>
              </w:rPr>
              <w:t>. § 18a zákona č. 586/1992 Sb., o daních z příjmů</w:t>
            </w:r>
          </w:p>
          <w:p w14:paraId="47A0E4AC" w14:textId="77777777" w:rsidR="000B4BD4" w:rsidRPr="0035187E" w:rsidRDefault="000B4BD4" w:rsidP="0035187E">
            <w:pPr>
              <w:widowControl w:val="0"/>
              <w:autoSpaceDE w:val="0"/>
              <w:autoSpaceDN w:val="0"/>
              <w:adjustRightInd w:val="0"/>
              <w:jc w:val="both"/>
              <w:rPr>
                <w:rFonts w:ascii="Times New Roman" w:hAnsi="Times New Roman" w:cs="Times New Roman"/>
                <w:sz w:val="20"/>
                <w:szCs w:val="20"/>
                <w:u w:val="single"/>
              </w:rPr>
            </w:pPr>
          </w:p>
          <w:p w14:paraId="02718363"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V § 18a se doplňuje odstavec 5 písm. c), který zní:</w:t>
            </w:r>
          </w:p>
          <w:p w14:paraId="60458AE0"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sz w:val="20"/>
                <w:szCs w:val="20"/>
              </w:rPr>
              <w:t xml:space="preserve">„c) poskytovatelem zdravotních služeb, který má oprávnění k poskytování zdravotních služeb podle zákona upravujícího zdravotní služby, </w:t>
            </w:r>
            <w:r w:rsidRPr="0035187E">
              <w:rPr>
                <w:rFonts w:ascii="Times New Roman" w:hAnsi="Times New Roman" w:cs="Times New Roman"/>
                <w:b/>
                <w:bCs/>
                <w:sz w:val="20"/>
                <w:szCs w:val="20"/>
              </w:rPr>
              <w:t>mimo poskytovatele zdravotních služeb s převažující činností poskytování sociálních služeb podle zákona upravujícího poskytování sociálních službách, u nichž je poskytování zdravotních služeb součástí sociálně-zdravotních služeb“.</w:t>
            </w:r>
          </w:p>
          <w:p w14:paraId="66EDA38A" w14:textId="77777777" w:rsidR="000B4BD4" w:rsidRPr="0035187E" w:rsidRDefault="000B4BD4" w:rsidP="0035187E">
            <w:pPr>
              <w:jc w:val="both"/>
              <w:rPr>
                <w:rFonts w:ascii="Times New Roman" w:hAnsi="Times New Roman" w:cs="Times New Roman"/>
                <w:sz w:val="20"/>
                <w:szCs w:val="20"/>
              </w:rPr>
            </w:pPr>
          </w:p>
          <w:p w14:paraId="45A7E21D" w14:textId="77777777"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 k bodu 2 (§ 18a odst. 5 písm. c):</w:t>
            </w:r>
          </w:p>
          <w:p w14:paraId="549A4B79"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Podle změnového zákona č. 38/2025 Sb., tzv. změnový zákon o sociálně zdravotním pomezí, musí poskytovatel taxativně vymezených druhů sociálních služeb, jejichž součástí je rovněž poskytování zdravotních služeb, získat nejpozději od 1. 1. 2027 oprávnění k po</w:t>
            </w:r>
            <w:r w:rsidRPr="0035187E">
              <w:rPr>
                <w:rFonts w:ascii="Times New Roman" w:hAnsi="Times New Roman" w:cs="Times New Roman"/>
                <w:sz w:val="20"/>
                <w:szCs w:val="20"/>
              </w:rPr>
              <w:lastRenderedPageBreak/>
              <w:t xml:space="preserve">skytování zdravotní služby. Vzhledem k tomu, že do této změny uvedeným zákonem, nebyl poskytovatel sociálních služeb poplatníkem s oprávním k poskytování zdravotních služeb, nejednalo se o poskytovatele zdravotních služeb. Dopadem této změny a zavedením povinného oprávnění ztratí poskytovatelé sociálních služeb jako nositelé oprávnění k poskytování zdravotních služeb daňová zvýhodnění veřejně prospěšných poplatníků, ačkoliv zdravotní složka péče tvoří pouze marginální část všech činností, kdy navíc z povahy sociálních služeb příjmy těchto poskytovatelů nedostačují na pokrytý nákladů za poskytování sociálních služeb. </w:t>
            </w:r>
          </w:p>
          <w:p w14:paraId="3F5B21E0" w14:textId="3E4E5219" w:rsidR="000B4BD4" w:rsidRPr="0035187E" w:rsidRDefault="000B4BD4" w:rsidP="0035187E">
            <w:pPr>
              <w:pStyle w:val="paragraph"/>
              <w:jc w:val="both"/>
              <w:textAlignment w:val="baseline"/>
              <w:rPr>
                <w:rFonts w:ascii="Times New Roman" w:hAnsi="Times New Roman" w:cs="Times New Roman"/>
                <w:sz w:val="20"/>
                <w:szCs w:val="20"/>
              </w:rPr>
            </w:pPr>
            <w:r w:rsidRPr="0035187E">
              <w:rPr>
                <w:rFonts w:ascii="Times New Roman" w:eastAsia="Times New Roman" w:hAnsi="Times New Roman" w:cs="Times New Roman"/>
                <w:sz w:val="20"/>
                <w:szCs w:val="20"/>
              </w:rPr>
              <w:t>Cílem změnového zákona by ale nemělo být zhoršení daňových podmínek pro poskytovatele sociálních služeb. Tato změna by se dotkla pouze některých druhů sociálních služeb a poskytovatelé sociálních služeb by měli rozdílné postavení z hlediska zákona o daních z příjmů. V případě např. domovů pro seniory není jejich cílem vstupovat na trh s nabídkou zdravotních služeb, ale pouze s rámci sociálních služeb zabezpečit zdravotní potřeby svých klientů. Je zřejmé, že se jedná o opominutí zákonodárce ve vztahu k vymezené skupině poskytovatelů sociálních služeb, navrhovaná změna tak má za cíl napravit toto opomenutí. Vzhledem k tomu, že by změnou bylo zachování stávajícího stavu ve vztahu k poskytovatelům sociálních služeb, návrh je rozpočtově neutrální. Nedojde jím však k budoucímu zhoršení postavení poskytovatelů sociálních služeb.</w:t>
            </w:r>
          </w:p>
        </w:tc>
        <w:tc>
          <w:tcPr>
            <w:tcW w:w="1453" w:type="pct"/>
            <w:tcBorders>
              <w:top w:val="single" w:sz="4" w:space="0" w:color="auto"/>
              <w:left w:val="single" w:sz="4" w:space="0" w:color="auto"/>
              <w:right w:val="single" w:sz="4" w:space="0" w:color="auto"/>
            </w:tcBorders>
            <w:shd w:val="clear" w:color="auto" w:fill="auto"/>
          </w:tcPr>
          <w:p w14:paraId="44BFD31F"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Nevyhověno.</w:t>
            </w:r>
          </w:p>
          <w:p w14:paraId="0E131638"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Podle informací MF poplatníci poskytující sociální služby, kteří budou mít zároveň i nově oprávnění k poskytování zdravotních služeb, s přechodem na nový systém „širokého základu daně“ počítají a připravují se na něj, nelze tedy bez širší diskuse tento režim zase omezit. Zároveň by mohlo dojít k situaci, kdy někteří z těchto poplatníků už na široký základ přešli a opět by se museli vracet zpět, což by bylo administrativně náročné. Jednoznačně nelze určit, který systém stanovení základu daně je pro poplatníky výhodnější. Při „úzkém základu daně“ některé příjmy nejsou předmětem daně, poplatníci však musí provádět administrativně náročné klíčování a určité typy </w:t>
            </w:r>
            <w:r w:rsidRPr="0035187E">
              <w:rPr>
                <w:rFonts w:ascii="Times New Roman" w:hAnsi="Times New Roman" w:cs="Times New Roman"/>
                <w:sz w:val="20"/>
                <w:szCs w:val="20"/>
              </w:rPr>
              <w:lastRenderedPageBreak/>
              <w:t>příjmů zdanit vždy. V širokém základu daně jsou předmětem daně všechny příjmy (s výjimkou investičních dotací), zároveň však oproti těmto příjmům lze započítat veškeré daňově uznatelné náklady, což může vyústit v nulový základ daně. Nelze tedy souhlasit, že dojde ke zhoršenému postavení poskytovatelů sociálních služeb.</w:t>
            </w:r>
          </w:p>
          <w:p w14:paraId="0D48208A"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Přechod na nový systém bude vyřešen novou úpravou, která zajistí, že se systém nebude měnit v průběhu zdaňovacího období.</w:t>
            </w:r>
          </w:p>
          <w:p w14:paraId="14F61F51" w14:textId="77777777" w:rsidR="000B4BD4" w:rsidRPr="0035187E" w:rsidRDefault="000B4BD4" w:rsidP="0035187E">
            <w:pPr>
              <w:jc w:val="both"/>
              <w:rPr>
                <w:rFonts w:ascii="Times New Roman" w:hAnsi="Times New Roman" w:cs="Times New Roman"/>
                <w:i/>
                <w:sz w:val="20"/>
                <w:szCs w:val="20"/>
              </w:rPr>
            </w:pPr>
          </w:p>
          <w:p w14:paraId="262F6DE9" w14:textId="411C1225" w:rsidR="004E6D82" w:rsidRPr="0035187E" w:rsidRDefault="004E6D82" w:rsidP="0035187E">
            <w:pPr>
              <w:jc w:val="both"/>
              <w:rPr>
                <w:rFonts w:ascii="Times New Roman" w:hAnsi="Times New Roman" w:cs="Times New Roman"/>
                <w:i/>
                <w:sz w:val="20"/>
                <w:szCs w:val="20"/>
              </w:rPr>
            </w:pPr>
            <w:r w:rsidRPr="0035187E">
              <w:rPr>
                <w:rFonts w:ascii="Times New Roman" w:hAnsi="Times New Roman" w:cs="Times New Roman"/>
                <w:i/>
                <w:sz w:val="20"/>
                <w:szCs w:val="20"/>
              </w:rPr>
              <w:t>Připomínkové místo uvedlo, že vypořádání je z jejich strany akceptováno.</w:t>
            </w:r>
          </w:p>
        </w:tc>
      </w:tr>
      <w:tr w:rsidR="0035187E" w:rsidRPr="0035187E" w14:paraId="79196BBB"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593FE27" w14:textId="5F15EA2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59.</w:t>
            </w:r>
          </w:p>
        </w:tc>
        <w:tc>
          <w:tcPr>
            <w:tcW w:w="583" w:type="pct"/>
            <w:tcBorders>
              <w:top w:val="single" w:sz="4" w:space="0" w:color="auto"/>
              <w:left w:val="single" w:sz="4" w:space="0" w:color="auto"/>
              <w:right w:val="single" w:sz="4" w:space="0" w:color="auto"/>
            </w:tcBorders>
            <w:shd w:val="clear" w:color="auto" w:fill="auto"/>
          </w:tcPr>
          <w:p w14:paraId="798A1E11" w14:textId="66C583A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Krajský úřad Středočeského kraje</w:t>
            </w:r>
          </w:p>
        </w:tc>
        <w:tc>
          <w:tcPr>
            <w:tcW w:w="168" w:type="pct"/>
            <w:tcBorders>
              <w:top w:val="single" w:sz="4" w:space="0" w:color="auto"/>
              <w:left w:val="single" w:sz="4" w:space="0" w:color="auto"/>
              <w:right w:val="single" w:sz="4" w:space="0" w:color="auto"/>
            </w:tcBorders>
            <w:shd w:val="clear" w:color="auto" w:fill="auto"/>
          </w:tcPr>
          <w:p w14:paraId="42B074B3" w14:textId="5CF481B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0679E10E" w14:textId="2B20AF5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25C947B" w14:textId="77777777" w:rsidR="000B4BD4" w:rsidRPr="0035187E" w:rsidRDefault="000B4BD4" w:rsidP="0035187E">
            <w:pPr>
              <w:widowControl w:val="0"/>
              <w:autoSpaceDE w:val="0"/>
              <w:autoSpaceDN w:val="0"/>
              <w:adjustRightInd w:val="0"/>
              <w:jc w:val="both"/>
              <w:rPr>
                <w:rFonts w:ascii="Times New Roman" w:hAnsi="Times New Roman" w:cs="Times New Roman"/>
                <w:b/>
                <w:sz w:val="20"/>
                <w:szCs w:val="20"/>
              </w:rPr>
            </w:pPr>
            <w:r w:rsidRPr="0035187E">
              <w:rPr>
                <w:rFonts w:ascii="Times New Roman" w:hAnsi="Times New Roman" w:cs="Times New Roman"/>
                <w:b/>
                <w:sz w:val="20"/>
                <w:szCs w:val="20"/>
              </w:rPr>
              <w:t>Zásadní připomínky:</w:t>
            </w:r>
          </w:p>
          <w:p w14:paraId="64B91AFB" w14:textId="77777777" w:rsidR="000B4BD4" w:rsidRPr="0035187E" w:rsidRDefault="000B4BD4" w:rsidP="0035187E">
            <w:pPr>
              <w:widowControl w:val="0"/>
              <w:autoSpaceDE w:val="0"/>
              <w:autoSpaceDN w:val="0"/>
              <w:adjustRightInd w:val="0"/>
              <w:jc w:val="center"/>
              <w:rPr>
                <w:rFonts w:ascii="Times New Roman" w:hAnsi="Times New Roman" w:cs="Times New Roman"/>
                <w:b/>
                <w:sz w:val="20"/>
                <w:szCs w:val="20"/>
              </w:rPr>
            </w:pPr>
            <w:r w:rsidRPr="0035187E">
              <w:rPr>
                <w:rFonts w:ascii="Times New Roman" w:hAnsi="Times New Roman" w:cs="Times New Roman"/>
                <w:b/>
                <w:sz w:val="20"/>
                <w:szCs w:val="20"/>
              </w:rPr>
              <w:t>ČÁST PRVNÍ</w:t>
            </w:r>
          </w:p>
          <w:p w14:paraId="2C4D0965" w14:textId="77777777" w:rsidR="000B4BD4" w:rsidRPr="0035187E" w:rsidRDefault="000B4BD4" w:rsidP="0035187E">
            <w:pPr>
              <w:widowControl w:val="0"/>
              <w:autoSpaceDE w:val="0"/>
              <w:autoSpaceDN w:val="0"/>
              <w:adjustRightInd w:val="0"/>
              <w:jc w:val="center"/>
              <w:rPr>
                <w:rFonts w:ascii="Times New Roman" w:hAnsi="Times New Roman" w:cs="Times New Roman"/>
                <w:b/>
                <w:sz w:val="20"/>
                <w:szCs w:val="20"/>
              </w:rPr>
            </w:pPr>
            <w:r w:rsidRPr="0035187E">
              <w:rPr>
                <w:rFonts w:ascii="Times New Roman" w:hAnsi="Times New Roman" w:cs="Times New Roman"/>
                <w:b/>
                <w:sz w:val="20"/>
                <w:szCs w:val="20"/>
              </w:rPr>
              <w:t>Evidence tržeb</w:t>
            </w:r>
          </w:p>
          <w:p w14:paraId="226E24FC" w14:textId="77777777" w:rsidR="000B4BD4" w:rsidRPr="0035187E" w:rsidRDefault="000B4BD4" w:rsidP="0035187E">
            <w:pPr>
              <w:widowControl w:val="0"/>
              <w:autoSpaceDE w:val="0"/>
              <w:autoSpaceDN w:val="0"/>
              <w:adjustRightInd w:val="0"/>
              <w:jc w:val="both"/>
              <w:rPr>
                <w:rFonts w:ascii="Times New Roman" w:hAnsi="Times New Roman" w:cs="Times New Roman"/>
                <w:b/>
                <w:sz w:val="20"/>
                <w:szCs w:val="20"/>
              </w:rPr>
            </w:pPr>
          </w:p>
          <w:p w14:paraId="768DA159" w14:textId="77777777" w:rsidR="000B4BD4" w:rsidRPr="0035187E" w:rsidRDefault="000B4BD4" w:rsidP="0035187E">
            <w:pPr>
              <w:widowControl w:val="0"/>
              <w:autoSpaceDE w:val="0"/>
              <w:autoSpaceDN w:val="0"/>
              <w:adjustRightInd w:val="0"/>
              <w:jc w:val="both"/>
              <w:rPr>
                <w:rFonts w:ascii="Times New Roman" w:hAnsi="Times New Roman" w:cs="Times New Roman"/>
                <w:bCs/>
                <w:sz w:val="20"/>
                <w:szCs w:val="20"/>
              </w:rPr>
            </w:pPr>
            <w:r w:rsidRPr="0035187E">
              <w:rPr>
                <w:rFonts w:ascii="Times New Roman" w:hAnsi="Times New Roman" w:cs="Times New Roman"/>
                <w:bCs/>
                <w:sz w:val="20"/>
                <w:szCs w:val="20"/>
                <w:u w:val="single"/>
              </w:rPr>
              <w:t>V § 12 odst. 1 návrhu zákona se doplňuje písm. d), které zní:</w:t>
            </w:r>
            <w:r w:rsidRPr="0035187E">
              <w:rPr>
                <w:rFonts w:ascii="Times New Roman" w:hAnsi="Times New Roman" w:cs="Times New Roman"/>
                <w:bCs/>
                <w:sz w:val="20"/>
                <w:szCs w:val="20"/>
              </w:rPr>
              <w:t xml:space="preserve"> </w:t>
            </w:r>
          </w:p>
          <w:p w14:paraId="3273D050" w14:textId="77777777" w:rsidR="000B4BD4" w:rsidRPr="0035187E" w:rsidRDefault="000B4BD4" w:rsidP="0035187E">
            <w:pPr>
              <w:widowControl w:val="0"/>
              <w:autoSpaceDE w:val="0"/>
              <w:autoSpaceDN w:val="0"/>
              <w:adjustRightInd w:val="0"/>
              <w:jc w:val="both"/>
              <w:rPr>
                <w:rFonts w:ascii="Times New Roman" w:hAnsi="Times New Roman" w:cs="Times New Roman"/>
                <w:bCs/>
                <w:sz w:val="20"/>
                <w:szCs w:val="20"/>
              </w:rPr>
            </w:pPr>
          </w:p>
          <w:p w14:paraId="200B6601" w14:textId="77777777" w:rsidR="000B4BD4" w:rsidRPr="0035187E" w:rsidRDefault="000B4BD4" w:rsidP="0035187E">
            <w:pPr>
              <w:widowControl w:val="0"/>
              <w:autoSpaceDE w:val="0"/>
              <w:autoSpaceDN w:val="0"/>
              <w:adjustRightInd w:val="0"/>
              <w:jc w:val="both"/>
              <w:rPr>
                <w:rFonts w:ascii="Times New Roman" w:hAnsi="Times New Roman" w:cs="Times New Roman"/>
                <w:bCs/>
                <w:sz w:val="20"/>
                <w:szCs w:val="20"/>
              </w:rPr>
            </w:pPr>
            <w:r w:rsidRPr="0035187E">
              <w:rPr>
                <w:rFonts w:ascii="Times New Roman" w:hAnsi="Times New Roman" w:cs="Times New Roman"/>
                <w:bCs/>
                <w:sz w:val="20"/>
                <w:szCs w:val="20"/>
              </w:rPr>
              <w:t>„</w:t>
            </w:r>
            <w:r w:rsidRPr="0035187E">
              <w:rPr>
                <w:rFonts w:ascii="Times New Roman" w:hAnsi="Times New Roman" w:cs="Times New Roman"/>
                <w:bCs/>
                <w:i/>
                <w:iCs/>
                <w:sz w:val="20"/>
                <w:szCs w:val="20"/>
              </w:rPr>
              <w:t>d) školské právnické osoby zřízené Ministerstvem školství, mládeže a tělovýchovy, krajem, obcí nebo dobrovolným svazkem obcí, nebo veřejnou vysokou školou společně s těmito zřizovateli</w:t>
            </w:r>
            <w:r w:rsidRPr="0035187E">
              <w:rPr>
                <w:rFonts w:ascii="Times New Roman" w:hAnsi="Times New Roman" w:cs="Times New Roman"/>
                <w:bCs/>
                <w:sz w:val="20"/>
                <w:szCs w:val="20"/>
              </w:rPr>
              <w:t xml:space="preserve">,". </w:t>
            </w:r>
          </w:p>
          <w:p w14:paraId="7054FF24" w14:textId="77777777" w:rsidR="000B4BD4" w:rsidRPr="0035187E" w:rsidRDefault="000B4BD4" w:rsidP="0035187E">
            <w:pPr>
              <w:widowControl w:val="0"/>
              <w:autoSpaceDE w:val="0"/>
              <w:autoSpaceDN w:val="0"/>
              <w:adjustRightInd w:val="0"/>
              <w:jc w:val="both"/>
              <w:rPr>
                <w:rFonts w:ascii="Times New Roman" w:hAnsi="Times New Roman" w:cs="Times New Roman"/>
                <w:bCs/>
                <w:sz w:val="20"/>
                <w:szCs w:val="20"/>
              </w:rPr>
            </w:pPr>
          </w:p>
          <w:p w14:paraId="07CCEC90" w14:textId="77777777" w:rsidR="000B4BD4" w:rsidRPr="0035187E" w:rsidRDefault="000B4BD4" w:rsidP="0035187E">
            <w:pPr>
              <w:widowControl w:val="0"/>
              <w:autoSpaceDE w:val="0"/>
              <w:autoSpaceDN w:val="0"/>
              <w:adjustRightInd w:val="0"/>
              <w:jc w:val="both"/>
              <w:rPr>
                <w:rFonts w:ascii="Times New Roman" w:hAnsi="Times New Roman" w:cs="Times New Roman"/>
                <w:bCs/>
                <w:sz w:val="20"/>
                <w:szCs w:val="20"/>
                <w:u w:val="single"/>
              </w:rPr>
            </w:pPr>
            <w:r w:rsidRPr="0035187E">
              <w:rPr>
                <w:rFonts w:ascii="Times New Roman" w:hAnsi="Times New Roman" w:cs="Times New Roman"/>
                <w:bCs/>
                <w:sz w:val="20"/>
                <w:szCs w:val="20"/>
                <w:u w:val="single"/>
              </w:rPr>
              <w:t>Odůvodnění:</w:t>
            </w:r>
          </w:p>
          <w:p w14:paraId="0CBB8A64" w14:textId="452E575E" w:rsidR="000B4BD4" w:rsidRPr="0035187E" w:rsidRDefault="000B4BD4" w:rsidP="0035187E">
            <w:pPr>
              <w:widowControl w:val="0"/>
              <w:autoSpaceDE w:val="0"/>
              <w:autoSpaceDN w:val="0"/>
              <w:adjustRightInd w:val="0"/>
              <w:jc w:val="both"/>
              <w:rPr>
                <w:rFonts w:ascii="Times New Roman" w:hAnsi="Times New Roman" w:cs="Times New Roman"/>
                <w:sz w:val="20"/>
                <w:szCs w:val="20"/>
                <w:u w:val="single"/>
              </w:rPr>
            </w:pPr>
            <w:r w:rsidRPr="0035187E">
              <w:rPr>
                <w:rFonts w:ascii="Times New Roman" w:hAnsi="Times New Roman" w:cs="Times New Roman"/>
                <w:bCs/>
                <w:sz w:val="20"/>
                <w:szCs w:val="20"/>
              </w:rPr>
              <w:t>Požadujeme z evidence tržeb obecně vyjmout veřejné školy a školská zařízení. Ty jsou nejčastěji zřizovány ve formě příspěvkové organizace (v návrhu obsaženo), ale může jít i o školskou právnickou osobu jako specifickou právní formu upravenou v § 124 a následujících školského zákona např. u svazkových škol.</w:t>
            </w:r>
          </w:p>
        </w:tc>
        <w:tc>
          <w:tcPr>
            <w:tcW w:w="1453" w:type="pct"/>
            <w:tcBorders>
              <w:top w:val="single" w:sz="4" w:space="0" w:color="auto"/>
              <w:left w:val="single" w:sz="4" w:space="0" w:color="auto"/>
              <w:right w:val="single" w:sz="4" w:space="0" w:color="auto"/>
            </w:tcBorders>
            <w:shd w:val="clear" w:color="auto" w:fill="auto"/>
          </w:tcPr>
          <w:p w14:paraId="4436D34E" w14:textId="77777777" w:rsidR="000B4BD4" w:rsidRPr="0035187E" w:rsidRDefault="000B4BD4" w:rsidP="0035187E">
            <w:pPr>
              <w:jc w:val="both"/>
              <w:rPr>
                <w:rFonts w:ascii="Times New Roman" w:hAnsi="Times New Roman" w:cs="Times New Roman"/>
                <w:b/>
                <w:iCs/>
                <w:sz w:val="20"/>
                <w:szCs w:val="20"/>
              </w:rPr>
            </w:pPr>
            <w:r w:rsidRPr="0035187E">
              <w:rPr>
                <w:rFonts w:ascii="Times New Roman" w:hAnsi="Times New Roman" w:cs="Times New Roman"/>
                <w:b/>
                <w:iCs/>
                <w:sz w:val="20"/>
                <w:szCs w:val="20"/>
              </w:rPr>
              <w:t>Vyhověno.</w:t>
            </w:r>
          </w:p>
          <w:p w14:paraId="11B8C991" w14:textId="76AEC84B" w:rsidR="000B4BD4" w:rsidRPr="0035187E" w:rsidRDefault="000B4BD4"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Materiál byl upraven.</w:t>
            </w:r>
          </w:p>
        </w:tc>
      </w:tr>
      <w:tr w:rsidR="0035187E" w:rsidRPr="0035187E" w14:paraId="5A8B5D9F"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7660C20" w14:textId="4257BC0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59.</w:t>
            </w:r>
          </w:p>
        </w:tc>
        <w:tc>
          <w:tcPr>
            <w:tcW w:w="583" w:type="pct"/>
            <w:tcBorders>
              <w:top w:val="single" w:sz="4" w:space="0" w:color="auto"/>
              <w:left w:val="single" w:sz="4" w:space="0" w:color="auto"/>
              <w:right w:val="single" w:sz="4" w:space="0" w:color="auto"/>
            </w:tcBorders>
            <w:shd w:val="clear" w:color="auto" w:fill="auto"/>
          </w:tcPr>
          <w:p w14:paraId="60EBFA1F" w14:textId="3AD58B7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Krajský úřad Středočeského kraje</w:t>
            </w:r>
          </w:p>
        </w:tc>
        <w:tc>
          <w:tcPr>
            <w:tcW w:w="168" w:type="pct"/>
            <w:tcBorders>
              <w:top w:val="single" w:sz="4" w:space="0" w:color="auto"/>
              <w:left w:val="single" w:sz="4" w:space="0" w:color="auto"/>
              <w:right w:val="single" w:sz="4" w:space="0" w:color="auto"/>
            </w:tcBorders>
            <w:shd w:val="clear" w:color="auto" w:fill="auto"/>
          </w:tcPr>
          <w:p w14:paraId="57E76794" w14:textId="4C52838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w:t>
            </w:r>
          </w:p>
        </w:tc>
        <w:tc>
          <w:tcPr>
            <w:tcW w:w="169" w:type="pct"/>
            <w:tcBorders>
              <w:top w:val="single" w:sz="4" w:space="0" w:color="auto"/>
              <w:left w:val="single" w:sz="4" w:space="0" w:color="auto"/>
              <w:right w:val="single" w:sz="4" w:space="0" w:color="auto"/>
            </w:tcBorders>
            <w:shd w:val="clear" w:color="auto" w:fill="auto"/>
          </w:tcPr>
          <w:p w14:paraId="637D7D51" w14:textId="148C025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F9D9A70" w14:textId="77777777" w:rsidR="000B4BD4" w:rsidRPr="0035187E" w:rsidRDefault="000B4BD4" w:rsidP="0035187E">
            <w:pPr>
              <w:widowControl w:val="0"/>
              <w:autoSpaceDE w:val="0"/>
              <w:autoSpaceDN w:val="0"/>
              <w:adjustRightInd w:val="0"/>
              <w:jc w:val="both"/>
              <w:rPr>
                <w:rFonts w:ascii="Times New Roman" w:hAnsi="Times New Roman" w:cs="Times New Roman"/>
                <w:bCs/>
                <w:sz w:val="20"/>
                <w:szCs w:val="20"/>
                <w:u w:val="single"/>
              </w:rPr>
            </w:pPr>
            <w:r w:rsidRPr="0035187E">
              <w:rPr>
                <w:rFonts w:ascii="Times New Roman" w:hAnsi="Times New Roman" w:cs="Times New Roman"/>
                <w:bCs/>
                <w:sz w:val="20"/>
                <w:szCs w:val="20"/>
                <w:u w:val="single"/>
              </w:rPr>
              <w:t>V § 13 odst. 1 písm. c) návrhu zákona se mění text takto:</w:t>
            </w:r>
          </w:p>
          <w:p w14:paraId="6C3AA77B" w14:textId="77777777" w:rsidR="000B4BD4" w:rsidRPr="0035187E" w:rsidRDefault="000B4BD4" w:rsidP="0035187E">
            <w:pPr>
              <w:widowControl w:val="0"/>
              <w:autoSpaceDE w:val="0"/>
              <w:autoSpaceDN w:val="0"/>
              <w:adjustRightInd w:val="0"/>
              <w:jc w:val="both"/>
              <w:rPr>
                <w:rFonts w:ascii="Times New Roman" w:hAnsi="Times New Roman" w:cs="Times New Roman"/>
                <w:bCs/>
                <w:sz w:val="20"/>
                <w:szCs w:val="20"/>
                <w:u w:val="single"/>
              </w:rPr>
            </w:pPr>
          </w:p>
          <w:p w14:paraId="21380FFF" w14:textId="77777777" w:rsidR="000B4BD4" w:rsidRPr="0035187E" w:rsidRDefault="000B4BD4" w:rsidP="0035187E">
            <w:pPr>
              <w:widowControl w:val="0"/>
              <w:autoSpaceDE w:val="0"/>
              <w:autoSpaceDN w:val="0"/>
              <w:adjustRightInd w:val="0"/>
              <w:jc w:val="both"/>
              <w:rPr>
                <w:rFonts w:ascii="Times New Roman" w:hAnsi="Times New Roman" w:cs="Times New Roman"/>
                <w:bCs/>
                <w:i/>
                <w:iCs/>
                <w:sz w:val="20"/>
                <w:szCs w:val="20"/>
              </w:rPr>
            </w:pPr>
            <w:r w:rsidRPr="0035187E">
              <w:rPr>
                <w:rFonts w:ascii="Times New Roman" w:hAnsi="Times New Roman" w:cs="Times New Roman"/>
                <w:bCs/>
                <w:i/>
                <w:iCs/>
                <w:sz w:val="20"/>
                <w:szCs w:val="20"/>
              </w:rPr>
              <w:t xml:space="preserve">„c) z úplaty za vzdělávání a školské služby ve školách a školských zařízeních podle školského zákona,“. </w:t>
            </w:r>
          </w:p>
          <w:p w14:paraId="7ECA7C47" w14:textId="77777777" w:rsidR="000B4BD4" w:rsidRPr="0035187E" w:rsidRDefault="000B4BD4" w:rsidP="0035187E">
            <w:pPr>
              <w:widowControl w:val="0"/>
              <w:autoSpaceDE w:val="0"/>
              <w:autoSpaceDN w:val="0"/>
              <w:adjustRightInd w:val="0"/>
              <w:jc w:val="both"/>
              <w:rPr>
                <w:rFonts w:ascii="Times New Roman" w:hAnsi="Times New Roman" w:cs="Times New Roman"/>
                <w:b/>
                <w:i/>
                <w:iCs/>
                <w:sz w:val="20"/>
                <w:szCs w:val="20"/>
              </w:rPr>
            </w:pPr>
          </w:p>
          <w:p w14:paraId="390EBD68" w14:textId="77777777" w:rsidR="000B4BD4" w:rsidRPr="0035187E" w:rsidRDefault="000B4BD4" w:rsidP="0035187E">
            <w:pPr>
              <w:widowControl w:val="0"/>
              <w:autoSpaceDE w:val="0"/>
              <w:autoSpaceDN w:val="0"/>
              <w:adjustRightInd w:val="0"/>
              <w:jc w:val="both"/>
              <w:rPr>
                <w:rFonts w:ascii="Times New Roman" w:hAnsi="Times New Roman" w:cs="Times New Roman"/>
                <w:bCs/>
                <w:sz w:val="20"/>
                <w:szCs w:val="20"/>
                <w:u w:val="single"/>
              </w:rPr>
            </w:pPr>
            <w:r w:rsidRPr="0035187E">
              <w:rPr>
                <w:rFonts w:ascii="Times New Roman" w:hAnsi="Times New Roman" w:cs="Times New Roman"/>
                <w:bCs/>
                <w:sz w:val="20"/>
                <w:szCs w:val="20"/>
                <w:u w:val="single"/>
              </w:rPr>
              <w:t>Odůvodnění:</w:t>
            </w:r>
          </w:p>
          <w:p w14:paraId="05852450" w14:textId="35843940" w:rsidR="000B4BD4" w:rsidRPr="0035187E" w:rsidRDefault="000B4BD4" w:rsidP="0035187E">
            <w:pPr>
              <w:widowControl w:val="0"/>
              <w:autoSpaceDE w:val="0"/>
              <w:autoSpaceDN w:val="0"/>
              <w:adjustRightInd w:val="0"/>
              <w:jc w:val="both"/>
              <w:rPr>
                <w:rFonts w:ascii="Times New Roman" w:hAnsi="Times New Roman" w:cs="Times New Roman"/>
                <w:bCs/>
                <w:sz w:val="20"/>
                <w:szCs w:val="20"/>
              </w:rPr>
            </w:pPr>
            <w:r w:rsidRPr="0035187E">
              <w:rPr>
                <w:rFonts w:ascii="Times New Roman" w:hAnsi="Times New Roman" w:cs="Times New Roman"/>
                <w:bCs/>
                <w:sz w:val="20"/>
                <w:szCs w:val="20"/>
              </w:rPr>
              <w:t>Není jasné, proč původní návrh zákona zmiňuje pouze stravování a ubytování, ale ne úplatu za vzdělávání nebo školské služby, resp. jiné příjmy předvídané zákonem. Podle našeho názoru k takovému rozlišení není důvod. Proto navrhujeme výjimku rozšířit i na další příjmy spojené se vzděláváním.</w:t>
            </w:r>
          </w:p>
          <w:p w14:paraId="2C9528CA" w14:textId="77777777" w:rsidR="000B4BD4" w:rsidRPr="0035187E" w:rsidRDefault="000B4BD4" w:rsidP="0035187E">
            <w:pPr>
              <w:widowControl w:val="0"/>
              <w:autoSpaceDE w:val="0"/>
              <w:autoSpaceDN w:val="0"/>
              <w:adjustRightInd w:val="0"/>
              <w:jc w:val="both"/>
              <w:rPr>
                <w:rFonts w:ascii="Times New Roman" w:hAnsi="Times New Roman" w:cs="Times New Roman"/>
                <w:bCs/>
                <w:sz w:val="20"/>
                <w:szCs w:val="20"/>
              </w:rPr>
            </w:pPr>
          </w:p>
          <w:p w14:paraId="603D837C" w14:textId="27824DA5" w:rsidR="000B4BD4" w:rsidRPr="0035187E" w:rsidRDefault="000B4BD4" w:rsidP="0035187E">
            <w:pPr>
              <w:widowControl w:val="0"/>
              <w:autoSpaceDE w:val="0"/>
              <w:autoSpaceDN w:val="0"/>
              <w:adjustRightInd w:val="0"/>
              <w:jc w:val="both"/>
              <w:rPr>
                <w:rFonts w:ascii="Times New Roman" w:hAnsi="Times New Roman" w:cs="Times New Roman"/>
                <w:sz w:val="20"/>
                <w:szCs w:val="20"/>
                <w:u w:val="single"/>
              </w:rPr>
            </w:pPr>
            <w:r w:rsidRPr="0035187E">
              <w:rPr>
                <w:rFonts w:ascii="Times New Roman" w:hAnsi="Times New Roman" w:cs="Times New Roman"/>
                <w:bCs/>
                <w:sz w:val="20"/>
                <w:szCs w:val="20"/>
              </w:rPr>
              <w:t>K původnímu písmenu c) nadto dodáváme: Původně navrhované znění opomíjí např. i děti v mateřských školách. Na tržby od těchto osob se také nemá vztahovat evidence tržeb. Znění uvedené v připomínce zahrnuje všechny osoby, kterým je poskytováno vzdělávání a školské služby podle školského zákona.</w:t>
            </w:r>
          </w:p>
        </w:tc>
        <w:tc>
          <w:tcPr>
            <w:tcW w:w="1453" w:type="pct"/>
            <w:tcBorders>
              <w:top w:val="single" w:sz="4" w:space="0" w:color="auto"/>
              <w:left w:val="single" w:sz="4" w:space="0" w:color="auto"/>
              <w:right w:val="single" w:sz="4" w:space="0" w:color="auto"/>
            </w:tcBorders>
            <w:shd w:val="clear" w:color="auto" w:fill="auto"/>
          </w:tcPr>
          <w:p w14:paraId="4E1FCAB3" w14:textId="77777777"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Nevyhověno.</w:t>
            </w:r>
          </w:p>
          <w:p w14:paraId="34B00EDE"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S ohledem na plošnou výjimku ve prospěch příspěvkových organizací a nově též veřejných vysokých škol v § 12 se jeví doplňování výjimek na vybrané činnosti soukromých podnikatelských subjektů jako nežádoucí eroze účelu evidence tržeb. Rozsah původní výjimky bude nicméně zachován a upraven ve prospěch změny kumulativní spojky „a“ ve prospěch slučovací spojky „nebo“.</w:t>
            </w:r>
          </w:p>
          <w:p w14:paraId="6AC2024E" w14:textId="77777777" w:rsidR="00915365" w:rsidRPr="0035187E" w:rsidRDefault="00915365" w:rsidP="0035187E">
            <w:pPr>
              <w:jc w:val="both"/>
              <w:rPr>
                <w:rFonts w:ascii="Times New Roman" w:hAnsi="Times New Roman" w:cs="Times New Roman"/>
                <w:sz w:val="20"/>
                <w:szCs w:val="20"/>
              </w:rPr>
            </w:pPr>
          </w:p>
          <w:p w14:paraId="39585E56" w14:textId="0E27DD3D" w:rsidR="000B4BD4" w:rsidRPr="0035187E" w:rsidRDefault="000B4BD4" w:rsidP="0035187E">
            <w:pPr>
              <w:jc w:val="both"/>
              <w:rPr>
                <w:rFonts w:ascii="Times New Roman" w:hAnsi="Times New Roman" w:cs="Times New Roman"/>
                <w:b/>
                <w:sz w:val="20"/>
                <w:szCs w:val="20"/>
              </w:rPr>
            </w:pPr>
          </w:p>
          <w:p w14:paraId="6828C087" w14:textId="125A9D7C"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b/>
                <w:sz w:val="20"/>
                <w:szCs w:val="20"/>
              </w:rPr>
              <w:t>Vyhověno.</w:t>
            </w:r>
          </w:p>
          <w:p w14:paraId="6BE93F44"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Ve vztahu k mateřským školám bylo doplněno slovo „dětem“.</w:t>
            </w:r>
          </w:p>
          <w:p w14:paraId="0735447F" w14:textId="77777777" w:rsidR="00CD5783" w:rsidRPr="0035187E" w:rsidRDefault="00CD5783" w:rsidP="0035187E">
            <w:pPr>
              <w:jc w:val="both"/>
              <w:rPr>
                <w:rFonts w:ascii="Times New Roman" w:hAnsi="Times New Roman" w:cs="Times New Roman"/>
                <w:sz w:val="20"/>
                <w:szCs w:val="20"/>
              </w:rPr>
            </w:pPr>
          </w:p>
          <w:p w14:paraId="32EA1DF0" w14:textId="2587881F" w:rsidR="00CD5783" w:rsidRPr="0035187E" w:rsidRDefault="00E743CB"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 xml:space="preserve">Připomínkové místo nezaslalo reakci k písemnému vypořádání.  </w:t>
            </w:r>
          </w:p>
        </w:tc>
      </w:tr>
      <w:tr w:rsidR="0035187E" w:rsidRPr="0035187E" w14:paraId="6D0F8F93"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F1BD66C" w14:textId="32776E3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59.</w:t>
            </w:r>
          </w:p>
        </w:tc>
        <w:tc>
          <w:tcPr>
            <w:tcW w:w="583" w:type="pct"/>
            <w:tcBorders>
              <w:top w:val="single" w:sz="4" w:space="0" w:color="auto"/>
              <w:left w:val="single" w:sz="4" w:space="0" w:color="auto"/>
              <w:right w:val="single" w:sz="4" w:space="0" w:color="auto"/>
            </w:tcBorders>
            <w:shd w:val="clear" w:color="auto" w:fill="auto"/>
          </w:tcPr>
          <w:p w14:paraId="29FDD1DE" w14:textId="79630A2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Krajský úřad Středočeského kraje</w:t>
            </w:r>
          </w:p>
        </w:tc>
        <w:tc>
          <w:tcPr>
            <w:tcW w:w="168" w:type="pct"/>
            <w:tcBorders>
              <w:top w:val="single" w:sz="4" w:space="0" w:color="auto"/>
              <w:left w:val="single" w:sz="4" w:space="0" w:color="auto"/>
              <w:right w:val="single" w:sz="4" w:space="0" w:color="auto"/>
            </w:tcBorders>
            <w:shd w:val="clear" w:color="auto" w:fill="auto"/>
          </w:tcPr>
          <w:p w14:paraId="0968EE6B" w14:textId="4B27317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3.</w:t>
            </w:r>
          </w:p>
        </w:tc>
        <w:tc>
          <w:tcPr>
            <w:tcW w:w="169" w:type="pct"/>
            <w:tcBorders>
              <w:top w:val="single" w:sz="4" w:space="0" w:color="auto"/>
              <w:left w:val="single" w:sz="4" w:space="0" w:color="auto"/>
              <w:right w:val="single" w:sz="4" w:space="0" w:color="auto"/>
            </w:tcBorders>
            <w:shd w:val="clear" w:color="auto" w:fill="auto"/>
          </w:tcPr>
          <w:p w14:paraId="198F3E43" w14:textId="1F01FF3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27BD0AD" w14:textId="77777777" w:rsidR="000B4BD4" w:rsidRPr="0035187E" w:rsidRDefault="000B4BD4" w:rsidP="0035187E">
            <w:pPr>
              <w:widowControl w:val="0"/>
              <w:autoSpaceDE w:val="0"/>
              <w:autoSpaceDN w:val="0"/>
              <w:adjustRightInd w:val="0"/>
              <w:jc w:val="center"/>
              <w:rPr>
                <w:rFonts w:ascii="Times New Roman" w:hAnsi="Times New Roman" w:cs="Times New Roman"/>
                <w:b/>
                <w:bCs/>
                <w:sz w:val="20"/>
                <w:szCs w:val="20"/>
              </w:rPr>
            </w:pPr>
            <w:r w:rsidRPr="0035187E">
              <w:rPr>
                <w:rFonts w:ascii="Times New Roman" w:hAnsi="Times New Roman" w:cs="Times New Roman"/>
                <w:b/>
                <w:bCs/>
                <w:sz w:val="20"/>
                <w:szCs w:val="20"/>
              </w:rPr>
              <w:t>ČÁST DRUHÁ</w:t>
            </w:r>
          </w:p>
          <w:p w14:paraId="330126E2" w14:textId="77777777" w:rsidR="000B4BD4" w:rsidRPr="0035187E" w:rsidRDefault="000B4BD4" w:rsidP="0035187E">
            <w:pPr>
              <w:widowControl w:val="0"/>
              <w:autoSpaceDE w:val="0"/>
              <w:autoSpaceDN w:val="0"/>
              <w:adjustRightInd w:val="0"/>
              <w:jc w:val="center"/>
              <w:rPr>
                <w:rFonts w:ascii="Times New Roman" w:hAnsi="Times New Roman" w:cs="Times New Roman"/>
                <w:b/>
                <w:bCs/>
                <w:sz w:val="20"/>
                <w:szCs w:val="20"/>
              </w:rPr>
            </w:pPr>
            <w:r w:rsidRPr="0035187E">
              <w:rPr>
                <w:rFonts w:ascii="Times New Roman" w:hAnsi="Times New Roman" w:cs="Times New Roman"/>
                <w:b/>
                <w:bCs/>
                <w:sz w:val="20"/>
                <w:szCs w:val="20"/>
              </w:rPr>
              <w:t>Změna zákona o daních z příjmů</w:t>
            </w:r>
          </w:p>
          <w:p w14:paraId="4E3D821E" w14:textId="77777777" w:rsidR="000B4BD4" w:rsidRPr="0035187E" w:rsidRDefault="000B4BD4" w:rsidP="0035187E">
            <w:pPr>
              <w:widowControl w:val="0"/>
              <w:autoSpaceDE w:val="0"/>
              <w:autoSpaceDN w:val="0"/>
              <w:adjustRightInd w:val="0"/>
              <w:jc w:val="both"/>
              <w:rPr>
                <w:rFonts w:ascii="Times New Roman" w:hAnsi="Times New Roman" w:cs="Times New Roman"/>
                <w:sz w:val="20"/>
                <w:szCs w:val="20"/>
              </w:rPr>
            </w:pPr>
          </w:p>
          <w:p w14:paraId="28B5A6D2" w14:textId="77777777" w:rsidR="000B4BD4" w:rsidRPr="0035187E" w:rsidRDefault="000B4BD4" w:rsidP="0035187E">
            <w:pPr>
              <w:widowControl w:val="0"/>
              <w:autoSpaceDE w:val="0"/>
              <w:autoSpaceDN w:val="0"/>
              <w:adjustRightInd w:val="0"/>
              <w:jc w:val="both"/>
              <w:rPr>
                <w:rFonts w:ascii="Times New Roman" w:hAnsi="Times New Roman" w:cs="Times New Roman"/>
                <w:sz w:val="20"/>
                <w:szCs w:val="20"/>
                <w:u w:val="single"/>
              </w:rPr>
            </w:pPr>
            <w:r w:rsidRPr="0035187E">
              <w:rPr>
                <w:rFonts w:ascii="Times New Roman" w:hAnsi="Times New Roman" w:cs="Times New Roman"/>
                <w:sz w:val="20"/>
                <w:szCs w:val="20"/>
                <w:u w:val="single"/>
              </w:rPr>
              <w:t> V § 18a se doplňuje odstavec 6, který zní:</w:t>
            </w:r>
          </w:p>
          <w:p w14:paraId="5BCD8BAC" w14:textId="77777777" w:rsidR="000B4BD4" w:rsidRPr="0035187E" w:rsidRDefault="000B4BD4" w:rsidP="0035187E">
            <w:pPr>
              <w:widowControl w:val="0"/>
              <w:autoSpaceDE w:val="0"/>
              <w:autoSpaceDN w:val="0"/>
              <w:adjustRightInd w:val="0"/>
              <w:jc w:val="both"/>
              <w:rPr>
                <w:rFonts w:ascii="Times New Roman" w:hAnsi="Times New Roman" w:cs="Times New Roman"/>
                <w:b/>
                <w:bCs/>
                <w:sz w:val="20"/>
                <w:szCs w:val="20"/>
              </w:rPr>
            </w:pPr>
            <w:r w:rsidRPr="0035187E">
              <w:rPr>
                <w:rFonts w:ascii="Times New Roman" w:hAnsi="Times New Roman" w:cs="Times New Roman"/>
                <w:b/>
                <w:bCs/>
                <w:sz w:val="20"/>
                <w:szCs w:val="20"/>
              </w:rPr>
              <w:t>„(6) U poplatníka daně z příjmů právnických osob, který je pouze část zdaňovacího období veřejně prospěšným poplatníkem podle odstavce 5, se odstavec 5 použije na příjmy za celé zdaňovací období.“.</w:t>
            </w:r>
          </w:p>
          <w:p w14:paraId="777426F7" w14:textId="77777777" w:rsidR="000B4BD4" w:rsidRPr="0035187E" w:rsidRDefault="000B4BD4" w:rsidP="0035187E">
            <w:pPr>
              <w:widowControl w:val="0"/>
              <w:autoSpaceDE w:val="0"/>
              <w:autoSpaceDN w:val="0"/>
              <w:adjustRightInd w:val="0"/>
              <w:jc w:val="both"/>
              <w:rPr>
                <w:rFonts w:ascii="Times New Roman" w:hAnsi="Times New Roman" w:cs="Times New Roman"/>
                <w:sz w:val="20"/>
                <w:szCs w:val="20"/>
              </w:rPr>
            </w:pPr>
          </w:p>
          <w:p w14:paraId="3E07B7A2" w14:textId="77777777" w:rsidR="000B4BD4" w:rsidRPr="0035187E" w:rsidRDefault="000B4BD4" w:rsidP="0035187E">
            <w:pPr>
              <w:widowControl w:val="0"/>
              <w:autoSpaceDE w:val="0"/>
              <w:autoSpaceDN w:val="0"/>
              <w:adjustRightInd w:val="0"/>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 k bodu 1 (§ 18a odst. 6)</w:t>
            </w:r>
          </w:p>
          <w:p w14:paraId="491C9CE4" w14:textId="77777777" w:rsidR="000B4BD4" w:rsidRPr="0035187E" w:rsidRDefault="000B4BD4" w:rsidP="0035187E">
            <w:pPr>
              <w:widowControl w:val="0"/>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V současné době není v zákoně o daních z příjmů řešeno, jakým způsobem má postupovat veřejně prospěšný poplatník, který v průběhu zdaňovacího období přestane nebo začne splňovat podmínky pro veřejně prospěšného poplatníka se tzv. širokým základem daně, tedy základem daně určovaným podle § 18a odst. 4. Navrhuje se tedy nové ustanovení, které stanoví, že v případě, kdy je poplatník alespoň část zdaňovacího období poplatníkem se širokým základem daně, stanoví základ daně, jako by byl tímto poplatníkem po celé zdaňovací období. Zajišťuje se tak jednotný postup poplatníků při stanovení základu daně a že aplikace tzv. širokého základu daně je při přechodu na nový režim administrativně jednodušší. Pro účely uplatnění srážkové daně podle § 36 odst. 5 písm. a) ZDP to neplatí; skutečnost, zda se uplatní srážková daň, by se měla posoudit vždy v okamžiku vzniku příjmu podle charakteru poplatníka v dané chvíli.</w:t>
            </w:r>
          </w:p>
          <w:p w14:paraId="27545D71" w14:textId="3DE47590" w:rsidR="000B4BD4" w:rsidRPr="0035187E" w:rsidRDefault="000B4BD4" w:rsidP="0035187E">
            <w:pPr>
              <w:widowControl w:val="0"/>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Ke změně z úzkého základu daně na široký základ daně u VPP v průběhu zdaňovacího období může dojít například v případě, kdy VPP v průběhu zdaňovacího období získá oprávnění k poskytování zdravotních služeb podle zákona upravujícího zdravotní služby.</w:t>
            </w:r>
          </w:p>
        </w:tc>
        <w:tc>
          <w:tcPr>
            <w:tcW w:w="1453" w:type="pct"/>
            <w:tcBorders>
              <w:top w:val="single" w:sz="4" w:space="0" w:color="auto"/>
              <w:left w:val="single" w:sz="4" w:space="0" w:color="auto"/>
              <w:right w:val="single" w:sz="4" w:space="0" w:color="auto"/>
            </w:tcBorders>
            <w:shd w:val="clear" w:color="auto" w:fill="auto"/>
          </w:tcPr>
          <w:p w14:paraId="1EB12C28"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Vyhověno jinak.</w:t>
            </w:r>
          </w:p>
          <w:p w14:paraId="5AF18F6F"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Bude navrženo nové pravidlo, které zajistí, že veřejně prospěšný poplatník, který v průběhu zdaňovacího období přestane nebo začne splňovat podmínky pro veřejně prospěšného poplatníka s tzv. širokým základem daně, tedy základem daně určovaným podle § 18a odst. 5, bude postupovat podle původního režimu na počátku zdaňovacího období po celé zdaňovací období, ve kterém ke změně došlo. Ke přechodu na nový systém dojde až v následujícím zdaňovacím období. To pro poplatníky zajistí jednoduší přechod, neboť nebudou muset zpětně cokoliv měnit. V případě, že by poplatník např. získal oprávnění poskytovat zdravotní služby ke konci roku, mohlo by být pro něj problematické zpětně opravovat evidenci.</w:t>
            </w:r>
          </w:p>
          <w:p w14:paraId="7CC29CC7" w14:textId="77777777" w:rsidR="00606D88" w:rsidRPr="0035187E" w:rsidRDefault="00606D88" w:rsidP="0035187E">
            <w:pPr>
              <w:jc w:val="both"/>
              <w:rPr>
                <w:rFonts w:ascii="Times New Roman" w:hAnsi="Times New Roman" w:cs="Times New Roman"/>
                <w:sz w:val="20"/>
                <w:szCs w:val="20"/>
              </w:rPr>
            </w:pPr>
          </w:p>
          <w:p w14:paraId="6A918E5E" w14:textId="5B7DE4A0" w:rsidR="00606D88" w:rsidRPr="0035187E" w:rsidRDefault="00E743CB" w:rsidP="0035187E">
            <w:pPr>
              <w:jc w:val="both"/>
              <w:rPr>
                <w:rFonts w:ascii="Times New Roman" w:hAnsi="Times New Roman" w:cs="Times New Roman"/>
                <w:i/>
                <w:sz w:val="20"/>
                <w:szCs w:val="20"/>
              </w:rPr>
            </w:pPr>
            <w:r w:rsidRPr="0035187E">
              <w:rPr>
                <w:rFonts w:ascii="Times New Roman" w:hAnsi="Times New Roman" w:cs="Times New Roman"/>
                <w:i/>
                <w:iCs/>
                <w:sz w:val="20"/>
                <w:szCs w:val="20"/>
              </w:rPr>
              <w:t xml:space="preserve">Připomínkové místo nezaslalo reakci k písemnému vypořádání.  </w:t>
            </w:r>
          </w:p>
        </w:tc>
      </w:tr>
      <w:tr w:rsidR="0035187E" w:rsidRPr="0035187E" w14:paraId="09E7EE94"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816059C" w14:textId="6CBD64C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59.</w:t>
            </w:r>
          </w:p>
        </w:tc>
        <w:tc>
          <w:tcPr>
            <w:tcW w:w="583" w:type="pct"/>
            <w:tcBorders>
              <w:top w:val="single" w:sz="4" w:space="0" w:color="auto"/>
              <w:left w:val="single" w:sz="4" w:space="0" w:color="auto"/>
              <w:right w:val="single" w:sz="4" w:space="0" w:color="auto"/>
            </w:tcBorders>
            <w:shd w:val="clear" w:color="auto" w:fill="auto"/>
          </w:tcPr>
          <w:p w14:paraId="7FE236BE" w14:textId="38CF13B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Krajský úřad Středočeského kraje</w:t>
            </w:r>
          </w:p>
        </w:tc>
        <w:tc>
          <w:tcPr>
            <w:tcW w:w="168" w:type="pct"/>
            <w:tcBorders>
              <w:top w:val="single" w:sz="4" w:space="0" w:color="auto"/>
              <w:left w:val="single" w:sz="4" w:space="0" w:color="auto"/>
              <w:right w:val="single" w:sz="4" w:space="0" w:color="auto"/>
            </w:tcBorders>
            <w:shd w:val="clear" w:color="auto" w:fill="auto"/>
          </w:tcPr>
          <w:p w14:paraId="245B07A5" w14:textId="048E9FC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w:t>
            </w:r>
          </w:p>
        </w:tc>
        <w:tc>
          <w:tcPr>
            <w:tcW w:w="169" w:type="pct"/>
            <w:tcBorders>
              <w:top w:val="single" w:sz="4" w:space="0" w:color="auto"/>
              <w:left w:val="single" w:sz="4" w:space="0" w:color="auto"/>
              <w:right w:val="single" w:sz="4" w:space="0" w:color="auto"/>
            </w:tcBorders>
            <w:shd w:val="clear" w:color="auto" w:fill="auto"/>
          </w:tcPr>
          <w:p w14:paraId="5340F8B7" w14:textId="32C70F8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3C379D9D" w14:textId="77777777" w:rsidR="000B4BD4" w:rsidRPr="0035187E" w:rsidRDefault="000B4BD4" w:rsidP="0035187E">
            <w:pPr>
              <w:widowControl w:val="0"/>
              <w:autoSpaceDE w:val="0"/>
              <w:autoSpaceDN w:val="0"/>
              <w:adjustRightInd w:val="0"/>
              <w:jc w:val="both"/>
              <w:rPr>
                <w:rFonts w:ascii="Times New Roman" w:hAnsi="Times New Roman" w:cs="Times New Roman"/>
                <w:sz w:val="20"/>
                <w:szCs w:val="20"/>
                <w:u w:val="single"/>
              </w:rPr>
            </w:pPr>
            <w:r w:rsidRPr="0035187E">
              <w:rPr>
                <w:rFonts w:ascii="Times New Roman" w:hAnsi="Times New Roman" w:cs="Times New Roman"/>
                <w:sz w:val="20"/>
                <w:szCs w:val="20"/>
                <w:u w:val="single"/>
              </w:rPr>
              <w:t> V § 18a se doplňuje odstavec 5 písm. c), který zní:</w:t>
            </w:r>
          </w:p>
          <w:p w14:paraId="3CA66A40" w14:textId="77777777" w:rsidR="000B4BD4" w:rsidRPr="0035187E" w:rsidRDefault="000B4BD4" w:rsidP="0035187E">
            <w:pPr>
              <w:widowControl w:val="0"/>
              <w:autoSpaceDE w:val="0"/>
              <w:autoSpaceDN w:val="0"/>
              <w:adjustRightInd w:val="0"/>
              <w:jc w:val="both"/>
              <w:rPr>
                <w:rFonts w:ascii="Times New Roman" w:hAnsi="Times New Roman" w:cs="Times New Roman"/>
                <w:b/>
                <w:bCs/>
                <w:sz w:val="20"/>
                <w:szCs w:val="20"/>
              </w:rPr>
            </w:pPr>
            <w:r w:rsidRPr="0035187E">
              <w:rPr>
                <w:rFonts w:ascii="Times New Roman" w:hAnsi="Times New Roman" w:cs="Times New Roman"/>
                <w:sz w:val="20"/>
                <w:szCs w:val="20"/>
              </w:rPr>
              <w:t xml:space="preserve">„c) poskytovatelem zdravotních služeb, který má oprávnění k poskytování zdravotních služeb podle zákona upravujícího zdravotní služby, </w:t>
            </w:r>
            <w:r w:rsidRPr="0035187E">
              <w:rPr>
                <w:rFonts w:ascii="Times New Roman" w:hAnsi="Times New Roman" w:cs="Times New Roman"/>
                <w:b/>
                <w:bCs/>
                <w:sz w:val="20"/>
                <w:szCs w:val="20"/>
              </w:rPr>
              <w:t>s výjimkou poskytovatele zdravotních služeb s převažující činností poskytování sociálních služeb podle zákona upravujícího poskytování sociálních služeb“,</w:t>
            </w:r>
          </w:p>
          <w:p w14:paraId="5746E766" w14:textId="77777777" w:rsidR="000B4BD4" w:rsidRPr="0035187E" w:rsidRDefault="000B4BD4" w:rsidP="0035187E">
            <w:pPr>
              <w:widowControl w:val="0"/>
              <w:autoSpaceDE w:val="0"/>
              <w:autoSpaceDN w:val="0"/>
              <w:adjustRightInd w:val="0"/>
              <w:jc w:val="both"/>
              <w:rPr>
                <w:rFonts w:ascii="Times New Roman" w:hAnsi="Times New Roman" w:cs="Times New Roman"/>
                <w:sz w:val="20"/>
                <w:szCs w:val="20"/>
              </w:rPr>
            </w:pPr>
          </w:p>
          <w:p w14:paraId="4F8E3484" w14:textId="77777777" w:rsidR="000B4BD4" w:rsidRPr="0035187E" w:rsidRDefault="000B4BD4" w:rsidP="0035187E">
            <w:pPr>
              <w:widowControl w:val="0"/>
              <w:autoSpaceDE w:val="0"/>
              <w:autoSpaceDN w:val="0"/>
              <w:adjustRightInd w:val="0"/>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 k bodu 2 (§ 18a odst. 5, písm. c):</w:t>
            </w:r>
          </w:p>
          <w:p w14:paraId="1D818665" w14:textId="77777777" w:rsidR="000B4BD4" w:rsidRPr="0035187E" w:rsidRDefault="000B4BD4" w:rsidP="0035187E">
            <w:pPr>
              <w:widowControl w:val="0"/>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Podle zákona č. 38/2025 Sb., tzv. změnový zákon o sociálně zdravotním pomezí, musí poskytovatel taxativně vymezených druhů sociálních služeb, jejichž součástí je rovněž poskytování zdravotních služeb, získat nejpozději od 1. 1. 2027 oprávnění k poskytování zdravotních služeb. Vzhledem k tomu, že do účinnosti této změny není poskytovatel sociálních služeb poplatníkem s oprávněním k poskytování zdravotních služeb, nejedná se bez dalšího o poskytovatele zdravotních služeb. V důsledku této změny a zavedení povinného </w:t>
            </w:r>
            <w:r w:rsidRPr="0035187E">
              <w:rPr>
                <w:rFonts w:ascii="Times New Roman" w:hAnsi="Times New Roman" w:cs="Times New Roman"/>
                <w:sz w:val="20"/>
                <w:szCs w:val="20"/>
              </w:rPr>
              <w:lastRenderedPageBreak/>
              <w:t xml:space="preserve">oprávnění ztratí poskytovatelé sociálních služeb jako nositelé oprávnění k poskytování zdravotních služeb daňová zvýhodnění veřejně prospěšných poplatníků, ačkoliv zdravotní složka péče tvoří pouze marginální část všech činností, přičemž navíc z povahy sociálních služeb příjmy těchto poskytovatelů nedostačují na pokrytí nákladů na poskytování sociálních služeb. </w:t>
            </w:r>
          </w:p>
          <w:p w14:paraId="7E927206" w14:textId="2FCDF162" w:rsidR="000B4BD4" w:rsidRPr="0035187E" w:rsidRDefault="000B4BD4" w:rsidP="0035187E">
            <w:pPr>
              <w:widowControl w:val="0"/>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Cílem změnového zákona by ale nemělo být zhoršení daňových podmínek pro poskytovatele sociálních služeb. Tato změna by se dotkla pouze některých druhů sociálních služeb a poskytovatelé sociálních služeb by měli rozdílné postavení z hlediska zákona o daních z příjmů. V případě například domovů pro seniory není jejich cílem vstupovat na trh s nabídkou zdravotních služeb, ale pouze v rámci sociálních služeb zabezpečit zdravotní potřeby svých klientů. Je pravděpodobné, že se jedná o opomenutí zákonodárce ve vztahu k vymezené skupině poskytovatelů sociálních služeb; navrhovaná změna má proto za cíl toto opomenutí napravit. Vzhledem k tomu, že změna zachovává stávající stav ve vztahu k poskytovatelům sociálních služeb, návrh je rozpočtově neutrální. Nedojde jím však k budoucímu zhoršení postavení poskytovatelů sociálních služeb.</w:t>
            </w:r>
          </w:p>
        </w:tc>
        <w:tc>
          <w:tcPr>
            <w:tcW w:w="1453" w:type="pct"/>
            <w:tcBorders>
              <w:top w:val="single" w:sz="4" w:space="0" w:color="auto"/>
              <w:left w:val="single" w:sz="4" w:space="0" w:color="auto"/>
              <w:right w:val="single" w:sz="4" w:space="0" w:color="auto"/>
            </w:tcBorders>
            <w:shd w:val="clear" w:color="auto" w:fill="auto"/>
          </w:tcPr>
          <w:p w14:paraId="7FF024DB"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Nevyhověno.</w:t>
            </w:r>
          </w:p>
          <w:p w14:paraId="3AC2E337"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Podle informací MF poplatníci poskytující sociální služby, kteří budou mít zároveň i nově oprávnění k poskytování zdravotních služeb, s přechodem na nový systém „širokého základu daně“ počítají a připravují se na něj, nelze tedy bez širší diskuse tento režim zase omezit. Zároveň by mohlo dojít k situaci, kdy někteří z těchto poplatníků už na široký základ přešli a opět by se museli vracet zpět, což by bylo administrativně náročné. Jednoznačně nelze určit, který systém stanovení základu daně je pro poplatníky výhodnější. Při „úzkém základu daně“ některé příjmy </w:t>
            </w:r>
            <w:r w:rsidRPr="0035187E">
              <w:rPr>
                <w:rFonts w:ascii="Times New Roman" w:hAnsi="Times New Roman" w:cs="Times New Roman"/>
                <w:sz w:val="20"/>
                <w:szCs w:val="20"/>
              </w:rPr>
              <w:lastRenderedPageBreak/>
              <w:t>nejsou předmětem daně, poplatníci však musí provádět administrativně náročné klíčování a určité typy příjmů zdanit vždy. V širokém základu daně jsou předmětem daně všechny příjmy (s výjimkou investičních dotací), zároveň však oproti těmto příjmům lze započítat veškeré daňově uznatelné náklady, což může vyústit v nulový základ daně. Nelze tedy souhlasit, že dojde ke zhoršenému postavení poskytovatelů sociálních služeb.</w:t>
            </w:r>
          </w:p>
          <w:p w14:paraId="61937FFB"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Přechod na nový systém bude vyřešen novou úpravou, která zajistí, že se systém nebude měnit v průběhu zdaňovacího období.</w:t>
            </w:r>
          </w:p>
          <w:p w14:paraId="382A024E" w14:textId="77777777" w:rsidR="00915365" w:rsidRPr="0035187E" w:rsidRDefault="00915365" w:rsidP="0035187E">
            <w:pPr>
              <w:jc w:val="both"/>
              <w:rPr>
                <w:rFonts w:ascii="Times New Roman" w:hAnsi="Times New Roman" w:cs="Times New Roman"/>
                <w:sz w:val="20"/>
                <w:szCs w:val="20"/>
              </w:rPr>
            </w:pPr>
          </w:p>
          <w:p w14:paraId="532D3F73" w14:textId="569F8BE5" w:rsidR="000B4BD4" w:rsidRPr="0035187E" w:rsidRDefault="00E743CB" w:rsidP="0035187E">
            <w:pPr>
              <w:jc w:val="both"/>
              <w:rPr>
                <w:rFonts w:ascii="Times New Roman" w:hAnsi="Times New Roman" w:cs="Times New Roman"/>
                <w:i/>
                <w:sz w:val="20"/>
                <w:szCs w:val="20"/>
              </w:rPr>
            </w:pPr>
            <w:r w:rsidRPr="0035187E">
              <w:rPr>
                <w:rFonts w:ascii="Times New Roman" w:hAnsi="Times New Roman" w:cs="Times New Roman"/>
                <w:i/>
                <w:iCs/>
                <w:sz w:val="20"/>
                <w:szCs w:val="20"/>
              </w:rPr>
              <w:t xml:space="preserve">Připomínkové místo nezaslalo reakci k písemnému vypořádání.  </w:t>
            </w:r>
          </w:p>
        </w:tc>
      </w:tr>
      <w:tr w:rsidR="0035187E" w:rsidRPr="0035187E" w14:paraId="1281DE3C"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B31BDB3" w14:textId="70D3879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61.</w:t>
            </w:r>
          </w:p>
        </w:tc>
        <w:tc>
          <w:tcPr>
            <w:tcW w:w="583" w:type="pct"/>
            <w:tcBorders>
              <w:top w:val="single" w:sz="4" w:space="0" w:color="auto"/>
              <w:left w:val="single" w:sz="4" w:space="0" w:color="auto"/>
              <w:right w:val="single" w:sz="4" w:space="0" w:color="auto"/>
            </w:tcBorders>
            <w:shd w:val="clear" w:color="auto" w:fill="auto"/>
          </w:tcPr>
          <w:p w14:paraId="1E475BB7" w14:textId="21BDADF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Krajský úřad Zlínského kraje</w:t>
            </w:r>
          </w:p>
        </w:tc>
        <w:tc>
          <w:tcPr>
            <w:tcW w:w="168" w:type="pct"/>
            <w:tcBorders>
              <w:top w:val="single" w:sz="4" w:space="0" w:color="auto"/>
              <w:left w:val="single" w:sz="4" w:space="0" w:color="auto"/>
              <w:right w:val="single" w:sz="4" w:space="0" w:color="auto"/>
            </w:tcBorders>
            <w:shd w:val="clear" w:color="auto" w:fill="auto"/>
          </w:tcPr>
          <w:p w14:paraId="32962D3C" w14:textId="50F4E45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465221A6" w14:textId="5DE9112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15F13F2" w14:textId="1BDCBEEA" w:rsidR="000B4BD4" w:rsidRPr="0035187E" w:rsidRDefault="000B4BD4" w:rsidP="0035187E">
            <w:pPr>
              <w:suppressAutoHyphens/>
              <w:jc w:val="both"/>
              <w:rPr>
                <w:rFonts w:ascii="Times New Roman" w:eastAsia="Calibri" w:hAnsi="Times New Roman" w:cs="Times New Roman"/>
                <w:b/>
                <w:bCs/>
                <w:i/>
                <w:iCs/>
                <w:sz w:val="20"/>
                <w:szCs w:val="20"/>
                <w:lang w:eastAsia="ar-SA"/>
              </w:rPr>
            </w:pPr>
            <w:r w:rsidRPr="0035187E">
              <w:rPr>
                <w:rFonts w:ascii="Times New Roman" w:eastAsia="Calibri" w:hAnsi="Times New Roman" w:cs="Times New Roman"/>
                <w:b/>
                <w:bCs/>
                <w:i/>
                <w:iCs/>
                <w:sz w:val="20"/>
                <w:szCs w:val="20"/>
                <w:u w:val="single"/>
                <w:lang w:eastAsia="ar-SA"/>
              </w:rPr>
              <w:t>(</w:t>
            </w:r>
            <w:r w:rsidRPr="0035187E">
              <w:rPr>
                <w:rFonts w:ascii="Times New Roman" w:eastAsia="Calibri" w:hAnsi="Times New Roman" w:cs="Times New Roman"/>
                <w:b/>
                <w:bCs/>
                <w:sz w:val="20"/>
                <w:szCs w:val="20"/>
                <w:lang w:eastAsia="ar-SA"/>
              </w:rPr>
              <w:t>K ČÁSTI DRUHÉ – Změně zákona o daních z </w:t>
            </w:r>
            <w:proofErr w:type="gramStart"/>
            <w:r w:rsidRPr="0035187E">
              <w:rPr>
                <w:rFonts w:ascii="Times New Roman" w:eastAsia="Calibri" w:hAnsi="Times New Roman" w:cs="Times New Roman"/>
                <w:b/>
                <w:bCs/>
                <w:sz w:val="20"/>
                <w:szCs w:val="20"/>
                <w:lang w:eastAsia="ar-SA"/>
              </w:rPr>
              <w:t>příjmů</w:t>
            </w:r>
            <w:r w:rsidRPr="0035187E">
              <w:rPr>
                <w:rFonts w:ascii="Times New Roman" w:eastAsia="Calibri" w:hAnsi="Times New Roman" w:cs="Times New Roman"/>
                <w:b/>
                <w:bCs/>
                <w:i/>
                <w:iCs/>
                <w:sz w:val="20"/>
                <w:szCs w:val="20"/>
                <w:lang w:eastAsia="ar-SA"/>
              </w:rPr>
              <w:t xml:space="preserve"> - nad</w:t>
            </w:r>
            <w:proofErr w:type="gramEnd"/>
            <w:r w:rsidRPr="0035187E">
              <w:rPr>
                <w:rFonts w:ascii="Times New Roman" w:eastAsia="Calibri" w:hAnsi="Times New Roman" w:cs="Times New Roman"/>
                <w:b/>
                <w:bCs/>
                <w:i/>
                <w:iCs/>
                <w:sz w:val="20"/>
                <w:szCs w:val="20"/>
                <w:lang w:eastAsia="ar-SA"/>
              </w:rPr>
              <w:t xml:space="preserve"> rámec předloženého návrhu) – jednotný návrh, vzešlý z výsledků jednání Asociace poskytovatelů sociálních služeb s Ministerstvem financí.</w:t>
            </w:r>
          </w:p>
          <w:p w14:paraId="7E94D3D9" w14:textId="77777777" w:rsidR="000B4BD4" w:rsidRPr="0035187E" w:rsidRDefault="000B4BD4" w:rsidP="0035187E">
            <w:pPr>
              <w:suppressAutoHyphens/>
              <w:jc w:val="both"/>
              <w:rPr>
                <w:rFonts w:ascii="Times New Roman" w:eastAsia="Calibri" w:hAnsi="Times New Roman" w:cs="Times New Roman"/>
                <w:b/>
                <w:bCs/>
                <w:i/>
                <w:iCs/>
                <w:sz w:val="20"/>
                <w:szCs w:val="20"/>
                <w:lang w:eastAsia="ar-SA"/>
              </w:rPr>
            </w:pPr>
          </w:p>
          <w:p w14:paraId="578CE9B4" w14:textId="77777777" w:rsidR="000B4BD4" w:rsidRPr="0035187E" w:rsidRDefault="000B4BD4" w:rsidP="0035187E">
            <w:pPr>
              <w:numPr>
                <w:ilvl w:val="0"/>
                <w:numId w:val="39"/>
              </w:numPr>
              <w:suppressAutoHyphens/>
              <w:ind w:left="0" w:firstLine="0"/>
              <w:rPr>
                <w:rFonts w:ascii="Times New Roman" w:eastAsia="Calibri" w:hAnsi="Times New Roman" w:cs="Times New Roman"/>
                <w:b/>
                <w:bCs/>
                <w:sz w:val="20"/>
                <w:szCs w:val="20"/>
                <w:u w:val="single"/>
                <w:lang w:eastAsia="ar-SA"/>
              </w:rPr>
            </w:pPr>
            <w:r w:rsidRPr="0035187E">
              <w:rPr>
                <w:rFonts w:ascii="Times New Roman" w:eastAsia="Calibri" w:hAnsi="Times New Roman" w:cs="Times New Roman"/>
                <w:b/>
                <w:bCs/>
                <w:sz w:val="20"/>
                <w:szCs w:val="20"/>
                <w:u w:val="single"/>
                <w:lang w:eastAsia="ar-SA"/>
              </w:rPr>
              <w:t>K § 18a zákona o daních z příjmů v platném znění (</w:t>
            </w:r>
            <w:r w:rsidRPr="0035187E">
              <w:rPr>
                <w:rFonts w:ascii="Times New Roman" w:eastAsia="Calibri" w:hAnsi="Times New Roman" w:cs="Times New Roman"/>
                <w:b/>
                <w:bCs/>
                <w:i/>
                <w:iCs/>
                <w:sz w:val="20"/>
                <w:szCs w:val="20"/>
                <w:u w:val="single"/>
                <w:lang w:eastAsia="ar-SA"/>
              </w:rPr>
              <w:t>Zvláštní ustanovení o předmětu daně veřejně prospěšných poplatníků</w:t>
            </w:r>
            <w:r w:rsidRPr="0035187E">
              <w:rPr>
                <w:rFonts w:ascii="Times New Roman" w:eastAsia="Calibri" w:hAnsi="Times New Roman" w:cs="Times New Roman"/>
                <w:b/>
                <w:bCs/>
                <w:sz w:val="20"/>
                <w:szCs w:val="20"/>
                <w:u w:val="single"/>
                <w:lang w:eastAsia="ar-SA"/>
              </w:rPr>
              <w:t>):</w:t>
            </w:r>
            <w:r w:rsidRPr="0035187E">
              <w:rPr>
                <w:rFonts w:ascii="Times New Roman" w:eastAsia="Calibri" w:hAnsi="Times New Roman" w:cs="Times New Roman"/>
                <w:b/>
                <w:bCs/>
                <w:sz w:val="20"/>
                <w:szCs w:val="20"/>
                <w:lang w:eastAsia="ar-SA"/>
              </w:rPr>
              <w:t xml:space="preserve"> </w:t>
            </w:r>
            <w:r w:rsidRPr="0035187E">
              <w:rPr>
                <w:rFonts w:ascii="Times New Roman" w:eastAsia="Calibri" w:hAnsi="Times New Roman" w:cs="Times New Roman"/>
                <w:b/>
                <w:bCs/>
                <w:sz w:val="20"/>
                <w:szCs w:val="20"/>
                <w:lang w:eastAsia="ar-SA"/>
              </w:rPr>
              <w:br/>
              <w:t xml:space="preserve">V § 18a odstavci 5 zní písm. c), takto: </w:t>
            </w:r>
            <w:r w:rsidRPr="0035187E">
              <w:rPr>
                <w:rFonts w:ascii="Times New Roman" w:eastAsia="Calibri" w:hAnsi="Times New Roman" w:cs="Times New Roman"/>
                <w:b/>
                <w:bCs/>
                <w:i/>
                <w:iCs/>
                <w:sz w:val="20"/>
                <w:szCs w:val="20"/>
                <w:lang w:eastAsia="ar-SA"/>
              </w:rPr>
              <w:t>„</w:t>
            </w:r>
            <w:r w:rsidRPr="0035187E">
              <w:rPr>
                <w:rFonts w:ascii="Times New Roman" w:eastAsia="Calibri" w:hAnsi="Times New Roman" w:cs="Times New Roman"/>
                <w:i/>
                <w:iCs/>
                <w:sz w:val="20"/>
                <w:szCs w:val="20"/>
                <w:lang w:eastAsia="ar-SA"/>
              </w:rPr>
              <w:t xml:space="preserve">c) poskytovatelem zdravotních služeb, který má oprávnění k poskytování zdravotních služeb podle zákona upravujícího zdravotní služby, </w:t>
            </w:r>
            <w:r w:rsidRPr="0035187E">
              <w:rPr>
                <w:rFonts w:ascii="Times New Roman" w:eastAsia="Calibri" w:hAnsi="Times New Roman" w:cs="Times New Roman"/>
                <w:b/>
                <w:bCs/>
                <w:i/>
                <w:iCs/>
                <w:sz w:val="20"/>
                <w:szCs w:val="20"/>
                <w:lang w:eastAsia="ar-SA"/>
              </w:rPr>
              <w:t>s výjimkou poskytovatele zdravotních služeb s převažující činností poskytování sociálních služeb podle zákona upravujícího poskytování sociálních služeb</w:t>
            </w:r>
            <w:r w:rsidRPr="0035187E">
              <w:rPr>
                <w:rFonts w:ascii="Times New Roman" w:eastAsia="Calibri" w:hAnsi="Times New Roman" w:cs="Times New Roman"/>
                <w:i/>
                <w:iCs/>
                <w:sz w:val="20"/>
                <w:szCs w:val="20"/>
                <w:lang w:eastAsia="ar-SA"/>
              </w:rPr>
              <w:t>“.</w:t>
            </w:r>
          </w:p>
          <w:p w14:paraId="53EE8079" w14:textId="77777777" w:rsidR="000B4BD4" w:rsidRPr="0035187E" w:rsidRDefault="000B4BD4" w:rsidP="0035187E">
            <w:pPr>
              <w:suppressAutoHyphens/>
              <w:jc w:val="both"/>
              <w:rPr>
                <w:rFonts w:ascii="Times New Roman" w:eastAsia="Calibri" w:hAnsi="Times New Roman" w:cs="Times New Roman"/>
                <w:b/>
                <w:bCs/>
                <w:sz w:val="20"/>
                <w:szCs w:val="20"/>
                <w:u w:val="single"/>
                <w:lang w:eastAsia="ar-SA"/>
              </w:rPr>
            </w:pPr>
          </w:p>
          <w:p w14:paraId="7FC372E0" w14:textId="2E90188E" w:rsidR="000B4BD4" w:rsidRPr="0035187E" w:rsidRDefault="000B4BD4" w:rsidP="0035187E">
            <w:pPr>
              <w:suppressAutoHyphens/>
              <w:jc w:val="both"/>
              <w:rPr>
                <w:rFonts w:ascii="Times New Roman" w:eastAsia="Calibri" w:hAnsi="Times New Roman" w:cs="Times New Roman"/>
                <w:sz w:val="20"/>
                <w:szCs w:val="20"/>
                <w:lang w:eastAsia="ar-SA"/>
              </w:rPr>
            </w:pPr>
            <w:r w:rsidRPr="0035187E">
              <w:rPr>
                <w:rFonts w:ascii="Times New Roman" w:eastAsia="Calibri" w:hAnsi="Times New Roman" w:cs="Times New Roman"/>
                <w:sz w:val="20"/>
                <w:szCs w:val="20"/>
                <w:u w:val="single"/>
                <w:lang w:eastAsia="ar-SA"/>
              </w:rPr>
              <w:t>Odůvodnění</w:t>
            </w:r>
            <w:r w:rsidRPr="0035187E">
              <w:rPr>
                <w:rFonts w:ascii="Times New Roman" w:eastAsia="Calibri" w:hAnsi="Times New Roman" w:cs="Times New Roman"/>
                <w:sz w:val="20"/>
                <w:szCs w:val="20"/>
                <w:lang w:eastAsia="ar-SA"/>
              </w:rPr>
              <w:t xml:space="preserve">: Podle zákona č. 38/2025 Sb., tzv. změnového zákona o sociálně zdravotním pomezí, musí poskytovatel taxativně vymezených druhů sociálních služeb, jejichž součástí je rovněž poskytování zdravotních služeb, získat nejpozději od 1. 1. 2027 oprávnění k poskytování zdravotních služeb. Vzhledem k tomu, že </w:t>
            </w:r>
            <w:r w:rsidRPr="0035187E">
              <w:rPr>
                <w:rFonts w:ascii="Times New Roman" w:eastAsia="Calibri" w:hAnsi="Times New Roman" w:cs="Times New Roman"/>
                <w:sz w:val="20"/>
                <w:szCs w:val="20"/>
                <w:u w:val="single"/>
                <w:lang w:eastAsia="ar-SA"/>
              </w:rPr>
              <w:t>do účinnosti této změny není poskytovatel sociálních služeb poplatníkem s oprávněním k poskytování zdravotních služeb</w:t>
            </w:r>
            <w:r w:rsidRPr="0035187E">
              <w:rPr>
                <w:rFonts w:ascii="Times New Roman" w:eastAsia="Calibri" w:hAnsi="Times New Roman" w:cs="Times New Roman"/>
                <w:sz w:val="20"/>
                <w:szCs w:val="20"/>
                <w:lang w:eastAsia="ar-SA"/>
              </w:rPr>
              <w:t xml:space="preserve">, nejedná se bez dalšího o poskytovatele zdravotních služeb. </w:t>
            </w:r>
          </w:p>
          <w:p w14:paraId="690AC8A4" w14:textId="77777777" w:rsidR="000B4BD4" w:rsidRPr="0035187E" w:rsidRDefault="000B4BD4" w:rsidP="0035187E">
            <w:pPr>
              <w:suppressAutoHyphens/>
              <w:jc w:val="both"/>
              <w:rPr>
                <w:rFonts w:ascii="Times New Roman" w:eastAsia="Calibri" w:hAnsi="Times New Roman" w:cs="Times New Roman"/>
                <w:sz w:val="20"/>
                <w:szCs w:val="20"/>
                <w:lang w:eastAsia="ar-SA"/>
              </w:rPr>
            </w:pPr>
          </w:p>
          <w:p w14:paraId="081B022D" w14:textId="5DC0193D" w:rsidR="000B4BD4" w:rsidRPr="0035187E" w:rsidRDefault="000B4BD4" w:rsidP="0035187E">
            <w:pPr>
              <w:suppressAutoHyphens/>
              <w:jc w:val="both"/>
              <w:rPr>
                <w:rFonts w:ascii="Times New Roman" w:eastAsia="Calibri" w:hAnsi="Times New Roman" w:cs="Times New Roman"/>
                <w:sz w:val="20"/>
                <w:szCs w:val="20"/>
                <w:lang w:eastAsia="ar-SA"/>
              </w:rPr>
            </w:pPr>
            <w:r w:rsidRPr="0035187E">
              <w:rPr>
                <w:rFonts w:ascii="Times New Roman" w:eastAsia="Calibri" w:hAnsi="Times New Roman" w:cs="Times New Roman"/>
                <w:sz w:val="20"/>
                <w:szCs w:val="20"/>
                <w:lang w:eastAsia="ar-SA"/>
              </w:rPr>
              <w:t xml:space="preserve">V důsledku této změny a zavedení povinnosti získat toto oprávnění </w:t>
            </w:r>
            <w:r w:rsidRPr="0035187E">
              <w:rPr>
                <w:rFonts w:ascii="Times New Roman" w:eastAsia="Calibri" w:hAnsi="Times New Roman" w:cs="Times New Roman"/>
                <w:sz w:val="20"/>
                <w:szCs w:val="20"/>
                <w:u w:val="single"/>
                <w:lang w:eastAsia="ar-SA"/>
              </w:rPr>
              <w:t>ztratí poskytovatelé sociálních služeb</w:t>
            </w:r>
            <w:r w:rsidRPr="0035187E">
              <w:rPr>
                <w:rFonts w:ascii="Times New Roman" w:eastAsia="Calibri" w:hAnsi="Times New Roman" w:cs="Times New Roman"/>
                <w:sz w:val="20"/>
                <w:szCs w:val="20"/>
                <w:lang w:eastAsia="ar-SA"/>
              </w:rPr>
              <w:t xml:space="preserve"> jakožto nositelé oprávnění k poskytování zdravotních služeb </w:t>
            </w:r>
            <w:r w:rsidRPr="0035187E">
              <w:rPr>
                <w:rFonts w:ascii="Times New Roman" w:eastAsia="Calibri" w:hAnsi="Times New Roman" w:cs="Times New Roman"/>
                <w:sz w:val="20"/>
                <w:szCs w:val="20"/>
                <w:u w:val="single"/>
                <w:lang w:eastAsia="ar-SA"/>
              </w:rPr>
              <w:t>daňová zvýhodnění veřejně prospěšných poplatníků</w:t>
            </w:r>
            <w:r w:rsidRPr="0035187E">
              <w:rPr>
                <w:rFonts w:ascii="Times New Roman" w:eastAsia="Calibri" w:hAnsi="Times New Roman" w:cs="Times New Roman"/>
                <w:sz w:val="20"/>
                <w:szCs w:val="20"/>
                <w:lang w:eastAsia="ar-SA"/>
              </w:rPr>
              <w:t xml:space="preserve">, ačkoliv zdravotní složka péče tvoří pouze marginální část všech činností: Navíc z povahy sociálních služeb příjmy těchto poskytovatelů nedostačují na pokrytí nákladů na poskytování sociálních služeb. </w:t>
            </w:r>
          </w:p>
          <w:p w14:paraId="2D9514F3" w14:textId="77777777" w:rsidR="000B4BD4" w:rsidRPr="0035187E" w:rsidRDefault="000B4BD4" w:rsidP="0035187E">
            <w:pPr>
              <w:suppressAutoHyphens/>
              <w:jc w:val="both"/>
              <w:rPr>
                <w:rFonts w:ascii="Times New Roman" w:eastAsia="Calibri" w:hAnsi="Times New Roman" w:cs="Times New Roman"/>
                <w:sz w:val="20"/>
                <w:szCs w:val="20"/>
                <w:lang w:eastAsia="ar-SA"/>
              </w:rPr>
            </w:pPr>
          </w:p>
          <w:p w14:paraId="0F2F2323" w14:textId="379F4C68" w:rsidR="000B4BD4" w:rsidRPr="0035187E" w:rsidRDefault="000B4BD4" w:rsidP="0035187E">
            <w:pPr>
              <w:suppressAutoHyphens/>
              <w:jc w:val="both"/>
              <w:rPr>
                <w:rFonts w:ascii="Times New Roman" w:eastAsia="Calibri" w:hAnsi="Times New Roman" w:cs="Times New Roman"/>
                <w:sz w:val="20"/>
                <w:szCs w:val="20"/>
                <w:lang w:eastAsia="ar-SA"/>
              </w:rPr>
            </w:pPr>
            <w:r w:rsidRPr="0035187E">
              <w:rPr>
                <w:rFonts w:ascii="Times New Roman" w:eastAsia="Calibri" w:hAnsi="Times New Roman" w:cs="Times New Roman"/>
                <w:sz w:val="20"/>
                <w:szCs w:val="20"/>
                <w:lang w:eastAsia="ar-SA"/>
              </w:rPr>
              <w:t xml:space="preserve">Cílem změnového zákona by ale nemělo být zhoršení daňových podmínek pro poskytovatele sociálních služeb. Tato změna by se dotkla pouze některých druhů sociálních služeb a poskytovatelé sociálních služeb by měli rozdílné postavení z hlediska zákona o daních z příjmů. Například v případě domovů pro seniory není jejich cílem </w:t>
            </w:r>
            <w:r w:rsidRPr="0035187E">
              <w:rPr>
                <w:rFonts w:ascii="Times New Roman" w:eastAsia="Calibri" w:hAnsi="Times New Roman" w:cs="Times New Roman"/>
                <w:sz w:val="20"/>
                <w:szCs w:val="20"/>
                <w:lang w:eastAsia="ar-SA"/>
              </w:rPr>
              <w:lastRenderedPageBreak/>
              <w:t xml:space="preserve">vstupovat na trh s nabídkou zdravotních služeb, ale pouze </w:t>
            </w:r>
            <w:r w:rsidRPr="0035187E">
              <w:rPr>
                <w:rFonts w:ascii="Times New Roman" w:eastAsia="Calibri" w:hAnsi="Times New Roman" w:cs="Times New Roman"/>
                <w:sz w:val="20"/>
                <w:szCs w:val="20"/>
                <w:u w:val="single"/>
                <w:lang w:eastAsia="ar-SA"/>
              </w:rPr>
              <w:t>v rámci sociálních služeb zabezpečit zdravotní potřeby svých klientů</w:t>
            </w:r>
            <w:r w:rsidRPr="0035187E">
              <w:rPr>
                <w:rFonts w:ascii="Times New Roman" w:eastAsia="Calibri" w:hAnsi="Times New Roman" w:cs="Times New Roman"/>
                <w:sz w:val="20"/>
                <w:szCs w:val="20"/>
                <w:lang w:eastAsia="ar-SA"/>
              </w:rPr>
              <w:t xml:space="preserve">. Je pravděpodobné, že se jedná o opomenutí zákonodárce ve vztahu k vymezené skupině poskytovatelů sociálních služeb; navrhovaná změna má proto za cíl toto opomenutí napravit. </w:t>
            </w:r>
          </w:p>
          <w:p w14:paraId="75430E2A" w14:textId="77777777" w:rsidR="000B4BD4" w:rsidRPr="0035187E" w:rsidRDefault="000B4BD4" w:rsidP="0035187E">
            <w:pPr>
              <w:suppressAutoHyphens/>
              <w:jc w:val="both"/>
              <w:rPr>
                <w:rFonts w:ascii="Times New Roman" w:eastAsia="Calibri" w:hAnsi="Times New Roman" w:cs="Times New Roman"/>
                <w:sz w:val="20"/>
                <w:szCs w:val="20"/>
                <w:lang w:eastAsia="ar-SA"/>
              </w:rPr>
            </w:pPr>
          </w:p>
          <w:p w14:paraId="57E1C8C0" w14:textId="6930E318" w:rsidR="000B4BD4" w:rsidRPr="0035187E" w:rsidRDefault="000B4BD4" w:rsidP="0035187E">
            <w:pPr>
              <w:suppressAutoHyphens/>
              <w:jc w:val="both"/>
              <w:rPr>
                <w:rFonts w:ascii="Times New Roman" w:hAnsi="Times New Roman"/>
                <w:sz w:val="20"/>
                <w:szCs w:val="20"/>
              </w:rPr>
            </w:pPr>
            <w:r w:rsidRPr="0035187E">
              <w:rPr>
                <w:rFonts w:ascii="Times New Roman" w:eastAsia="Calibri" w:hAnsi="Times New Roman" w:cs="Times New Roman"/>
                <w:sz w:val="20"/>
                <w:szCs w:val="20"/>
                <w:lang w:eastAsia="ar-SA"/>
              </w:rPr>
              <w:t>Vzhledem k tomu, že změna zachovává stávající stav ve vztahu k poskytovatelům sociálních služeb, návrh je rozpočtově neutrální. Nedojde jím však k budoucímu zhoršení postavení poskytovatelů sociálních služeb.</w:t>
            </w:r>
          </w:p>
        </w:tc>
        <w:tc>
          <w:tcPr>
            <w:tcW w:w="1453" w:type="pct"/>
            <w:tcBorders>
              <w:top w:val="single" w:sz="4" w:space="0" w:color="auto"/>
              <w:left w:val="single" w:sz="4" w:space="0" w:color="auto"/>
              <w:right w:val="single" w:sz="4" w:space="0" w:color="auto"/>
            </w:tcBorders>
            <w:shd w:val="clear" w:color="auto" w:fill="auto"/>
          </w:tcPr>
          <w:p w14:paraId="7C0775A4" w14:textId="77777777" w:rsidR="00924283" w:rsidRPr="0035187E" w:rsidRDefault="00924283"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Nevyhověno.</w:t>
            </w:r>
          </w:p>
          <w:p w14:paraId="45390006" w14:textId="77777777" w:rsidR="00924283" w:rsidRPr="0035187E" w:rsidRDefault="00924283" w:rsidP="0035187E">
            <w:pPr>
              <w:jc w:val="both"/>
              <w:rPr>
                <w:rFonts w:ascii="Times New Roman" w:hAnsi="Times New Roman" w:cs="Times New Roman"/>
                <w:sz w:val="20"/>
                <w:szCs w:val="20"/>
              </w:rPr>
            </w:pPr>
            <w:r w:rsidRPr="0035187E">
              <w:rPr>
                <w:rFonts w:ascii="Times New Roman" w:hAnsi="Times New Roman" w:cs="Times New Roman"/>
                <w:sz w:val="20"/>
                <w:szCs w:val="20"/>
              </w:rPr>
              <w:t>Podle informací MF poplatníci poskytující sociální služby, kteří budou mít zároveň i nově oprávnění k poskytování zdravotních služeb, s přechodem na nový systém „širokého základu daně“ počítají a připravují se na něj, nelze tedy bez širší diskuse tento režim zase omezit. Zároveň by mohlo dojít k situaci, kdy někteří z těchto poplatníků už na široký základ přešli a opět by se museli vracet zpět, což by bylo administrativně náročné. Jednoznačně nelze určit, který systém stanovení základu daně je pro poplatníky výhodnější. Při „úzkém základu daně“ některé příjmy nejsou předmětem daně, poplatníci však musí provádět administrativně náročné klíčování a určité typy příjmů zdanit vždy. V širokém základu daně jsou předmětem daně všechny příjmy (s výjimkou investičních dotací), zároveň však oproti těmto příjmům lze započítat veškeré daňově uznatelné náklady, což může vyústit v nulový základ daně. Nelze tedy souhlasit, že dojde ke zhoršenému postavení poskytovatelů sociálních služeb.</w:t>
            </w:r>
          </w:p>
          <w:p w14:paraId="36C2D24D" w14:textId="77777777" w:rsidR="00924283" w:rsidRPr="0035187E" w:rsidRDefault="00924283" w:rsidP="0035187E">
            <w:pPr>
              <w:jc w:val="both"/>
              <w:rPr>
                <w:rFonts w:ascii="Times New Roman" w:hAnsi="Times New Roman" w:cs="Times New Roman"/>
                <w:sz w:val="20"/>
                <w:szCs w:val="20"/>
              </w:rPr>
            </w:pPr>
            <w:r w:rsidRPr="0035187E">
              <w:rPr>
                <w:rFonts w:ascii="Times New Roman" w:hAnsi="Times New Roman" w:cs="Times New Roman"/>
                <w:sz w:val="20"/>
                <w:szCs w:val="20"/>
              </w:rPr>
              <w:t>Přechod na nový systém bude vyřešen novou úpravou, která zajistí, že se systém nebude měnit v průběhu zdaňovacího období.</w:t>
            </w:r>
          </w:p>
          <w:p w14:paraId="0BDF59BA" w14:textId="4EDFD551" w:rsidR="000B4BD4" w:rsidRPr="0035187E" w:rsidRDefault="000B4BD4" w:rsidP="0035187E">
            <w:pPr>
              <w:jc w:val="both"/>
              <w:rPr>
                <w:rFonts w:ascii="Times New Roman" w:hAnsi="Times New Roman" w:cs="Times New Roman"/>
                <w:iCs/>
                <w:sz w:val="20"/>
                <w:szCs w:val="20"/>
              </w:rPr>
            </w:pPr>
          </w:p>
        </w:tc>
      </w:tr>
      <w:tr w:rsidR="0035187E" w:rsidRPr="0035187E" w14:paraId="3E4CBF99"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71D8F43" w14:textId="749D1BD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61.</w:t>
            </w:r>
          </w:p>
        </w:tc>
        <w:tc>
          <w:tcPr>
            <w:tcW w:w="583" w:type="pct"/>
            <w:tcBorders>
              <w:top w:val="single" w:sz="4" w:space="0" w:color="auto"/>
              <w:left w:val="single" w:sz="4" w:space="0" w:color="auto"/>
              <w:right w:val="single" w:sz="4" w:space="0" w:color="auto"/>
            </w:tcBorders>
            <w:shd w:val="clear" w:color="auto" w:fill="auto"/>
          </w:tcPr>
          <w:p w14:paraId="740DDF58" w14:textId="4A415C0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Krajský úřad Zlínského kraje</w:t>
            </w:r>
          </w:p>
        </w:tc>
        <w:tc>
          <w:tcPr>
            <w:tcW w:w="168" w:type="pct"/>
            <w:tcBorders>
              <w:top w:val="single" w:sz="4" w:space="0" w:color="auto"/>
              <w:left w:val="single" w:sz="4" w:space="0" w:color="auto"/>
              <w:right w:val="single" w:sz="4" w:space="0" w:color="auto"/>
            </w:tcBorders>
            <w:shd w:val="clear" w:color="auto" w:fill="auto"/>
          </w:tcPr>
          <w:p w14:paraId="533E2349" w14:textId="1846DE8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w:t>
            </w:r>
          </w:p>
        </w:tc>
        <w:tc>
          <w:tcPr>
            <w:tcW w:w="169" w:type="pct"/>
            <w:tcBorders>
              <w:top w:val="single" w:sz="4" w:space="0" w:color="auto"/>
              <w:left w:val="single" w:sz="4" w:space="0" w:color="auto"/>
              <w:right w:val="single" w:sz="4" w:space="0" w:color="auto"/>
            </w:tcBorders>
            <w:shd w:val="clear" w:color="auto" w:fill="auto"/>
          </w:tcPr>
          <w:p w14:paraId="11DC8C27" w14:textId="71D2E38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31A4E3DF" w14:textId="77777777" w:rsidR="000B4BD4" w:rsidRPr="0035187E" w:rsidRDefault="000B4BD4" w:rsidP="0035187E">
            <w:pPr>
              <w:numPr>
                <w:ilvl w:val="0"/>
                <w:numId w:val="39"/>
              </w:numPr>
              <w:suppressAutoHyphens/>
              <w:ind w:left="0" w:firstLine="0"/>
              <w:jc w:val="both"/>
              <w:rPr>
                <w:rFonts w:ascii="Times New Roman" w:eastAsia="Calibri" w:hAnsi="Times New Roman" w:cs="Times New Roman"/>
                <w:b/>
                <w:bCs/>
                <w:sz w:val="20"/>
                <w:szCs w:val="20"/>
                <w:u w:val="single"/>
                <w:lang w:eastAsia="ar-SA"/>
              </w:rPr>
            </w:pPr>
            <w:r w:rsidRPr="0035187E">
              <w:rPr>
                <w:rFonts w:ascii="Times New Roman" w:eastAsia="Calibri" w:hAnsi="Times New Roman" w:cs="Times New Roman"/>
                <w:b/>
                <w:bCs/>
                <w:sz w:val="20"/>
                <w:szCs w:val="20"/>
                <w:u w:val="single"/>
                <w:lang w:eastAsia="ar-SA"/>
              </w:rPr>
              <w:t>K § 18a zákona o daních z příjmů v platném znění (</w:t>
            </w:r>
            <w:r w:rsidRPr="0035187E">
              <w:rPr>
                <w:rFonts w:ascii="Times New Roman" w:eastAsia="Calibri" w:hAnsi="Times New Roman" w:cs="Times New Roman"/>
                <w:b/>
                <w:bCs/>
                <w:i/>
                <w:iCs/>
                <w:sz w:val="20"/>
                <w:szCs w:val="20"/>
                <w:u w:val="single"/>
                <w:lang w:eastAsia="ar-SA"/>
              </w:rPr>
              <w:t>Zvláštní ustanovení o předmětu daně veřejně prospěšných poplatníků</w:t>
            </w:r>
            <w:r w:rsidRPr="0035187E">
              <w:rPr>
                <w:rFonts w:ascii="Times New Roman" w:eastAsia="Calibri" w:hAnsi="Times New Roman" w:cs="Times New Roman"/>
                <w:b/>
                <w:bCs/>
                <w:sz w:val="20"/>
                <w:szCs w:val="20"/>
                <w:u w:val="single"/>
                <w:lang w:eastAsia="ar-SA"/>
              </w:rPr>
              <w:t>):</w:t>
            </w:r>
            <w:r w:rsidRPr="0035187E">
              <w:rPr>
                <w:rFonts w:ascii="Times New Roman" w:eastAsia="Calibri" w:hAnsi="Times New Roman" w:cs="Times New Roman"/>
                <w:b/>
                <w:bCs/>
                <w:sz w:val="20"/>
                <w:szCs w:val="20"/>
                <w:lang w:eastAsia="ar-SA"/>
              </w:rPr>
              <w:t xml:space="preserve"> </w:t>
            </w:r>
          </w:p>
          <w:p w14:paraId="0D53492A" w14:textId="14F261F6" w:rsidR="000B4BD4" w:rsidRPr="0035187E" w:rsidRDefault="000B4BD4" w:rsidP="0035187E">
            <w:pPr>
              <w:suppressAutoHyphens/>
              <w:jc w:val="both"/>
              <w:rPr>
                <w:rFonts w:ascii="Times New Roman" w:eastAsia="Calibri" w:hAnsi="Times New Roman" w:cs="Times New Roman"/>
                <w:b/>
                <w:bCs/>
                <w:sz w:val="20"/>
                <w:szCs w:val="20"/>
                <w:u w:val="single"/>
                <w:lang w:eastAsia="ar-SA"/>
              </w:rPr>
            </w:pPr>
            <w:r w:rsidRPr="0035187E">
              <w:rPr>
                <w:rFonts w:ascii="Times New Roman" w:eastAsia="Calibri" w:hAnsi="Times New Roman" w:cs="Times New Roman"/>
                <w:b/>
                <w:bCs/>
                <w:sz w:val="20"/>
                <w:szCs w:val="20"/>
                <w:lang w:eastAsia="ar-SA"/>
              </w:rPr>
              <w:t xml:space="preserve">Navrhujeme za stávající § 18a odst. 5 doplnit nový odst. 6, který zní: </w:t>
            </w:r>
            <w:r w:rsidRPr="0035187E">
              <w:rPr>
                <w:rFonts w:ascii="Times New Roman" w:eastAsia="Calibri" w:hAnsi="Times New Roman" w:cs="Times New Roman"/>
                <w:b/>
                <w:bCs/>
                <w:i/>
                <w:iCs/>
                <w:sz w:val="20"/>
                <w:szCs w:val="20"/>
                <w:lang w:eastAsia="ar-SA"/>
              </w:rPr>
              <w:t>„(6) U poplatníka daně z příjmů právnických osob, který je pouze část zdaňovacího období veřejně prospěšným poplatníkem podle odstavce 5, se odstavec 5 použije na příjmy za celé zdaňovací období</w:t>
            </w:r>
            <w:r w:rsidRPr="0035187E">
              <w:rPr>
                <w:rFonts w:ascii="Times New Roman" w:eastAsia="Calibri" w:hAnsi="Times New Roman" w:cs="Times New Roman"/>
                <w:b/>
                <w:bCs/>
                <w:sz w:val="20"/>
                <w:szCs w:val="20"/>
                <w:lang w:eastAsia="ar-SA"/>
              </w:rPr>
              <w:t>.“.</w:t>
            </w:r>
          </w:p>
          <w:p w14:paraId="4F2A956B" w14:textId="77777777" w:rsidR="000B4BD4" w:rsidRPr="0035187E" w:rsidRDefault="000B4BD4" w:rsidP="0035187E">
            <w:pPr>
              <w:suppressAutoHyphens/>
              <w:jc w:val="both"/>
              <w:rPr>
                <w:rFonts w:ascii="Times New Roman" w:eastAsia="Calibri" w:hAnsi="Times New Roman" w:cs="Times New Roman"/>
                <w:b/>
                <w:bCs/>
                <w:sz w:val="20"/>
                <w:szCs w:val="20"/>
                <w:u w:val="single"/>
                <w:lang w:eastAsia="ar-SA"/>
              </w:rPr>
            </w:pPr>
          </w:p>
          <w:p w14:paraId="2FB2F673" w14:textId="21E21C6F" w:rsidR="000B4BD4" w:rsidRPr="0035187E" w:rsidRDefault="000B4BD4" w:rsidP="0035187E">
            <w:pPr>
              <w:suppressAutoHyphens/>
              <w:jc w:val="both"/>
              <w:rPr>
                <w:rFonts w:ascii="Times New Roman" w:eastAsia="Calibri" w:hAnsi="Times New Roman" w:cs="Times New Roman"/>
                <w:sz w:val="20"/>
                <w:szCs w:val="20"/>
                <w:lang w:eastAsia="ar-SA"/>
              </w:rPr>
            </w:pPr>
            <w:r w:rsidRPr="0035187E">
              <w:rPr>
                <w:rFonts w:ascii="Times New Roman" w:eastAsia="Calibri" w:hAnsi="Times New Roman" w:cs="Times New Roman"/>
                <w:sz w:val="20"/>
                <w:szCs w:val="20"/>
                <w:u w:val="single"/>
                <w:lang w:eastAsia="ar-SA"/>
              </w:rPr>
              <w:t>Odůvodnění:</w:t>
            </w:r>
            <w:r w:rsidRPr="0035187E">
              <w:rPr>
                <w:rFonts w:ascii="Times New Roman" w:eastAsia="Calibri" w:hAnsi="Times New Roman" w:cs="Times New Roman"/>
                <w:sz w:val="20"/>
                <w:szCs w:val="20"/>
                <w:lang w:eastAsia="ar-SA"/>
              </w:rPr>
              <w:t xml:space="preserve"> V současné době není zákonem o daních z příjmů řešeno, jakým způsobem má postupovat veřejně prospěšný poplatník, který v průběhu zdaňovacího období přestane, nebo začne splňovat podmínky pro veřejně prospěšného poplatníka s tzv. „širokým základem daně“, tedy základem daně určovaným podle § 18a odst. 4. </w:t>
            </w:r>
          </w:p>
          <w:p w14:paraId="7A699AAC" w14:textId="77777777" w:rsidR="000B4BD4" w:rsidRPr="0035187E" w:rsidRDefault="000B4BD4" w:rsidP="0035187E">
            <w:pPr>
              <w:suppressAutoHyphens/>
              <w:jc w:val="both"/>
              <w:rPr>
                <w:rFonts w:ascii="Times New Roman" w:eastAsia="Calibri" w:hAnsi="Times New Roman" w:cs="Times New Roman"/>
                <w:sz w:val="20"/>
                <w:szCs w:val="20"/>
                <w:lang w:eastAsia="ar-SA"/>
              </w:rPr>
            </w:pPr>
          </w:p>
          <w:p w14:paraId="7FA565AD" w14:textId="405FBC35" w:rsidR="000B4BD4" w:rsidRPr="0035187E" w:rsidRDefault="000B4BD4" w:rsidP="0035187E">
            <w:pPr>
              <w:suppressAutoHyphens/>
              <w:jc w:val="both"/>
              <w:rPr>
                <w:rFonts w:ascii="Times New Roman" w:eastAsia="Calibri" w:hAnsi="Times New Roman" w:cs="Times New Roman"/>
                <w:sz w:val="20"/>
                <w:szCs w:val="20"/>
                <w:lang w:eastAsia="ar-SA"/>
              </w:rPr>
            </w:pPr>
            <w:r w:rsidRPr="0035187E">
              <w:rPr>
                <w:rFonts w:ascii="Times New Roman" w:eastAsia="Calibri" w:hAnsi="Times New Roman" w:cs="Times New Roman"/>
                <w:sz w:val="20"/>
                <w:szCs w:val="20"/>
                <w:lang w:eastAsia="ar-SA"/>
              </w:rPr>
              <w:t xml:space="preserve">Navrhuje se tedy nové ustanovení, které stanoví, že v případě, kdy je poplatník alespoň část zdaňovacího období poplatníkem se širokým základem daně, stanoví základ daně, jako by byl tímto poplatníkem po celé zdaňovací období. Zajišťuje se tak jednotný postup poplatníků při stanovení základu daně a že aplikace tzv. širokého základu daně je při přechodu na nový režim administrativně jednodušší. </w:t>
            </w:r>
            <w:r w:rsidRPr="0035187E">
              <w:rPr>
                <w:rFonts w:ascii="Times New Roman" w:eastAsia="Calibri" w:hAnsi="Times New Roman" w:cs="Times New Roman"/>
                <w:sz w:val="20"/>
                <w:szCs w:val="20"/>
                <w:u w:val="single"/>
                <w:lang w:eastAsia="ar-SA"/>
              </w:rPr>
              <w:t>Pro účely uplatnění srážkové daně podle § 36 odst. 5 písm. a) ZDP to neplatí</w:t>
            </w:r>
            <w:r w:rsidRPr="0035187E">
              <w:rPr>
                <w:rFonts w:ascii="Times New Roman" w:eastAsia="Calibri" w:hAnsi="Times New Roman" w:cs="Times New Roman"/>
                <w:sz w:val="20"/>
                <w:szCs w:val="20"/>
                <w:lang w:eastAsia="ar-SA"/>
              </w:rPr>
              <w:t>. Skutečnost, zda se uplatní srážková daň, by se měla posoudit vždy v okamžiku vzniku příjmu podle charakteru poplatníka v dané chvíli.</w:t>
            </w:r>
          </w:p>
          <w:p w14:paraId="33C423AF" w14:textId="77777777" w:rsidR="000B4BD4" w:rsidRPr="0035187E" w:rsidRDefault="000B4BD4" w:rsidP="0035187E">
            <w:pPr>
              <w:suppressAutoHyphens/>
              <w:jc w:val="both"/>
              <w:rPr>
                <w:rFonts w:ascii="Times New Roman" w:eastAsia="Calibri" w:hAnsi="Times New Roman" w:cs="Times New Roman"/>
                <w:sz w:val="20"/>
                <w:szCs w:val="20"/>
                <w:lang w:eastAsia="ar-SA"/>
              </w:rPr>
            </w:pPr>
          </w:p>
          <w:p w14:paraId="54F96578" w14:textId="073A9E21" w:rsidR="000B4BD4" w:rsidRPr="0035187E" w:rsidRDefault="000B4BD4" w:rsidP="0035187E">
            <w:pPr>
              <w:pStyle w:val="Odstavecseseznamem"/>
              <w:ind w:left="0"/>
              <w:contextualSpacing w:val="0"/>
              <w:jc w:val="both"/>
              <w:rPr>
                <w:rFonts w:ascii="Times New Roman" w:hAnsi="Times New Roman"/>
                <w:sz w:val="20"/>
                <w:szCs w:val="20"/>
              </w:rPr>
            </w:pPr>
            <w:r w:rsidRPr="0035187E">
              <w:rPr>
                <w:rFonts w:ascii="Times New Roman" w:eastAsia="Calibri" w:hAnsi="Times New Roman"/>
                <w:sz w:val="20"/>
                <w:szCs w:val="20"/>
                <w:lang w:eastAsia="ar-SA"/>
              </w:rPr>
              <w:t>Ke změně z úzkého základu daně na široký základ daně u VPP v průběhu zdaňovacího období může dojít například v případě, kdy VPP v průběhu zdaňovacího období získá oprávnění k poskytování zdravotních služeb podle zákona upravujícího zdravotní služby.</w:t>
            </w:r>
          </w:p>
        </w:tc>
        <w:tc>
          <w:tcPr>
            <w:tcW w:w="1453" w:type="pct"/>
            <w:tcBorders>
              <w:top w:val="single" w:sz="4" w:space="0" w:color="auto"/>
              <w:left w:val="single" w:sz="4" w:space="0" w:color="auto"/>
              <w:right w:val="single" w:sz="4" w:space="0" w:color="auto"/>
            </w:tcBorders>
            <w:shd w:val="clear" w:color="auto" w:fill="auto"/>
          </w:tcPr>
          <w:p w14:paraId="65FFA481" w14:textId="77777777" w:rsidR="00D167F0" w:rsidRPr="0035187E" w:rsidRDefault="00D167F0"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Vyhověno jinak.</w:t>
            </w:r>
          </w:p>
          <w:p w14:paraId="7EB69A5C" w14:textId="1B56CF11" w:rsidR="000B4BD4" w:rsidRPr="0035187E" w:rsidRDefault="00D167F0" w:rsidP="0035187E">
            <w:pPr>
              <w:jc w:val="both"/>
              <w:rPr>
                <w:rFonts w:ascii="Times New Roman" w:hAnsi="Times New Roman" w:cs="Times New Roman"/>
                <w:iCs/>
                <w:sz w:val="20"/>
                <w:szCs w:val="20"/>
              </w:rPr>
            </w:pPr>
            <w:r w:rsidRPr="0035187E">
              <w:rPr>
                <w:rFonts w:ascii="Times New Roman" w:hAnsi="Times New Roman" w:cs="Times New Roman"/>
                <w:sz w:val="20"/>
                <w:szCs w:val="20"/>
              </w:rPr>
              <w:t>Bude navrženo nové pravidlo, které zajistí, že veřejně prospěšný poplatník, který v průběhu zdaňovacího období přestane nebo začne splňovat podmínky pro veřejně prospěšného poplatníka s tzv. širokým základem daně, tedy základem daně určovaným podle § 18a odst. 5, bude postupovat podle původního režimu na počátku zdaňovacího období po celé zdaňovací období, ve kterém ke změně došlo. Ke přechodu na nový systém dojde až v následujícím zdaňovacím období. To pro poplatníky zajistí jednoduší přechod, neboť nebudou muset zpětně cokoliv měnit. V případě, že by poplatník např. získal oprávnění poskytovat zdravotní služby ke konci roku, mohlo by být pro něj problematické zpětně opravovat evidenci.</w:t>
            </w:r>
          </w:p>
        </w:tc>
      </w:tr>
      <w:tr w:rsidR="0035187E" w:rsidRPr="0035187E" w14:paraId="030BCB47"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7376F32" w14:textId="0F1FABC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64.</w:t>
            </w:r>
          </w:p>
        </w:tc>
        <w:tc>
          <w:tcPr>
            <w:tcW w:w="583" w:type="pct"/>
            <w:tcBorders>
              <w:top w:val="single" w:sz="4" w:space="0" w:color="auto"/>
              <w:left w:val="single" w:sz="4" w:space="0" w:color="auto"/>
              <w:right w:val="single" w:sz="4" w:space="0" w:color="auto"/>
            </w:tcBorders>
            <w:shd w:val="clear" w:color="auto" w:fill="auto"/>
          </w:tcPr>
          <w:p w14:paraId="24B1D244" w14:textId="01C40E4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Nejvyšší kontrolní úřad</w:t>
            </w:r>
          </w:p>
        </w:tc>
        <w:tc>
          <w:tcPr>
            <w:tcW w:w="168" w:type="pct"/>
            <w:tcBorders>
              <w:top w:val="single" w:sz="4" w:space="0" w:color="auto"/>
              <w:left w:val="single" w:sz="4" w:space="0" w:color="auto"/>
              <w:right w:val="single" w:sz="4" w:space="0" w:color="auto"/>
            </w:tcBorders>
            <w:shd w:val="clear" w:color="auto" w:fill="auto"/>
          </w:tcPr>
          <w:p w14:paraId="54DC5358" w14:textId="2FC8422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23762C3D" w14:textId="309E3AE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78C9A1A" w14:textId="77777777" w:rsidR="000B4BD4" w:rsidRPr="0035187E" w:rsidRDefault="000B4BD4" w:rsidP="0035187E">
            <w:pPr>
              <w:contextualSpacing/>
              <w:jc w:val="both"/>
              <w:rPr>
                <w:rFonts w:ascii="Times New Roman" w:eastAsia="Calibri" w:hAnsi="Times New Roman" w:cs="Times New Roman"/>
                <w:b/>
                <w:sz w:val="20"/>
                <w:szCs w:val="20"/>
                <w:lang w:eastAsia="en-US"/>
              </w:rPr>
            </w:pPr>
            <w:r w:rsidRPr="0035187E">
              <w:rPr>
                <w:rFonts w:ascii="Times New Roman" w:eastAsia="Calibri" w:hAnsi="Times New Roman" w:cs="Times New Roman"/>
                <w:b/>
                <w:sz w:val="20"/>
                <w:szCs w:val="20"/>
                <w:lang w:eastAsia="en-US"/>
              </w:rPr>
              <w:t>K ustanovení § 4 písm. b)</w:t>
            </w:r>
          </w:p>
          <w:p w14:paraId="7800BA59" w14:textId="77777777" w:rsidR="000B4BD4" w:rsidRPr="0035187E" w:rsidRDefault="000B4BD4" w:rsidP="0035187E">
            <w:pPr>
              <w:spacing w:before="120"/>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Podle návrhu tohoto ustanovení jsou evidenčními jednotkami „</w:t>
            </w:r>
            <w:r w:rsidRPr="0035187E">
              <w:rPr>
                <w:rFonts w:ascii="Times New Roman" w:eastAsia="Calibri" w:hAnsi="Times New Roman" w:cs="Times New Roman"/>
                <w:i/>
                <w:iCs/>
                <w:sz w:val="20"/>
                <w:szCs w:val="20"/>
                <w:lang w:eastAsia="en-US"/>
              </w:rPr>
              <w:t>internetová stránka, část internetové stránky nebo aplikace“</w:t>
            </w:r>
            <w:r w:rsidRPr="0035187E">
              <w:rPr>
                <w:rFonts w:ascii="Times New Roman" w:eastAsia="Calibri" w:hAnsi="Times New Roman" w:cs="Times New Roman"/>
                <w:sz w:val="20"/>
                <w:szCs w:val="20"/>
                <w:lang w:eastAsia="en-US"/>
              </w:rPr>
              <w:t xml:space="preserve">. </w:t>
            </w:r>
          </w:p>
          <w:p w14:paraId="4EF9DF8B" w14:textId="77777777" w:rsidR="000B4BD4" w:rsidRPr="0035187E" w:rsidRDefault="000B4BD4" w:rsidP="0035187E">
            <w:pPr>
              <w:spacing w:before="120"/>
              <w:jc w:val="both"/>
              <w:rPr>
                <w:rFonts w:ascii="Times New Roman" w:eastAsia="Calibri" w:hAnsi="Times New Roman" w:cs="Times New Roman"/>
                <w:i/>
                <w:iCs/>
                <w:sz w:val="20"/>
                <w:szCs w:val="20"/>
                <w:lang w:eastAsia="en-US"/>
              </w:rPr>
            </w:pPr>
            <w:r w:rsidRPr="0035187E">
              <w:rPr>
                <w:rFonts w:ascii="Times New Roman" w:eastAsia="Calibri" w:hAnsi="Times New Roman" w:cs="Times New Roman"/>
                <w:sz w:val="20"/>
                <w:szCs w:val="20"/>
                <w:lang w:eastAsia="en-US"/>
              </w:rPr>
              <w:t xml:space="preserve">Domníváme se, že v zákonech týkajících se odvodu daní, by měly být uvedené pojmy definovány shodně. V ustanovení § 4 odst. 1 písm. o) zákona č. 235/2004 Sb., o dani z přidané hodnoty, jsou tyto pojmy definovány jako </w:t>
            </w:r>
            <w:r w:rsidRPr="0035187E">
              <w:rPr>
                <w:rFonts w:ascii="Times New Roman" w:eastAsia="Calibri" w:hAnsi="Times New Roman" w:cs="Times New Roman"/>
                <w:i/>
                <w:iCs/>
                <w:sz w:val="20"/>
                <w:szCs w:val="20"/>
                <w:lang w:eastAsia="en-US"/>
              </w:rPr>
              <w:t>„elektronické rozhraní, zejména elektronické tržiště, platforma, portál nebo obdobný prostředek, který usnadňuje dodání zboží nebo poskytnutí služby“.</w:t>
            </w:r>
          </w:p>
          <w:p w14:paraId="078BEEC4" w14:textId="2AE1178F" w:rsidR="000B4BD4" w:rsidRPr="0035187E" w:rsidRDefault="000B4BD4" w:rsidP="0035187E">
            <w:pPr>
              <w:spacing w:before="120"/>
              <w:jc w:val="both"/>
              <w:rPr>
                <w:rFonts w:ascii="Times New Roman" w:hAnsi="Times New Roman" w:cs="Times New Roman"/>
                <w:sz w:val="20"/>
                <w:szCs w:val="20"/>
              </w:rPr>
            </w:pPr>
            <w:r w:rsidRPr="0035187E">
              <w:rPr>
                <w:rFonts w:ascii="Times New Roman" w:eastAsia="Calibri" w:hAnsi="Times New Roman" w:cs="Times New Roman"/>
                <w:b/>
                <w:bCs/>
                <w:sz w:val="20"/>
                <w:szCs w:val="20"/>
                <w:lang w:eastAsia="en-US"/>
              </w:rPr>
              <w:t>Doporučujeme definici termínu „evidenční jednotka“ sjednotit s ostatními daňovými právními předpisy.</w:t>
            </w:r>
          </w:p>
        </w:tc>
        <w:tc>
          <w:tcPr>
            <w:tcW w:w="1453" w:type="pct"/>
            <w:tcBorders>
              <w:top w:val="single" w:sz="4" w:space="0" w:color="auto"/>
              <w:left w:val="single" w:sz="4" w:space="0" w:color="auto"/>
              <w:right w:val="single" w:sz="4" w:space="0" w:color="auto"/>
            </w:tcBorders>
            <w:shd w:val="clear" w:color="auto" w:fill="auto"/>
          </w:tcPr>
          <w:p w14:paraId="1C6E5CBA" w14:textId="77777777" w:rsidR="000B4BD4" w:rsidRPr="0035187E" w:rsidRDefault="00694418" w:rsidP="0035187E">
            <w:pPr>
              <w:jc w:val="both"/>
              <w:rPr>
                <w:rFonts w:ascii="Times New Roman" w:hAnsi="Times New Roman" w:cs="Times New Roman"/>
                <w:b/>
                <w:iCs/>
                <w:sz w:val="20"/>
                <w:szCs w:val="20"/>
              </w:rPr>
            </w:pPr>
            <w:r w:rsidRPr="0035187E">
              <w:rPr>
                <w:rFonts w:ascii="Times New Roman" w:hAnsi="Times New Roman" w:cs="Times New Roman"/>
                <w:b/>
                <w:iCs/>
                <w:sz w:val="20"/>
                <w:szCs w:val="20"/>
              </w:rPr>
              <w:t>Vysvětleno.</w:t>
            </w:r>
          </w:p>
          <w:p w14:paraId="14142386" w14:textId="77777777" w:rsidR="00694418" w:rsidRPr="0035187E" w:rsidRDefault="00694418"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Zmíněné ustanovení zákona o dani z přidané hodnoty vymezuje pojem „provozovatel elektronického rozhraní“, což je</w:t>
            </w:r>
            <w:r w:rsidR="00CF316F" w:rsidRPr="0035187E">
              <w:rPr>
                <w:rFonts w:ascii="Times New Roman" w:hAnsi="Times New Roman" w:cs="Times New Roman"/>
                <w:iCs/>
                <w:sz w:val="20"/>
                <w:szCs w:val="20"/>
              </w:rPr>
              <w:t xml:space="preserve"> významově zcela odlišný pojem.</w:t>
            </w:r>
          </w:p>
          <w:p w14:paraId="1E537713" w14:textId="51D6DD90" w:rsidR="00CF316F" w:rsidRPr="0035187E" w:rsidRDefault="00CF316F" w:rsidP="0035187E">
            <w:pPr>
              <w:jc w:val="both"/>
              <w:rPr>
                <w:rFonts w:ascii="Times New Roman" w:hAnsi="Times New Roman" w:cs="Times New Roman"/>
                <w:iCs/>
                <w:sz w:val="20"/>
                <w:szCs w:val="20"/>
              </w:rPr>
            </w:pPr>
          </w:p>
        </w:tc>
      </w:tr>
      <w:tr w:rsidR="0035187E" w:rsidRPr="0035187E" w14:paraId="0FEEB0E1"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45CF721" w14:textId="1A3B4F7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64.</w:t>
            </w:r>
          </w:p>
        </w:tc>
        <w:tc>
          <w:tcPr>
            <w:tcW w:w="583" w:type="pct"/>
            <w:tcBorders>
              <w:top w:val="single" w:sz="4" w:space="0" w:color="auto"/>
              <w:left w:val="single" w:sz="4" w:space="0" w:color="auto"/>
              <w:right w:val="single" w:sz="4" w:space="0" w:color="auto"/>
            </w:tcBorders>
            <w:shd w:val="clear" w:color="auto" w:fill="auto"/>
          </w:tcPr>
          <w:p w14:paraId="4D81621D" w14:textId="706488E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Nejvyšší kontrolní úřad</w:t>
            </w:r>
          </w:p>
        </w:tc>
        <w:tc>
          <w:tcPr>
            <w:tcW w:w="168" w:type="pct"/>
            <w:tcBorders>
              <w:top w:val="single" w:sz="4" w:space="0" w:color="auto"/>
              <w:left w:val="single" w:sz="4" w:space="0" w:color="auto"/>
              <w:right w:val="single" w:sz="4" w:space="0" w:color="auto"/>
            </w:tcBorders>
            <w:shd w:val="clear" w:color="auto" w:fill="auto"/>
          </w:tcPr>
          <w:p w14:paraId="779DC40E" w14:textId="664604E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w:t>
            </w:r>
          </w:p>
        </w:tc>
        <w:tc>
          <w:tcPr>
            <w:tcW w:w="169" w:type="pct"/>
            <w:tcBorders>
              <w:top w:val="single" w:sz="4" w:space="0" w:color="auto"/>
              <w:left w:val="single" w:sz="4" w:space="0" w:color="auto"/>
              <w:right w:val="single" w:sz="4" w:space="0" w:color="auto"/>
            </w:tcBorders>
            <w:shd w:val="clear" w:color="auto" w:fill="auto"/>
          </w:tcPr>
          <w:p w14:paraId="7A773EE6" w14:textId="2737EC1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C462A74" w14:textId="77777777" w:rsidR="000B4BD4" w:rsidRPr="0035187E" w:rsidRDefault="000B4BD4" w:rsidP="0035187E">
            <w:pPr>
              <w:contextualSpacing/>
              <w:jc w:val="both"/>
              <w:rPr>
                <w:rFonts w:ascii="Times New Roman" w:eastAsia="Calibri" w:hAnsi="Times New Roman" w:cs="Times New Roman"/>
                <w:b/>
                <w:sz w:val="20"/>
                <w:szCs w:val="20"/>
                <w:lang w:eastAsia="en-US"/>
              </w:rPr>
            </w:pPr>
            <w:r w:rsidRPr="0035187E">
              <w:rPr>
                <w:rFonts w:ascii="Times New Roman" w:eastAsia="Calibri" w:hAnsi="Times New Roman" w:cs="Times New Roman"/>
                <w:b/>
                <w:sz w:val="20"/>
                <w:szCs w:val="20"/>
                <w:lang w:eastAsia="en-US"/>
              </w:rPr>
              <w:t>K ustanovení § 14 odstavec 5, písm. d)</w:t>
            </w:r>
          </w:p>
          <w:p w14:paraId="7AD74B8D" w14:textId="77777777" w:rsidR="000B4BD4" w:rsidRPr="0035187E" w:rsidRDefault="000B4BD4" w:rsidP="0035187E">
            <w:pPr>
              <w:tabs>
                <w:tab w:val="left" w:pos="1080"/>
              </w:tabs>
              <w:spacing w:before="120"/>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Domníváme se, že uvedené ustanovení může mít diskriminační charakter vůči ostatním prodejcům sezónního zboží. Dle výkladu důvodové zprávy by uvedená výjimka mohla být takto uplatněna také například na prodejce vánočních stromků, kteří se v tomto období nacházejí ve stejné situaci, jako prodejci sladkovodních ryb. </w:t>
            </w:r>
          </w:p>
          <w:p w14:paraId="4BB4FA76" w14:textId="6442602C" w:rsidR="000B4BD4" w:rsidRPr="0035187E" w:rsidRDefault="000B4BD4" w:rsidP="0035187E">
            <w:pPr>
              <w:tabs>
                <w:tab w:val="left" w:pos="1080"/>
              </w:tabs>
              <w:spacing w:before="120"/>
              <w:jc w:val="both"/>
              <w:rPr>
                <w:rFonts w:ascii="Times New Roman" w:hAnsi="Times New Roman" w:cs="Times New Roman"/>
                <w:sz w:val="20"/>
                <w:szCs w:val="20"/>
              </w:rPr>
            </w:pPr>
            <w:r w:rsidRPr="0035187E">
              <w:rPr>
                <w:rFonts w:ascii="Times New Roman" w:eastAsia="Calibri" w:hAnsi="Times New Roman" w:cs="Times New Roman"/>
                <w:b/>
                <w:bCs/>
                <w:sz w:val="20"/>
                <w:szCs w:val="20"/>
                <w:lang w:eastAsia="en-US"/>
              </w:rPr>
              <w:t>Doporučujeme proto tyto tržby definovat obecně tak, aby nedocházelo k případnému znevýhodnění ostatních sezónních prodejců.</w:t>
            </w:r>
          </w:p>
        </w:tc>
        <w:tc>
          <w:tcPr>
            <w:tcW w:w="1453" w:type="pct"/>
            <w:tcBorders>
              <w:top w:val="single" w:sz="4" w:space="0" w:color="auto"/>
              <w:left w:val="single" w:sz="4" w:space="0" w:color="auto"/>
              <w:right w:val="single" w:sz="4" w:space="0" w:color="auto"/>
            </w:tcBorders>
            <w:shd w:val="clear" w:color="auto" w:fill="auto"/>
          </w:tcPr>
          <w:p w14:paraId="63F2B6E5" w14:textId="77777777"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t>Nevyhověno.</w:t>
            </w:r>
          </w:p>
          <w:p w14:paraId="715F4F19" w14:textId="4B8B71BA"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Ostatní druhy sezónního prodeje nevykazují všechny znaky, které vedly k vynětí sezónního prodeje sladkovodních ryb (blíže viz odůvodnění k tomuto bodu).</w:t>
            </w:r>
          </w:p>
          <w:p w14:paraId="78F952E9" w14:textId="785C085E" w:rsidR="000B4BD4" w:rsidRPr="0035187E" w:rsidRDefault="000B4BD4" w:rsidP="0035187E">
            <w:pPr>
              <w:jc w:val="both"/>
              <w:rPr>
                <w:rFonts w:ascii="Times New Roman" w:hAnsi="Times New Roman" w:cs="Times New Roman"/>
                <w:i/>
                <w:sz w:val="20"/>
                <w:szCs w:val="20"/>
              </w:rPr>
            </w:pPr>
          </w:p>
        </w:tc>
      </w:tr>
      <w:tr w:rsidR="0035187E" w:rsidRPr="0035187E" w14:paraId="5F9C6026"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BBEADBD" w14:textId="5BE41B3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64.</w:t>
            </w:r>
          </w:p>
        </w:tc>
        <w:tc>
          <w:tcPr>
            <w:tcW w:w="583" w:type="pct"/>
            <w:tcBorders>
              <w:top w:val="single" w:sz="4" w:space="0" w:color="auto"/>
              <w:left w:val="single" w:sz="4" w:space="0" w:color="auto"/>
              <w:right w:val="single" w:sz="4" w:space="0" w:color="auto"/>
            </w:tcBorders>
            <w:shd w:val="clear" w:color="auto" w:fill="auto"/>
          </w:tcPr>
          <w:p w14:paraId="0D1C1F34" w14:textId="58F51A5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Nejvyšší kontrolní úřad</w:t>
            </w:r>
          </w:p>
        </w:tc>
        <w:tc>
          <w:tcPr>
            <w:tcW w:w="168" w:type="pct"/>
            <w:tcBorders>
              <w:top w:val="single" w:sz="4" w:space="0" w:color="auto"/>
              <w:left w:val="single" w:sz="4" w:space="0" w:color="auto"/>
              <w:right w:val="single" w:sz="4" w:space="0" w:color="auto"/>
            </w:tcBorders>
            <w:shd w:val="clear" w:color="auto" w:fill="auto"/>
          </w:tcPr>
          <w:p w14:paraId="0AE5C4F7" w14:textId="7EB4EE2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3.</w:t>
            </w:r>
          </w:p>
        </w:tc>
        <w:tc>
          <w:tcPr>
            <w:tcW w:w="169" w:type="pct"/>
            <w:tcBorders>
              <w:top w:val="single" w:sz="4" w:space="0" w:color="auto"/>
              <w:left w:val="single" w:sz="4" w:space="0" w:color="auto"/>
              <w:right w:val="single" w:sz="4" w:space="0" w:color="auto"/>
            </w:tcBorders>
            <w:shd w:val="clear" w:color="auto" w:fill="auto"/>
          </w:tcPr>
          <w:p w14:paraId="2BC1FE9D" w14:textId="7E212C0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B680134" w14:textId="77777777" w:rsidR="000B4BD4" w:rsidRPr="0035187E" w:rsidRDefault="000B4BD4" w:rsidP="0035187E">
            <w:pPr>
              <w:contextualSpacing/>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sz w:val="20"/>
                <w:szCs w:val="20"/>
                <w:lang w:eastAsia="en-US"/>
              </w:rPr>
              <w:t xml:space="preserve">K ustanovení </w:t>
            </w:r>
            <w:r w:rsidRPr="0035187E">
              <w:rPr>
                <w:rFonts w:ascii="Times New Roman" w:eastAsia="Calibri" w:hAnsi="Times New Roman" w:cs="Times New Roman"/>
                <w:b/>
                <w:bCs/>
                <w:sz w:val="20"/>
                <w:szCs w:val="20"/>
                <w:lang w:eastAsia="en-US"/>
              </w:rPr>
              <w:t>§ 28</w:t>
            </w:r>
          </w:p>
          <w:p w14:paraId="4C51A06E" w14:textId="2AE0AA3D" w:rsidR="000B4BD4" w:rsidRPr="0035187E" w:rsidRDefault="000B4BD4" w:rsidP="0035187E">
            <w:pPr>
              <w:spacing w:before="120"/>
              <w:jc w:val="both"/>
              <w:rPr>
                <w:rFonts w:ascii="Times New Roman" w:hAnsi="Times New Roman" w:cs="Times New Roman"/>
                <w:sz w:val="20"/>
                <w:szCs w:val="20"/>
              </w:rPr>
            </w:pPr>
            <w:r w:rsidRPr="0035187E">
              <w:rPr>
                <w:rFonts w:ascii="Times New Roman" w:eastAsia="Calibri" w:hAnsi="Times New Roman" w:cs="Times New Roman"/>
                <w:sz w:val="20"/>
                <w:szCs w:val="20"/>
                <w:lang w:eastAsia="en-US"/>
              </w:rPr>
              <w:t>Toto ustanovení doporučujeme z důvodu upřesnění lhůty formulovat následovně: „</w:t>
            </w:r>
            <w:r w:rsidRPr="0035187E">
              <w:rPr>
                <w:rFonts w:ascii="Times New Roman" w:eastAsia="Calibri" w:hAnsi="Times New Roman" w:cs="Times New Roman"/>
                <w:i/>
                <w:iCs/>
                <w:sz w:val="20"/>
                <w:szCs w:val="20"/>
                <w:lang w:eastAsia="en-US"/>
              </w:rPr>
              <w:t xml:space="preserve">Zjistí-li orgán veřejné moci při výkonu své působnosti porušení tohoto zákona, oznámí tuto skutečnost </w:t>
            </w:r>
            <w:r w:rsidRPr="0035187E">
              <w:rPr>
                <w:rFonts w:ascii="Times New Roman" w:eastAsia="Calibri" w:hAnsi="Times New Roman" w:cs="Times New Roman"/>
                <w:b/>
                <w:bCs/>
                <w:i/>
                <w:iCs/>
                <w:sz w:val="20"/>
                <w:szCs w:val="20"/>
                <w:lang w:eastAsia="en-US"/>
              </w:rPr>
              <w:t>neprodleně</w:t>
            </w:r>
            <w:r w:rsidRPr="0035187E">
              <w:rPr>
                <w:rFonts w:ascii="Times New Roman" w:eastAsia="Calibri" w:hAnsi="Times New Roman" w:cs="Times New Roman"/>
                <w:i/>
                <w:iCs/>
                <w:sz w:val="20"/>
                <w:szCs w:val="20"/>
                <w:lang w:eastAsia="en-US"/>
              </w:rPr>
              <w:t xml:space="preserve"> správci daně</w:t>
            </w:r>
            <w:r w:rsidRPr="0035187E">
              <w:rPr>
                <w:rFonts w:ascii="Times New Roman" w:eastAsia="Calibri" w:hAnsi="Times New Roman" w:cs="Times New Roman"/>
                <w:sz w:val="20"/>
                <w:szCs w:val="20"/>
                <w:lang w:eastAsia="en-US"/>
              </w:rPr>
              <w:t xml:space="preserve">.“. </w:t>
            </w:r>
          </w:p>
        </w:tc>
        <w:tc>
          <w:tcPr>
            <w:tcW w:w="1453" w:type="pct"/>
            <w:tcBorders>
              <w:top w:val="single" w:sz="4" w:space="0" w:color="auto"/>
              <w:left w:val="single" w:sz="4" w:space="0" w:color="auto"/>
              <w:right w:val="single" w:sz="4" w:space="0" w:color="auto"/>
            </w:tcBorders>
            <w:shd w:val="clear" w:color="auto" w:fill="auto"/>
          </w:tcPr>
          <w:p w14:paraId="60AAF647" w14:textId="7F60EC06" w:rsidR="000B4BD4" w:rsidRPr="0035187E" w:rsidRDefault="00CF316F" w:rsidP="0035187E">
            <w:pPr>
              <w:jc w:val="both"/>
              <w:rPr>
                <w:rFonts w:ascii="Times New Roman" w:hAnsi="Times New Roman" w:cs="Times New Roman"/>
                <w:b/>
                <w:iCs/>
                <w:sz w:val="20"/>
                <w:szCs w:val="20"/>
              </w:rPr>
            </w:pPr>
            <w:r w:rsidRPr="0035187E">
              <w:rPr>
                <w:rFonts w:ascii="Times New Roman" w:hAnsi="Times New Roman" w:cs="Times New Roman"/>
                <w:b/>
                <w:iCs/>
                <w:sz w:val="20"/>
                <w:szCs w:val="20"/>
              </w:rPr>
              <w:t>Vyhověno jinak.</w:t>
            </w:r>
          </w:p>
          <w:p w14:paraId="72847C2B" w14:textId="04CF0888" w:rsidR="00CF316F" w:rsidRPr="0035187E" w:rsidRDefault="00CF316F" w:rsidP="0035187E">
            <w:pPr>
              <w:jc w:val="both"/>
              <w:rPr>
                <w:rFonts w:ascii="Times New Roman" w:hAnsi="Times New Roman" w:cs="Times New Roman"/>
                <w:i/>
                <w:sz w:val="20"/>
                <w:szCs w:val="20"/>
              </w:rPr>
            </w:pPr>
            <w:r w:rsidRPr="0035187E">
              <w:rPr>
                <w:rFonts w:ascii="Times New Roman" w:hAnsi="Times New Roman" w:cs="Times New Roman"/>
                <w:iCs/>
                <w:sz w:val="20"/>
                <w:szCs w:val="20"/>
              </w:rPr>
              <w:t>Materiál byl upraven ve prospěch slov „bez zbytečného odkladu“, která dávají prostor pro eventuální časovou prodlevu, je-li tato odůvodněna specifickou situací.</w:t>
            </w:r>
          </w:p>
        </w:tc>
      </w:tr>
      <w:tr w:rsidR="0035187E" w:rsidRPr="0035187E" w14:paraId="0FEFDF79"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D218C9E" w14:textId="4E017EF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64.</w:t>
            </w:r>
          </w:p>
        </w:tc>
        <w:tc>
          <w:tcPr>
            <w:tcW w:w="583" w:type="pct"/>
            <w:tcBorders>
              <w:top w:val="single" w:sz="4" w:space="0" w:color="auto"/>
              <w:left w:val="single" w:sz="4" w:space="0" w:color="auto"/>
              <w:right w:val="single" w:sz="4" w:space="0" w:color="auto"/>
            </w:tcBorders>
            <w:shd w:val="clear" w:color="auto" w:fill="auto"/>
          </w:tcPr>
          <w:p w14:paraId="5B1C31B5" w14:textId="2A71668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Nejvyšší kontrolní úřad</w:t>
            </w:r>
          </w:p>
        </w:tc>
        <w:tc>
          <w:tcPr>
            <w:tcW w:w="168" w:type="pct"/>
            <w:tcBorders>
              <w:top w:val="single" w:sz="4" w:space="0" w:color="auto"/>
              <w:left w:val="single" w:sz="4" w:space="0" w:color="auto"/>
              <w:right w:val="single" w:sz="4" w:space="0" w:color="auto"/>
            </w:tcBorders>
            <w:shd w:val="clear" w:color="auto" w:fill="auto"/>
          </w:tcPr>
          <w:p w14:paraId="63ABE251" w14:textId="7EC1A67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w:t>
            </w:r>
          </w:p>
        </w:tc>
        <w:tc>
          <w:tcPr>
            <w:tcW w:w="169" w:type="pct"/>
            <w:tcBorders>
              <w:top w:val="single" w:sz="4" w:space="0" w:color="auto"/>
              <w:left w:val="single" w:sz="4" w:space="0" w:color="auto"/>
              <w:right w:val="single" w:sz="4" w:space="0" w:color="auto"/>
            </w:tcBorders>
            <w:shd w:val="clear" w:color="auto" w:fill="auto"/>
          </w:tcPr>
          <w:p w14:paraId="5416170A" w14:textId="661CC85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A0C2A12" w14:textId="77777777" w:rsidR="000B4BD4" w:rsidRPr="0035187E" w:rsidRDefault="000B4BD4" w:rsidP="0035187E">
            <w:pPr>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 xml:space="preserve">Formální připomínka: </w:t>
            </w:r>
          </w:p>
          <w:p w14:paraId="6E7EBDC3" w14:textId="004FD687" w:rsidR="000B4BD4" w:rsidRPr="0035187E" w:rsidRDefault="000B4BD4" w:rsidP="0035187E">
            <w:pPr>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sz w:val="20"/>
                <w:szCs w:val="20"/>
                <w:lang w:eastAsia="en-US"/>
              </w:rPr>
              <w:t xml:space="preserve">Na straně 10, v Části druhé pod nadpisem Změna zákona o daních z příjmů doporučujeme vypustit označení </w:t>
            </w:r>
            <w:r w:rsidRPr="0035187E">
              <w:rPr>
                <w:rFonts w:ascii="Times New Roman" w:eastAsia="Calibri" w:hAnsi="Times New Roman" w:cs="Times New Roman"/>
                <w:b/>
                <w:bCs/>
                <w:sz w:val="20"/>
                <w:szCs w:val="20"/>
                <w:lang w:eastAsia="en-US"/>
              </w:rPr>
              <w:t xml:space="preserve">„§ 30“. </w:t>
            </w:r>
          </w:p>
        </w:tc>
        <w:tc>
          <w:tcPr>
            <w:tcW w:w="1453" w:type="pct"/>
            <w:tcBorders>
              <w:top w:val="single" w:sz="4" w:space="0" w:color="auto"/>
              <w:left w:val="single" w:sz="4" w:space="0" w:color="auto"/>
              <w:right w:val="single" w:sz="4" w:space="0" w:color="auto"/>
            </w:tcBorders>
            <w:shd w:val="clear" w:color="auto" w:fill="auto"/>
          </w:tcPr>
          <w:p w14:paraId="07E21B74" w14:textId="77777777" w:rsidR="000B4BD4" w:rsidRPr="0035187E" w:rsidRDefault="00147724" w:rsidP="0035187E">
            <w:pPr>
              <w:jc w:val="both"/>
              <w:rPr>
                <w:rFonts w:ascii="Times New Roman" w:hAnsi="Times New Roman" w:cs="Times New Roman"/>
                <w:b/>
                <w:iCs/>
                <w:sz w:val="20"/>
                <w:szCs w:val="20"/>
              </w:rPr>
            </w:pPr>
            <w:r w:rsidRPr="0035187E">
              <w:rPr>
                <w:rFonts w:ascii="Times New Roman" w:hAnsi="Times New Roman" w:cs="Times New Roman"/>
                <w:b/>
                <w:iCs/>
                <w:sz w:val="20"/>
                <w:szCs w:val="20"/>
              </w:rPr>
              <w:t>Vysvětleno.</w:t>
            </w:r>
          </w:p>
          <w:p w14:paraId="0F42C799" w14:textId="3B827DD2" w:rsidR="00147724" w:rsidRPr="0035187E" w:rsidRDefault="00147724"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Vzhledem k tomu, že nejde o klasický soubor novel, ale tzv. složeninu, kdy úvodní část zákona je tvořena fakticky novým zákonem o evidenci tržeb, je nutné v souladu s legislativními pravidly vlády používat místo označení článků pokračující číselnou řadu paragrafů.</w:t>
            </w:r>
          </w:p>
        </w:tc>
      </w:tr>
      <w:tr w:rsidR="0035187E" w:rsidRPr="0035187E" w14:paraId="27320017"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9B713C5" w14:textId="22016F0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68.</w:t>
            </w:r>
          </w:p>
        </w:tc>
        <w:tc>
          <w:tcPr>
            <w:tcW w:w="583" w:type="pct"/>
            <w:tcBorders>
              <w:top w:val="single" w:sz="4" w:space="0" w:color="auto"/>
              <w:left w:val="single" w:sz="4" w:space="0" w:color="auto"/>
              <w:right w:val="single" w:sz="4" w:space="0" w:color="auto"/>
            </w:tcBorders>
            <w:shd w:val="clear" w:color="auto" w:fill="auto"/>
          </w:tcPr>
          <w:p w14:paraId="2F7E4E93" w14:textId="0564EBF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Notářská komora ČR</w:t>
            </w:r>
          </w:p>
        </w:tc>
        <w:tc>
          <w:tcPr>
            <w:tcW w:w="168" w:type="pct"/>
            <w:tcBorders>
              <w:top w:val="single" w:sz="4" w:space="0" w:color="auto"/>
              <w:left w:val="single" w:sz="4" w:space="0" w:color="auto"/>
              <w:right w:val="single" w:sz="4" w:space="0" w:color="auto"/>
            </w:tcBorders>
            <w:shd w:val="clear" w:color="auto" w:fill="auto"/>
          </w:tcPr>
          <w:p w14:paraId="1B99275C" w14:textId="296EDBF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5D87B29C" w14:textId="1CFA4E4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1BF70D3" w14:textId="77777777" w:rsidR="000B4BD4" w:rsidRPr="0035187E" w:rsidRDefault="000B4BD4" w:rsidP="0035187E">
            <w:pPr>
              <w:numPr>
                <w:ilvl w:val="0"/>
                <w:numId w:val="43"/>
              </w:numPr>
              <w:suppressAutoHyphens/>
              <w:autoSpaceDE w:val="0"/>
              <w:autoSpaceDN w:val="0"/>
              <w:adjustRightInd w:val="0"/>
              <w:ind w:left="0" w:hanging="27"/>
              <w:jc w:val="both"/>
              <w:rPr>
                <w:rFonts w:ascii="Times New Roman" w:hAnsi="Times New Roman" w:cs="Times New Roman"/>
                <w:b/>
                <w:bCs/>
                <w:i/>
                <w:iCs/>
                <w:sz w:val="20"/>
                <w:szCs w:val="20"/>
              </w:rPr>
            </w:pPr>
            <w:r w:rsidRPr="0035187E">
              <w:rPr>
                <w:rFonts w:ascii="Times New Roman" w:hAnsi="Times New Roman" w:cs="Times New Roman"/>
                <w:b/>
                <w:bCs/>
                <w:i/>
                <w:iCs/>
                <w:sz w:val="20"/>
                <w:szCs w:val="20"/>
              </w:rPr>
              <w:t>Věcné připomínky</w:t>
            </w:r>
          </w:p>
          <w:p w14:paraId="2ADC6703" w14:textId="77777777" w:rsidR="000B4BD4" w:rsidRPr="0035187E" w:rsidRDefault="000B4BD4" w:rsidP="0035187E">
            <w:pPr>
              <w:spacing w:before="120"/>
              <w:contextualSpacing/>
              <w:jc w:val="both"/>
              <w:rPr>
                <w:rFonts w:ascii="Times New Roman" w:hAnsi="Times New Roman" w:cs="Times New Roman"/>
                <w:b/>
                <w:bCs/>
                <w:sz w:val="20"/>
                <w:szCs w:val="20"/>
                <w:u w:val="single"/>
              </w:rPr>
            </w:pPr>
            <w:r w:rsidRPr="0035187E">
              <w:rPr>
                <w:rFonts w:ascii="Times New Roman" w:hAnsi="Times New Roman" w:cs="Times New Roman"/>
                <w:b/>
                <w:bCs/>
                <w:sz w:val="20"/>
                <w:szCs w:val="20"/>
                <w:u w:val="single"/>
              </w:rPr>
              <w:t>Obecně – k povinnosti evidovat tržbu uskutečněnou bezhotovostním převodem peněžních prostředků</w:t>
            </w:r>
          </w:p>
          <w:p w14:paraId="6468B887" w14:textId="33EFFA5D" w:rsidR="000B4BD4" w:rsidRPr="0035187E" w:rsidRDefault="000B4BD4" w:rsidP="0035187E">
            <w:pPr>
              <w:spacing w:before="120"/>
              <w:contextualSpacing/>
              <w:jc w:val="both"/>
              <w:rPr>
                <w:rFonts w:ascii="Times New Roman" w:hAnsi="Times New Roman" w:cs="Times New Roman"/>
                <w:sz w:val="20"/>
                <w:szCs w:val="20"/>
              </w:rPr>
            </w:pPr>
            <w:r w:rsidRPr="0035187E">
              <w:rPr>
                <w:rFonts w:ascii="Times New Roman" w:hAnsi="Times New Roman" w:cs="Times New Roman"/>
                <w:sz w:val="20"/>
                <w:szCs w:val="20"/>
              </w:rPr>
              <w:t xml:space="preserve">Návrh zákona se podle našeho názoru ne zcela dostatečně vypořádal s argumenty, obsaženými v nálezu Ústavního soudu ze dne 12. 12. 2017 </w:t>
            </w:r>
            <w:proofErr w:type="spellStart"/>
            <w:r w:rsidRPr="0035187E">
              <w:rPr>
                <w:rFonts w:ascii="Times New Roman" w:hAnsi="Times New Roman" w:cs="Times New Roman"/>
                <w:sz w:val="20"/>
                <w:szCs w:val="20"/>
              </w:rPr>
              <w:t>sp</w:t>
            </w:r>
            <w:proofErr w:type="spellEnd"/>
            <w:r w:rsidRPr="0035187E">
              <w:rPr>
                <w:rFonts w:ascii="Times New Roman" w:hAnsi="Times New Roman" w:cs="Times New Roman"/>
                <w:sz w:val="20"/>
                <w:szCs w:val="20"/>
              </w:rPr>
              <w:t xml:space="preserve">. zn. </w:t>
            </w:r>
            <w:proofErr w:type="spellStart"/>
            <w:r w:rsidRPr="0035187E">
              <w:rPr>
                <w:rFonts w:ascii="Times New Roman" w:hAnsi="Times New Roman" w:cs="Times New Roman"/>
                <w:sz w:val="20"/>
                <w:szCs w:val="20"/>
              </w:rPr>
              <w:t>Pl</w:t>
            </w:r>
            <w:proofErr w:type="spellEnd"/>
            <w:r w:rsidRPr="0035187E">
              <w:rPr>
                <w:rFonts w:ascii="Times New Roman" w:hAnsi="Times New Roman" w:cs="Times New Roman"/>
                <w:sz w:val="20"/>
                <w:szCs w:val="20"/>
              </w:rPr>
              <w:t>. ÚS 26/16, kdy se ústavní soud zabýval protiústavnosti evidence bezhotovostních tržeb.</w:t>
            </w:r>
          </w:p>
          <w:p w14:paraId="4E9CFBDE" w14:textId="77777777" w:rsidR="000B4BD4" w:rsidRPr="0035187E" w:rsidRDefault="000B4BD4" w:rsidP="0035187E">
            <w:pPr>
              <w:spacing w:before="120"/>
              <w:contextualSpacing/>
              <w:jc w:val="both"/>
              <w:rPr>
                <w:rFonts w:ascii="Times New Roman" w:hAnsi="Times New Roman" w:cs="Times New Roman"/>
                <w:b/>
                <w:bCs/>
                <w:sz w:val="20"/>
                <w:szCs w:val="20"/>
                <w:u w:val="single"/>
              </w:rPr>
            </w:pPr>
            <w:r w:rsidRPr="0035187E">
              <w:rPr>
                <w:rFonts w:ascii="Times New Roman" w:hAnsi="Times New Roman" w:cs="Times New Roman"/>
                <w:sz w:val="20"/>
                <w:szCs w:val="20"/>
              </w:rPr>
              <w:t>Lze tedy namítnout, že bezhotovostní platby jsou již ze své podstaty dohledatelné v bankovním systému, takže jejich povinné evidování v režimu evidence tržeb představuje nepřiměřený zásah do podnikání bez dostatečného přínosu pro správu daní.  Jedná se o duplicitu vůči kontrolním mechanismům podle daňového řádu. Evidovaná tržba byla vytvořena účelově ve snaze se vypořádat s argumenty uvedenými v citovaném nálezu. Důvodová zpráva uvádí, že „</w:t>
            </w:r>
            <w:r w:rsidRPr="0035187E">
              <w:rPr>
                <w:rFonts w:ascii="Times New Roman" w:hAnsi="Times New Roman" w:cs="Times New Roman"/>
                <w:i/>
                <w:sz w:val="20"/>
                <w:szCs w:val="20"/>
              </w:rPr>
              <w:t xml:space="preserve">Osobní prvek při kontaktní platbě představuje významné riziko z pohledu pokušení danou tržbu zatajit a nepřiznat. Podnikateli dává možnost ověřit si, kdo je zákazník a zda z jeho strany hrozí eventuální riziko v podobě kontroly“. </w:t>
            </w:r>
            <w:r w:rsidRPr="0035187E">
              <w:rPr>
                <w:rFonts w:ascii="Times New Roman" w:hAnsi="Times New Roman" w:cs="Times New Roman"/>
                <w:sz w:val="20"/>
                <w:szCs w:val="20"/>
              </w:rPr>
              <w:t xml:space="preserve">U plateb vedených přes standardní bankovní infrastrukturu je dohledatelnost výrazně vyšší než u hotovosti, a proto musí být zákonný zásah zvlášť pečlivě odůvodněn, zejména u regulovaných profesí. Není nám známo, podle jakého právního předpisu by měl podnikatel právo (či vůbec možnost) ověřovat totožnost zákazníka a </w:t>
            </w:r>
            <w:proofErr w:type="gramStart"/>
            <w:r w:rsidRPr="0035187E">
              <w:rPr>
                <w:rFonts w:ascii="Times New Roman" w:hAnsi="Times New Roman" w:cs="Times New Roman"/>
                <w:sz w:val="20"/>
                <w:szCs w:val="20"/>
              </w:rPr>
              <w:t>zjišťovat</w:t>
            </w:r>
            <w:proofErr w:type="gramEnd"/>
            <w:r w:rsidRPr="0035187E">
              <w:rPr>
                <w:rFonts w:ascii="Times New Roman" w:hAnsi="Times New Roman" w:cs="Times New Roman"/>
                <w:sz w:val="20"/>
                <w:szCs w:val="20"/>
              </w:rPr>
              <w:t xml:space="preserve"> zda je kontrolorem či nikoli. Cílem je, což ostatně důvodová zpráva sama přiznává, to, aby stát měl komplexní přehled o platbách a že se ulehčí kontrolní činnost. I když se jedná nikoli o argument právní, pak dle našeho názoru důvodová zpráva však postrádá sdělení, jak bude zredukován právě v této souvislosti počet zaměstnanců kontrolních oddělení, neboť je nepochybné, že pokud tato úprava bude schválena, klesne jejich potřeba. </w:t>
            </w:r>
          </w:p>
          <w:p w14:paraId="3599F4F5" w14:textId="77777777" w:rsidR="000B4BD4" w:rsidRPr="0035187E" w:rsidRDefault="000B4BD4" w:rsidP="0035187E">
            <w:pPr>
              <w:spacing w:before="120"/>
              <w:jc w:val="both"/>
              <w:rPr>
                <w:rFonts w:ascii="Times New Roman" w:hAnsi="Times New Roman" w:cs="Times New Roman"/>
                <w:sz w:val="20"/>
                <w:szCs w:val="20"/>
              </w:rPr>
            </w:pPr>
            <w:r w:rsidRPr="0035187E">
              <w:rPr>
                <w:rFonts w:ascii="Times New Roman" w:hAnsi="Times New Roman" w:cs="Times New Roman"/>
                <w:sz w:val="20"/>
                <w:szCs w:val="20"/>
              </w:rPr>
              <w:lastRenderedPageBreak/>
              <w:t xml:space="preserve">Stát musí volit také nástroje, které co nejméně zatěžují základní práva podnikatelů, u bezhotovostních plateb existují méně invazivní způsoby kontroly (bankovní záznamy). Současný návrh je </w:t>
            </w:r>
            <w:proofErr w:type="spellStart"/>
            <w:r w:rsidRPr="0035187E">
              <w:rPr>
                <w:rFonts w:ascii="Times New Roman" w:hAnsi="Times New Roman" w:cs="Times New Roman"/>
                <w:sz w:val="20"/>
                <w:szCs w:val="20"/>
              </w:rPr>
              <w:t>neproporciálním</w:t>
            </w:r>
            <w:proofErr w:type="spellEnd"/>
            <w:r w:rsidRPr="0035187E">
              <w:rPr>
                <w:rFonts w:ascii="Times New Roman" w:hAnsi="Times New Roman" w:cs="Times New Roman"/>
                <w:sz w:val="20"/>
                <w:szCs w:val="20"/>
              </w:rPr>
              <w:t xml:space="preserve"> zatížením podnikatelů v podobě evidování již jinak dohledatelných transakcí – jedná se tak o administrativní povinnost bez reálného kontrolního přínosu. Naproti tomu není doprovázen ani adekvátní redukcí zaměstnanců státní správy. Stát neustále vytváří nové povinnosti pro podnikatele, kdy jsou tito nuceni na své náklady ulehčovat činnost státu či plnit jeho povinnosti, na snížení byrokracie se to však neprojevuje. </w:t>
            </w:r>
          </w:p>
          <w:p w14:paraId="1ECD3F99" w14:textId="77777777" w:rsidR="000B4BD4" w:rsidRPr="0035187E" w:rsidRDefault="000B4BD4" w:rsidP="0035187E">
            <w:pPr>
              <w:autoSpaceDE w:val="0"/>
              <w:autoSpaceDN w:val="0"/>
              <w:adjustRightInd w:val="0"/>
              <w:spacing w:before="120"/>
              <w:jc w:val="both"/>
              <w:rPr>
                <w:rFonts w:ascii="Times New Roman" w:hAnsi="Times New Roman" w:cs="Times New Roman"/>
                <w:sz w:val="20"/>
                <w:szCs w:val="20"/>
              </w:rPr>
            </w:pPr>
            <w:r w:rsidRPr="0035187E">
              <w:rPr>
                <w:rFonts w:ascii="Times New Roman" w:hAnsi="Times New Roman" w:cs="Times New Roman"/>
                <w:sz w:val="20"/>
                <w:szCs w:val="20"/>
              </w:rPr>
              <w:t>V tomto smyslu považujeme za nezbytné návrh zákona upravit.</w:t>
            </w:r>
          </w:p>
          <w:p w14:paraId="39DC01BC" w14:textId="2FA12283" w:rsidR="000B4BD4" w:rsidRPr="0035187E" w:rsidRDefault="000B4BD4" w:rsidP="0035187E">
            <w:pPr>
              <w:autoSpaceDE w:val="0"/>
              <w:autoSpaceDN w:val="0"/>
              <w:adjustRightInd w:val="0"/>
              <w:spacing w:before="120"/>
              <w:jc w:val="both"/>
              <w:rPr>
                <w:rFonts w:ascii="Times New Roman" w:eastAsia="Aptos" w:hAnsi="Times New Roman" w:cs="Times New Roman"/>
                <w:b/>
                <w:bCs/>
                <w:sz w:val="20"/>
                <w:szCs w:val="20"/>
              </w:rPr>
            </w:pPr>
            <w:r w:rsidRPr="0035187E">
              <w:rPr>
                <w:rFonts w:ascii="Times New Roman" w:hAnsi="Times New Roman" w:cs="Times New Roman"/>
                <w:b/>
                <w:bCs/>
                <w:sz w:val="20"/>
                <w:szCs w:val="20"/>
              </w:rPr>
              <w:t>Tato připomínka je zásadní.</w:t>
            </w:r>
          </w:p>
        </w:tc>
        <w:tc>
          <w:tcPr>
            <w:tcW w:w="1453" w:type="pct"/>
            <w:tcBorders>
              <w:top w:val="single" w:sz="4" w:space="0" w:color="auto"/>
              <w:left w:val="single" w:sz="4" w:space="0" w:color="auto"/>
              <w:right w:val="single" w:sz="4" w:space="0" w:color="auto"/>
            </w:tcBorders>
            <w:shd w:val="clear" w:color="auto" w:fill="auto"/>
          </w:tcPr>
          <w:p w14:paraId="37579783" w14:textId="77777777" w:rsidR="000B4BD4" w:rsidRPr="0035187E" w:rsidRDefault="00147724" w:rsidP="0035187E">
            <w:pPr>
              <w:jc w:val="both"/>
              <w:rPr>
                <w:rFonts w:ascii="Times New Roman" w:hAnsi="Times New Roman" w:cs="Times New Roman"/>
                <w:b/>
                <w:iCs/>
                <w:sz w:val="20"/>
                <w:szCs w:val="20"/>
              </w:rPr>
            </w:pPr>
            <w:r w:rsidRPr="0035187E">
              <w:rPr>
                <w:rFonts w:ascii="Times New Roman" w:hAnsi="Times New Roman" w:cs="Times New Roman"/>
                <w:b/>
                <w:iCs/>
                <w:sz w:val="20"/>
                <w:szCs w:val="20"/>
              </w:rPr>
              <w:lastRenderedPageBreak/>
              <w:t>Nevyhověno.</w:t>
            </w:r>
          </w:p>
          <w:p w14:paraId="2E39E98B" w14:textId="77777777" w:rsidR="00147724" w:rsidRPr="0035187E" w:rsidRDefault="00147724"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Argumentaci na toto téma se zevrubně věnuje důvodová zpráva, na kterou je možné autora připomínky odkázat.</w:t>
            </w:r>
          </w:p>
          <w:p w14:paraId="7E8B9DBE" w14:textId="77777777" w:rsidR="00E743CB" w:rsidRPr="0035187E" w:rsidRDefault="00E743CB" w:rsidP="0035187E">
            <w:pPr>
              <w:jc w:val="both"/>
              <w:rPr>
                <w:rFonts w:ascii="Times New Roman" w:hAnsi="Times New Roman" w:cs="Times New Roman"/>
                <w:iCs/>
                <w:sz w:val="20"/>
                <w:szCs w:val="20"/>
              </w:rPr>
            </w:pPr>
          </w:p>
          <w:p w14:paraId="483B54D3" w14:textId="7324FCC4" w:rsidR="00E743CB" w:rsidRPr="0035187E" w:rsidRDefault="00E743CB"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 xml:space="preserve">Vyjádření připomínkového místa: nadále trvá na znění </w:t>
            </w:r>
            <w:r w:rsidR="009C547C" w:rsidRPr="0035187E">
              <w:rPr>
                <w:rFonts w:ascii="Times New Roman" w:hAnsi="Times New Roman" w:cs="Times New Roman"/>
                <w:i/>
                <w:iCs/>
                <w:sz w:val="20"/>
                <w:szCs w:val="20"/>
              </w:rPr>
              <w:t>připomínky</w:t>
            </w:r>
            <w:r w:rsidRPr="0035187E">
              <w:rPr>
                <w:rFonts w:ascii="Times New Roman" w:hAnsi="Times New Roman" w:cs="Times New Roman"/>
                <w:i/>
                <w:iCs/>
                <w:sz w:val="20"/>
                <w:szCs w:val="20"/>
              </w:rPr>
              <w:t>, s návrhem vypořádání nesouhlasí.</w:t>
            </w:r>
          </w:p>
        </w:tc>
      </w:tr>
      <w:tr w:rsidR="0035187E" w:rsidRPr="0035187E" w14:paraId="4445FC95"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30C15B4" w14:textId="0B7F4FA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68.</w:t>
            </w:r>
          </w:p>
        </w:tc>
        <w:tc>
          <w:tcPr>
            <w:tcW w:w="583" w:type="pct"/>
            <w:tcBorders>
              <w:top w:val="single" w:sz="4" w:space="0" w:color="auto"/>
              <w:left w:val="single" w:sz="4" w:space="0" w:color="auto"/>
              <w:right w:val="single" w:sz="4" w:space="0" w:color="auto"/>
            </w:tcBorders>
            <w:shd w:val="clear" w:color="auto" w:fill="auto"/>
          </w:tcPr>
          <w:p w14:paraId="71A96C36" w14:textId="2E203ED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Notářská komora ČR</w:t>
            </w:r>
          </w:p>
        </w:tc>
        <w:tc>
          <w:tcPr>
            <w:tcW w:w="168" w:type="pct"/>
            <w:tcBorders>
              <w:top w:val="single" w:sz="4" w:space="0" w:color="auto"/>
              <w:left w:val="single" w:sz="4" w:space="0" w:color="auto"/>
              <w:right w:val="single" w:sz="4" w:space="0" w:color="auto"/>
            </w:tcBorders>
            <w:shd w:val="clear" w:color="auto" w:fill="auto"/>
          </w:tcPr>
          <w:p w14:paraId="0BA93AF2" w14:textId="0A36743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w:t>
            </w:r>
          </w:p>
        </w:tc>
        <w:tc>
          <w:tcPr>
            <w:tcW w:w="169" w:type="pct"/>
            <w:tcBorders>
              <w:top w:val="single" w:sz="4" w:space="0" w:color="auto"/>
              <w:left w:val="single" w:sz="4" w:space="0" w:color="auto"/>
              <w:right w:val="single" w:sz="4" w:space="0" w:color="auto"/>
            </w:tcBorders>
            <w:shd w:val="clear" w:color="auto" w:fill="auto"/>
          </w:tcPr>
          <w:p w14:paraId="76471BF8" w14:textId="3EB6AEC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350B1E5F" w14:textId="77777777" w:rsidR="000B4BD4" w:rsidRPr="0035187E" w:rsidRDefault="000B4BD4" w:rsidP="0035187E">
            <w:pPr>
              <w:contextualSpacing/>
              <w:jc w:val="both"/>
              <w:rPr>
                <w:rFonts w:ascii="Times New Roman" w:hAnsi="Times New Roman" w:cs="Times New Roman"/>
                <w:b/>
                <w:bCs/>
                <w:sz w:val="20"/>
                <w:szCs w:val="20"/>
                <w:u w:val="single"/>
              </w:rPr>
            </w:pPr>
            <w:r w:rsidRPr="0035187E">
              <w:rPr>
                <w:rFonts w:ascii="Times New Roman" w:hAnsi="Times New Roman" w:cs="Times New Roman"/>
                <w:b/>
                <w:bCs/>
                <w:sz w:val="20"/>
                <w:szCs w:val="20"/>
                <w:u w:val="single"/>
              </w:rPr>
              <w:t>Obecně –k</w:t>
            </w:r>
            <w:r w:rsidRPr="0035187E">
              <w:rPr>
                <w:rFonts w:ascii="Times New Roman" w:hAnsi="Times New Roman" w:cs="Times New Roman"/>
                <w:b/>
                <w:sz w:val="20"/>
                <w:szCs w:val="20"/>
                <w:u w:val="single"/>
              </w:rPr>
              <w:t xml:space="preserve"> bezplatné aplikace pro evidenci tržeb</w:t>
            </w:r>
          </w:p>
          <w:p w14:paraId="2108F2EE" w14:textId="18BA020C" w:rsidR="000B4BD4" w:rsidRPr="0035187E" w:rsidRDefault="000B4BD4" w:rsidP="0035187E">
            <w:pPr>
              <w:autoSpaceDE w:val="0"/>
              <w:autoSpaceDN w:val="0"/>
              <w:adjustRightInd w:val="0"/>
              <w:spacing w:before="120"/>
              <w:jc w:val="both"/>
              <w:rPr>
                <w:rFonts w:ascii="Times New Roman" w:eastAsia="Aptos" w:hAnsi="Times New Roman" w:cs="Times New Roman"/>
                <w:b/>
                <w:bCs/>
                <w:sz w:val="20"/>
                <w:szCs w:val="20"/>
              </w:rPr>
            </w:pPr>
            <w:r w:rsidRPr="0035187E">
              <w:rPr>
                <w:rFonts w:ascii="Times New Roman" w:hAnsi="Times New Roman" w:cs="Times New Roman"/>
                <w:bCs/>
                <w:sz w:val="20"/>
                <w:szCs w:val="20"/>
              </w:rPr>
              <w:t xml:space="preserve">Návrhu chybí právní ukotvení bezplatné aplikace pro evidenci tržeb. </w:t>
            </w:r>
            <w:r w:rsidRPr="0035187E">
              <w:rPr>
                <w:rFonts w:ascii="Times New Roman" w:hAnsi="Times New Roman" w:cs="Times New Roman"/>
                <w:sz w:val="20"/>
                <w:szCs w:val="20"/>
              </w:rPr>
              <w:t>Důvodová zpráva sama uvádí, že bezplatná aplikace je jen „příslib“, nikoli zákonný nárok. Pokud má MF argumentovat nízkou zátěží, mělo by být minimálně v přechodných ustanoveních nebo v zákonném zmocnění jasně zakotveno, že stát skutečně včas poskytne funkční bezplatný nástroj.</w:t>
            </w:r>
          </w:p>
        </w:tc>
        <w:tc>
          <w:tcPr>
            <w:tcW w:w="1453" w:type="pct"/>
            <w:tcBorders>
              <w:top w:val="single" w:sz="4" w:space="0" w:color="auto"/>
              <w:left w:val="single" w:sz="4" w:space="0" w:color="auto"/>
              <w:right w:val="single" w:sz="4" w:space="0" w:color="auto"/>
            </w:tcBorders>
            <w:shd w:val="clear" w:color="auto" w:fill="auto"/>
          </w:tcPr>
          <w:p w14:paraId="0018A4A7" w14:textId="77777777" w:rsidR="000B4BD4" w:rsidRPr="0035187E" w:rsidRDefault="002059B3" w:rsidP="0035187E">
            <w:pPr>
              <w:jc w:val="both"/>
              <w:rPr>
                <w:rFonts w:ascii="Times New Roman" w:hAnsi="Times New Roman" w:cs="Times New Roman"/>
                <w:b/>
                <w:iCs/>
                <w:sz w:val="20"/>
                <w:szCs w:val="20"/>
              </w:rPr>
            </w:pPr>
            <w:r w:rsidRPr="0035187E">
              <w:rPr>
                <w:rFonts w:ascii="Times New Roman" w:hAnsi="Times New Roman" w:cs="Times New Roman"/>
                <w:b/>
                <w:iCs/>
                <w:sz w:val="20"/>
                <w:szCs w:val="20"/>
              </w:rPr>
              <w:t>Nevyhověno.</w:t>
            </w:r>
          </w:p>
          <w:p w14:paraId="5A896F0E" w14:textId="77777777" w:rsidR="002059B3" w:rsidRPr="0035187E" w:rsidRDefault="002059B3"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Jedná se opravdu pouze o příslib, nikoli zákonem stanovený pokyn, což je záměr. Pokud by stát na tento příslib registroval, oslabuje svou vlastní argumentaci o přiměřenosti zvoleného řešení.</w:t>
            </w:r>
          </w:p>
          <w:p w14:paraId="5D72C31C" w14:textId="77777777" w:rsidR="00E743CB" w:rsidRPr="0035187E" w:rsidRDefault="00E743CB" w:rsidP="0035187E">
            <w:pPr>
              <w:jc w:val="both"/>
              <w:rPr>
                <w:rFonts w:ascii="Times New Roman" w:hAnsi="Times New Roman" w:cs="Times New Roman"/>
                <w:iCs/>
                <w:sz w:val="20"/>
                <w:szCs w:val="20"/>
              </w:rPr>
            </w:pPr>
          </w:p>
          <w:p w14:paraId="6F5C556C" w14:textId="12BAE54D" w:rsidR="00E743CB" w:rsidRPr="0035187E" w:rsidRDefault="00E743CB" w:rsidP="0035187E">
            <w:pPr>
              <w:jc w:val="both"/>
              <w:rPr>
                <w:rFonts w:ascii="Times New Roman" w:hAnsi="Times New Roman" w:cs="Times New Roman"/>
                <w:sz w:val="20"/>
                <w:szCs w:val="20"/>
              </w:rPr>
            </w:pPr>
            <w:r w:rsidRPr="0035187E">
              <w:rPr>
                <w:rFonts w:ascii="Times New Roman" w:hAnsi="Times New Roman" w:cs="Times New Roman"/>
                <w:i/>
                <w:iCs/>
                <w:sz w:val="20"/>
                <w:szCs w:val="20"/>
              </w:rPr>
              <w:t xml:space="preserve">Vyjádření připomínkového místa: nadále trvá na znění </w:t>
            </w:r>
            <w:r w:rsidR="009C547C" w:rsidRPr="0035187E">
              <w:rPr>
                <w:rFonts w:ascii="Times New Roman" w:hAnsi="Times New Roman" w:cs="Times New Roman"/>
                <w:i/>
                <w:iCs/>
                <w:sz w:val="20"/>
                <w:szCs w:val="20"/>
              </w:rPr>
              <w:t>připomínky</w:t>
            </w:r>
            <w:r w:rsidRPr="0035187E">
              <w:rPr>
                <w:rFonts w:ascii="Times New Roman" w:hAnsi="Times New Roman" w:cs="Times New Roman"/>
                <w:i/>
                <w:iCs/>
                <w:sz w:val="20"/>
                <w:szCs w:val="20"/>
              </w:rPr>
              <w:t>, s návrhem vypořádání nesouhlasí.</w:t>
            </w:r>
          </w:p>
        </w:tc>
      </w:tr>
      <w:tr w:rsidR="0035187E" w:rsidRPr="0035187E" w14:paraId="45A560A3" w14:textId="77777777" w:rsidTr="0035187E">
        <w:trPr>
          <w:trHeight w:val="3748"/>
        </w:trPr>
        <w:tc>
          <w:tcPr>
            <w:tcW w:w="227" w:type="pct"/>
            <w:tcBorders>
              <w:top w:val="single" w:sz="4" w:space="0" w:color="auto"/>
              <w:left w:val="single" w:sz="4" w:space="0" w:color="auto"/>
              <w:right w:val="single" w:sz="4" w:space="0" w:color="auto"/>
            </w:tcBorders>
            <w:shd w:val="clear" w:color="auto" w:fill="auto"/>
          </w:tcPr>
          <w:p w14:paraId="00FDE67D" w14:textId="2618AC2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68.</w:t>
            </w:r>
          </w:p>
        </w:tc>
        <w:tc>
          <w:tcPr>
            <w:tcW w:w="583" w:type="pct"/>
            <w:tcBorders>
              <w:top w:val="single" w:sz="4" w:space="0" w:color="auto"/>
              <w:left w:val="single" w:sz="4" w:space="0" w:color="auto"/>
              <w:right w:val="single" w:sz="4" w:space="0" w:color="auto"/>
            </w:tcBorders>
            <w:shd w:val="clear" w:color="auto" w:fill="auto"/>
          </w:tcPr>
          <w:p w14:paraId="277FEBA7" w14:textId="1B9053E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Notářská komora ČR</w:t>
            </w:r>
          </w:p>
        </w:tc>
        <w:tc>
          <w:tcPr>
            <w:tcW w:w="168" w:type="pct"/>
            <w:tcBorders>
              <w:top w:val="single" w:sz="4" w:space="0" w:color="auto"/>
              <w:left w:val="single" w:sz="4" w:space="0" w:color="auto"/>
              <w:right w:val="single" w:sz="4" w:space="0" w:color="auto"/>
            </w:tcBorders>
            <w:shd w:val="clear" w:color="auto" w:fill="auto"/>
          </w:tcPr>
          <w:p w14:paraId="71803FE1" w14:textId="2A4AA34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3.</w:t>
            </w:r>
          </w:p>
        </w:tc>
        <w:tc>
          <w:tcPr>
            <w:tcW w:w="169" w:type="pct"/>
            <w:tcBorders>
              <w:top w:val="single" w:sz="4" w:space="0" w:color="auto"/>
              <w:left w:val="single" w:sz="4" w:space="0" w:color="auto"/>
              <w:right w:val="single" w:sz="4" w:space="0" w:color="auto"/>
            </w:tcBorders>
            <w:shd w:val="clear" w:color="auto" w:fill="auto"/>
          </w:tcPr>
          <w:p w14:paraId="601F9AC0" w14:textId="164FBDB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2CA8A79" w14:textId="77777777" w:rsidR="000B4BD4" w:rsidRPr="0035187E" w:rsidRDefault="000B4BD4" w:rsidP="0035187E">
            <w:pPr>
              <w:suppressAutoHyphens/>
              <w:autoSpaceDE w:val="0"/>
              <w:autoSpaceDN w:val="0"/>
              <w:adjustRightInd w:val="0"/>
              <w:rPr>
                <w:rFonts w:ascii="Times New Roman" w:hAnsi="Times New Roman" w:cs="Times New Roman"/>
                <w:b/>
                <w:bCs/>
                <w:sz w:val="20"/>
                <w:szCs w:val="20"/>
                <w:u w:val="single"/>
              </w:rPr>
            </w:pPr>
            <w:r w:rsidRPr="0035187E">
              <w:rPr>
                <w:rFonts w:ascii="Times New Roman" w:hAnsi="Times New Roman" w:cs="Times New Roman"/>
                <w:b/>
                <w:bCs/>
                <w:sz w:val="20"/>
                <w:szCs w:val="20"/>
                <w:u w:val="single"/>
              </w:rPr>
              <w:t>Obecně – k rozsahu vynětí z evidence tržeb podle činnosti</w:t>
            </w:r>
          </w:p>
          <w:p w14:paraId="0B0DF9C6" w14:textId="77777777" w:rsidR="000B4BD4" w:rsidRPr="0035187E" w:rsidRDefault="000B4BD4" w:rsidP="0035187E">
            <w:pPr>
              <w:autoSpaceDE w:val="0"/>
              <w:autoSpaceDN w:val="0"/>
              <w:adjustRightInd w:val="0"/>
              <w:spacing w:before="120"/>
              <w:jc w:val="both"/>
              <w:rPr>
                <w:rFonts w:ascii="Times New Roman" w:hAnsi="Times New Roman" w:cs="Times New Roman"/>
                <w:b/>
                <w:sz w:val="20"/>
                <w:szCs w:val="20"/>
                <w:u w:val="single"/>
              </w:rPr>
            </w:pPr>
            <w:r w:rsidRPr="0035187E">
              <w:rPr>
                <w:rFonts w:ascii="Times New Roman" w:hAnsi="Times New Roman" w:cs="Times New Roman"/>
                <w:sz w:val="20"/>
                <w:szCs w:val="20"/>
              </w:rPr>
              <w:t xml:space="preserve">S ohledem na rozsah povinné evidence tržeb se zkomplikuje dostupnost služeb, které lze považovat v širším smyslu za sociální. U notářů je to ověřování podpisů v nemocnicích, sociálních zařízeních, resp. obecněji u imobilních klientů – fyzických osob, za což náleží notáři odměna dle vyhlášky č. 196/2001 Sb., v platném znění, ve výši 70 Kč, s možností zvýšení o </w:t>
            </w:r>
            <w:proofErr w:type="gramStart"/>
            <w:r w:rsidRPr="0035187E">
              <w:rPr>
                <w:rFonts w:ascii="Times New Roman" w:hAnsi="Times New Roman" w:cs="Times New Roman"/>
                <w:sz w:val="20"/>
                <w:szCs w:val="20"/>
              </w:rPr>
              <w:t>100%</w:t>
            </w:r>
            <w:proofErr w:type="gramEnd"/>
            <w:r w:rsidRPr="0035187E">
              <w:rPr>
                <w:rFonts w:ascii="Times New Roman" w:hAnsi="Times New Roman" w:cs="Times New Roman"/>
                <w:sz w:val="20"/>
                <w:szCs w:val="20"/>
              </w:rPr>
              <w:t xml:space="preserve">. </w:t>
            </w:r>
            <w:r w:rsidRPr="0035187E">
              <w:rPr>
                <w:rFonts w:ascii="Times New Roman" w:hAnsi="Times New Roman" w:cs="Times New Roman"/>
                <w:bCs/>
                <w:sz w:val="20"/>
                <w:szCs w:val="20"/>
              </w:rPr>
              <w:t xml:space="preserve">Jedná se o terénní úkony vykonávané pro imobilní nebo institucionalizované klienty, s pevně regulovanou nízkou odměnou a s výrazně vyšší organizační náročností. </w:t>
            </w:r>
            <w:r w:rsidRPr="0035187E">
              <w:rPr>
                <w:rFonts w:ascii="Times New Roman" w:hAnsi="Times New Roman" w:cs="Times New Roman"/>
                <w:sz w:val="20"/>
                <w:szCs w:val="20"/>
              </w:rPr>
              <w:t xml:space="preserve">Návrh zachovává </w:t>
            </w:r>
            <w:r w:rsidRPr="0035187E">
              <w:rPr>
                <w:rFonts w:ascii="Times New Roman" w:hAnsi="Times New Roman" w:cs="Times New Roman"/>
                <w:sz w:val="20"/>
                <w:szCs w:val="20"/>
                <w:u w:val="single"/>
              </w:rPr>
              <w:t>pouze on-line režim</w:t>
            </w:r>
            <w:r w:rsidRPr="0035187E">
              <w:rPr>
                <w:rFonts w:ascii="Times New Roman" w:hAnsi="Times New Roman" w:cs="Times New Roman"/>
                <w:sz w:val="20"/>
                <w:szCs w:val="20"/>
              </w:rPr>
              <w:t xml:space="preserve"> a ruší zjednodušený i papírový režim, takže u terénních úkonů dopadá na notáře povinnost mít funkční zařízení a připojení i kvůli úkonům s velmi nízkou regulovanou odměnou. </w:t>
            </w:r>
            <w:r w:rsidRPr="0035187E">
              <w:rPr>
                <w:rFonts w:ascii="Times New Roman" w:hAnsi="Times New Roman" w:cs="Times New Roman"/>
                <w:bCs/>
                <w:sz w:val="20"/>
                <w:szCs w:val="20"/>
                <w:u w:val="single"/>
              </w:rPr>
              <w:t>Obecně lze říci, že terénní úkony vykonávané pro imobilní nebo institucionalizované klienty, s pevně regulovanou nízkou odměnou a s výrazně vyšší organizační náročností, by z povinnosti tržeb měly být vyloučeny přímo zákonem.</w:t>
            </w:r>
            <w:r w:rsidRPr="0035187E">
              <w:rPr>
                <w:rFonts w:ascii="Times New Roman" w:hAnsi="Times New Roman" w:cs="Times New Roman"/>
                <w:b/>
                <w:sz w:val="20"/>
                <w:szCs w:val="20"/>
                <w:u w:val="single"/>
              </w:rPr>
              <w:t xml:space="preserve"> </w:t>
            </w:r>
          </w:p>
          <w:p w14:paraId="251646A1" w14:textId="77777777" w:rsidR="000B4BD4" w:rsidRPr="0035187E" w:rsidRDefault="000B4BD4" w:rsidP="0035187E">
            <w:pPr>
              <w:autoSpaceDE w:val="0"/>
              <w:autoSpaceDN w:val="0"/>
              <w:adjustRightInd w:val="0"/>
              <w:spacing w:before="120"/>
              <w:jc w:val="both"/>
              <w:rPr>
                <w:rFonts w:ascii="Times New Roman" w:hAnsi="Times New Roman" w:cs="Times New Roman"/>
                <w:sz w:val="20"/>
                <w:szCs w:val="20"/>
              </w:rPr>
            </w:pPr>
            <w:r w:rsidRPr="0035187E">
              <w:rPr>
                <w:rFonts w:ascii="Times New Roman" w:hAnsi="Times New Roman" w:cs="Times New Roman"/>
                <w:sz w:val="20"/>
                <w:szCs w:val="20"/>
              </w:rPr>
              <w:t>V tomto smyslu považujeme za nezbytné návrh zákona upravit.</w:t>
            </w:r>
          </w:p>
          <w:p w14:paraId="3780B1A9" w14:textId="02A94AC7" w:rsidR="000B4BD4" w:rsidRPr="0035187E" w:rsidRDefault="000B4BD4" w:rsidP="0035187E">
            <w:pPr>
              <w:autoSpaceDE w:val="0"/>
              <w:autoSpaceDN w:val="0"/>
              <w:adjustRightInd w:val="0"/>
              <w:spacing w:before="120"/>
              <w:jc w:val="both"/>
              <w:rPr>
                <w:rFonts w:ascii="Times New Roman" w:eastAsia="Aptos" w:hAnsi="Times New Roman" w:cs="Times New Roman"/>
                <w:b/>
                <w:bCs/>
                <w:sz w:val="20"/>
                <w:szCs w:val="20"/>
              </w:rPr>
            </w:pPr>
            <w:r w:rsidRPr="0035187E">
              <w:rPr>
                <w:rFonts w:ascii="Times New Roman" w:hAnsi="Times New Roman" w:cs="Times New Roman"/>
                <w:b/>
                <w:bCs/>
                <w:sz w:val="20"/>
                <w:szCs w:val="20"/>
              </w:rPr>
              <w:t>Tato připomínka je zásadní.</w:t>
            </w:r>
          </w:p>
        </w:tc>
        <w:tc>
          <w:tcPr>
            <w:tcW w:w="1453" w:type="pct"/>
            <w:tcBorders>
              <w:top w:val="single" w:sz="4" w:space="0" w:color="auto"/>
              <w:left w:val="single" w:sz="4" w:space="0" w:color="auto"/>
              <w:right w:val="single" w:sz="4" w:space="0" w:color="auto"/>
            </w:tcBorders>
            <w:shd w:val="clear" w:color="auto" w:fill="auto"/>
          </w:tcPr>
          <w:p w14:paraId="7F4B0BC6" w14:textId="77777777" w:rsidR="000B4BD4" w:rsidRPr="0035187E" w:rsidRDefault="002059B3" w:rsidP="0035187E">
            <w:pPr>
              <w:jc w:val="both"/>
              <w:rPr>
                <w:rFonts w:ascii="Times New Roman" w:hAnsi="Times New Roman" w:cs="Times New Roman"/>
                <w:b/>
                <w:iCs/>
                <w:sz w:val="20"/>
                <w:szCs w:val="20"/>
              </w:rPr>
            </w:pPr>
            <w:r w:rsidRPr="0035187E">
              <w:rPr>
                <w:rFonts w:ascii="Times New Roman" w:hAnsi="Times New Roman" w:cs="Times New Roman"/>
                <w:b/>
                <w:iCs/>
                <w:sz w:val="20"/>
                <w:szCs w:val="20"/>
              </w:rPr>
              <w:t>Nevyhověno.</w:t>
            </w:r>
          </w:p>
          <w:p w14:paraId="45E7439B" w14:textId="77777777" w:rsidR="00E743CB" w:rsidRPr="0035187E" w:rsidRDefault="002059B3"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 xml:space="preserve">Obdobných modelů existuje v řadě podnikatelských odvětví mnoho. Styk se zákazníkem v terénu není ničím výjimečným. V době tzv. chytrých telefonů </w:t>
            </w:r>
            <w:r w:rsidR="00DC05CC" w:rsidRPr="0035187E">
              <w:rPr>
                <w:rFonts w:ascii="Times New Roman" w:hAnsi="Times New Roman" w:cs="Times New Roman"/>
                <w:iCs/>
                <w:sz w:val="20"/>
                <w:szCs w:val="20"/>
              </w:rPr>
              <w:t xml:space="preserve">a široce dostupné možnosti připojení k veřejné datové síti </w:t>
            </w:r>
            <w:r w:rsidRPr="0035187E">
              <w:rPr>
                <w:rFonts w:ascii="Times New Roman" w:hAnsi="Times New Roman" w:cs="Times New Roman"/>
                <w:iCs/>
                <w:sz w:val="20"/>
                <w:szCs w:val="20"/>
              </w:rPr>
              <w:t xml:space="preserve">nepředstavuje pořízení infrastruktury pro evidování tržeb mimo </w:t>
            </w:r>
            <w:r w:rsidR="00DC05CC" w:rsidRPr="0035187E">
              <w:rPr>
                <w:rFonts w:ascii="Times New Roman" w:hAnsi="Times New Roman" w:cs="Times New Roman"/>
                <w:iCs/>
                <w:sz w:val="20"/>
                <w:szCs w:val="20"/>
              </w:rPr>
              <w:t>kamenné provozovny zásadní problém. Podnikatelé navíc mají možnost si vynaložené náklady daňově kompenzovat. Výjimka pro jeden segment by byla nesystémová a plošné vynětí terénního styku se zákazníkem by znamenalo značnou erozi sledovaného účelu a v konečném důsledku oslabení jeho legitimity a popření smyslu evidence tržeb.</w:t>
            </w:r>
          </w:p>
          <w:p w14:paraId="4F4EC96A" w14:textId="77777777" w:rsidR="00E743CB" w:rsidRPr="0035187E" w:rsidRDefault="00E743CB" w:rsidP="0035187E">
            <w:pPr>
              <w:jc w:val="both"/>
              <w:rPr>
                <w:rFonts w:ascii="Times New Roman" w:hAnsi="Times New Roman" w:cs="Times New Roman"/>
                <w:iCs/>
                <w:sz w:val="20"/>
                <w:szCs w:val="20"/>
              </w:rPr>
            </w:pPr>
          </w:p>
          <w:p w14:paraId="5F2C682D" w14:textId="2B5A0F9F" w:rsidR="00DC05CC" w:rsidRPr="0035187E" w:rsidRDefault="00E743CB" w:rsidP="0035187E">
            <w:pPr>
              <w:jc w:val="both"/>
              <w:rPr>
                <w:rFonts w:ascii="Times New Roman" w:hAnsi="Times New Roman" w:cs="Times New Roman"/>
                <w:sz w:val="20"/>
                <w:szCs w:val="20"/>
              </w:rPr>
            </w:pPr>
            <w:r w:rsidRPr="0035187E">
              <w:rPr>
                <w:rFonts w:ascii="Times New Roman" w:hAnsi="Times New Roman" w:cs="Times New Roman"/>
                <w:i/>
                <w:iCs/>
                <w:sz w:val="20"/>
                <w:szCs w:val="20"/>
              </w:rPr>
              <w:t xml:space="preserve">Vyjádření připomínkového místa: nadále trvá na znění </w:t>
            </w:r>
            <w:r w:rsidR="009C547C" w:rsidRPr="0035187E">
              <w:rPr>
                <w:rFonts w:ascii="Times New Roman" w:hAnsi="Times New Roman" w:cs="Times New Roman"/>
                <w:i/>
                <w:iCs/>
                <w:sz w:val="20"/>
                <w:szCs w:val="20"/>
              </w:rPr>
              <w:t>připomínky</w:t>
            </w:r>
            <w:r w:rsidRPr="0035187E">
              <w:rPr>
                <w:rFonts w:ascii="Times New Roman" w:hAnsi="Times New Roman" w:cs="Times New Roman"/>
                <w:i/>
                <w:iCs/>
                <w:sz w:val="20"/>
                <w:szCs w:val="20"/>
              </w:rPr>
              <w:t>, s návrhem vypořádání nesouhlasí.</w:t>
            </w:r>
            <w:r w:rsidR="00DC05CC" w:rsidRPr="0035187E">
              <w:rPr>
                <w:rFonts w:ascii="Times New Roman" w:hAnsi="Times New Roman" w:cs="Times New Roman"/>
                <w:iCs/>
                <w:sz w:val="20"/>
                <w:szCs w:val="20"/>
              </w:rPr>
              <w:t xml:space="preserve"> </w:t>
            </w:r>
          </w:p>
        </w:tc>
      </w:tr>
      <w:tr w:rsidR="0035187E" w:rsidRPr="0035187E" w14:paraId="2BE6928A"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4792255" w14:textId="0AEF2CD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68.</w:t>
            </w:r>
          </w:p>
        </w:tc>
        <w:tc>
          <w:tcPr>
            <w:tcW w:w="583" w:type="pct"/>
            <w:tcBorders>
              <w:top w:val="single" w:sz="4" w:space="0" w:color="auto"/>
              <w:left w:val="single" w:sz="4" w:space="0" w:color="auto"/>
              <w:right w:val="single" w:sz="4" w:space="0" w:color="auto"/>
            </w:tcBorders>
            <w:shd w:val="clear" w:color="auto" w:fill="auto"/>
          </w:tcPr>
          <w:p w14:paraId="6626FDE7" w14:textId="14990EB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Notářská komora ČR</w:t>
            </w:r>
          </w:p>
        </w:tc>
        <w:tc>
          <w:tcPr>
            <w:tcW w:w="168" w:type="pct"/>
            <w:tcBorders>
              <w:top w:val="single" w:sz="4" w:space="0" w:color="auto"/>
              <w:left w:val="single" w:sz="4" w:space="0" w:color="auto"/>
              <w:right w:val="single" w:sz="4" w:space="0" w:color="auto"/>
            </w:tcBorders>
            <w:shd w:val="clear" w:color="auto" w:fill="auto"/>
          </w:tcPr>
          <w:p w14:paraId="00E77DD5" w14:textId="086413B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w:t>
            </w:r>
          </w:p>
        </w:tc>
        <w:tc>
          <w:tcPr>
            <w:tcW w:w="169" w:type="pct"/>
            <w:tcBorders>
              <w:top w:val="single" w:sz="4" w:space="0" w:color="auto"/>
              <w:left w:val="single" w:sz="4" w:space="0" w:color="auto"/>
              <w:right w:val="single" w:sz="4" w:space="0" w:color="auto"/>
            </w:tcBorders>
            <w:shd w:val="clear" w:color="auto" w:fill="auto"/>
          </w:tcPr>
          <w:p w14:paraId="4BD311F8" w14:textId="0586355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1B16CA2" w14:textId="1927ECB1" w:rsidR="000B4BD4" w:rsidRPr="0035187E" w:rsidRDefault="000B4BD4" w:rsidP="0035187E">
            <w:pPr>
              <w:suppressAutoHyphens/>
              <w:spacing w:before="120"/>
              <w:contextualSpacing/>
              <w:jc w:val="both"/>
              <w:rPr>
                <w:rFonts w:ascii="Times New Roman" w:hAnsi="Times New Roman" w:cs="Times New Roman"/>
                <w:bCs/>
                <w:sz w:val="20"/>
                <w:szCs w:val="20"/>
              </w:rPr>
            </w:pPr>
            <w:r w:rsidRPr="0035187E">
              <w:rPr>
                <w:rFonts w:ascii="Times New Roman" w:hAnsi="Times New Roman" w:cs="Times New Roman"/>
                <w:b/>
                <w:sz w:val="20"/>
                <w:szCs w:val="20"/>
                <w:u w:val="single"/>
              </w:rPr>
              <w:t xml:space="preserve">Obecně – k vymezení „rozhodného příjmu“ </w:t>
            </w:r>
            <w:r w:rsidRPr="0035187E">
              <w:rPr>
                <w:rFonts w:ascii="Times New Roman" w:hAnsi="Times New Roman" w:cs="Times New Roman"/>
                <w:b/>
                <w:sz w:val="20"/>
                <w:szCs w:val="20"/>
                <w:u w:val="single"/>
              </w:rPr>
              <w:br/>
            </w:r>
            <w:r w:rsidRPr="0035187E">
              <w:rPr>
                <w:rFonts w:ascii="Times New Roman" w:hAnsi="Times New Roman" w:cs="Times New Roman"/>
                <w:bCs/>
                <w:sz w:val="20"/>
                <w:szCs w:val="20"/>
              </w:rPr>
              <w:t>Požadujeme do důvodové zprávy, případně do metodiky k aplikaci zákona, výslovně doplnit, že evidence tržeb se nevztahuje na platby, které nepředstavují vlastní příjem poplatníka (např. advokáta či notáře), zejména se nevztahuje na cizí prostředky nebo na platby přijímané jménem a na účet klienta.</w:t>
            </w:r>
          </w:p>
          <w:p w14:paraId="6C1AEA40" w14:textId="77777777" w:rsidR="000B4BD4" w:rsidRPr="0035187E" w:rsidRDefault="000B4BD4" w:rsidP="0035187E">
            <w:pPr>
              <w:suppressAutoHyphens/>
              <w:spacing w:before="120"/>
              <w:jc w:val="both"/>
              <w:rPr>
                <w:rFonts w:ascii="Times New Roman" w:hAnsi="Times New Roman" w:cs="Times New Roman"/>
                <w:sz w:val="20"/>
                <w:szCs w:val="20"/>
              </w:rPr>
            </w:pPr>
            <w:r w:rsidRPr="0035187E">
              <w:rPr>
                <w:rFonts w:ascii="Times New Roman" w:hAnsi="Times New Roman" w:cs="Times New Roman"/>
                <w:sz w:val="20"/>
                <w:szCs w:val="20"/>
              </w:rPr>
              <w:lastRenderedPageBreak/>
              <w:t>Veřejně dostupné materiály k návrhu vážou evidenční povinnost na rozhodný příjem z podnikatelské činnosti. U advokátů a notářů je z hlediska aplikační jistoty vhodné výslovně potvrdit, že do evidence tržeb nespadají platby, které nepředstavují vlastní příjem notáře, nýbrž cizí prostředky nebo průtokové platby (soudní a správní poplatky). Bez takového upřesnění může v praxi vznikat nejistota ohledně rozsahu evidenční povinnosti.</w:t>
            </w:r>
          </w:p>
          <w:p w14:paraId="7B653CC5" w14:textId="6F41DD93" w:rsidR="000B4BD4" w:rsidRPr="0035187E" w:rsidRDefault="000B4BD4" w:rsidP="0035187E">
            <w:pPr>
              <w:autoSpaceDE w:val="0"/>
              <w:autoSpaceDN w:val="0"/>
              <w:adjustRightInd w:val="0"/>
              <w:spacing w:before="120"/>
              <w:jc w:val="both"/>
              <w:rPr>
                <w:rFonts w:ascii="Times New Roman" w:eastAsia="Aptos" w:hAnsi="Times New Roman" w:cs="Times New Roman"/>
                <w:b/>
                <w:bCs/>
                <w:sz w:val="20"/>
                <w:szCs w:val="20"/>
              </w:rPr>
            </w:pPr>
            <w:r w:rsidRPr="0035187E">
              <w:rPr>
                <w:rFonts w:ascii="Times New Roman" w:hAnsi="Times New Roman" w:cs="Times New Roman"/>
                <w:b/>
                <w:bCs/>
                <w:sz w:val="20"/>
                <w:szCs w:val="20"/>
              </w:rPr>
              <w:t>Tato připomínka je zásadní.</w:t>
            </w:r>
          </w:p>
        </w:tc>
        <w:tc>
          <w:tcPr>
            <w:tcW w:w="1453" w:type="pct"/>
            <w:tcBorders>
              <w:top w:val="single" w:sz="4" w:space="0" w:color="auto"/>
              <w:left w:val="single" w:sz="4" w:space="0" w:color="auto"/>
              <w:right w:val="single" w:sz="4" w:space="0" w:color="auto"/>
            </w:tcBorders>
            <w:shd w:val="clear" w:color="auto" w:fill="auto"/>
          </w:tcPr>
          <w:p w14:paraId="38026502" w14:textId="77777777" w:rsidR="000B4BD4" w:rsidRPr="0035187E" w:rsidRDefault="00031E50" w:rsidP="0035187E">
            <w:pPr>
              <w:jc w:val="both"/>
              <w:rPr>
                <w:rFonts w:ascii="Times New Roman" w:hAnsi="Times New Roman" w:cs="Times New Roman"/>
                <w:b/>
                <w:iCs/>
                <w:sz w:val="20"/>
                <w:szCs w:val="20"/>
              </w:rPr>
            </w:pPr>
            <w:r w:rsidRPr="0035187E">
              <w:rPr>
                <w:rFonts w:ascii="Times New Roman" w:hAnsi="Times New Roman" w:cs="Times New Roman"/>
                <w:b/>
                <w:iCs/>
                <w:sz w:val="20"/>
                <w:szCs w:val="20"/>
              </w:rPr>
              <w:lastRenderedPageBreak/>
              <w:t>Vyhověno.</w:t>
            </w:r>
          </w:p>
          <w:p w14:paraId="75D94986" w14:textId="09FB6E30" w:rsidR="00E743CB" w:rsidRPr="0035187E" w:rsidRDefault="00031E50"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Materiál byl upraven.</w:t>
            </w:r>
          </w:p>
        </w:tc>
      </w:tr>
      <w:tr w:rsidR="0035187E" w:rsidRPr="0035187E" w14:paraId="72F3FC31"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BF8EC6A" w14:textId="4ED6B36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68.</w:t>
            </w:r>
          </w:p>
        </w:tc>
        <w:tc>
          <w:tcPr>
            <w:tcW w:w="583" w:type="pct"/>
            <w:tcBorders>
              <w:top w:val="single" w:sz="4" w:space="0" w:color="auto"/>
              <w:left w:val="single" w:sz="4" w:space="0" w:color="auto"/>
              <w:right w:val="single" w:sz="4" w:space="0" w:color="auto"/>
            </w:tcBorders>
            <w:shd w:val="clear" w:color="auto" w:fill="auto"/>
          </w:tcPr>
          <w:p w14:paraId="779290B2" w14:textId="1DACB13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Notářská komora ČR</w:t>
            </w:r>
          </w:p>
        </w:tc>
        <w:tc>
          <w:tcPr>
            <w:tcW w:w="168" w:type="pct"/>
            <w:tcBorders>
              <w:top w:val="single" w:sz="4" w:space="0" w:color="auto"/>
              <w:left w:val="single" w:sz="4" w:space="0" w:color="auto"/>
              <w:right w:val="single" w:sz="4" w:space="0" w:color="auto"/>
            </w:tcBorders>
            <w:shd w:val="clear" w:color="auto" w:fill="auto"/>
          </w:tcPr>
          <w:p w14:paraId="4CC5F5F9" w14:textId="32EF6EB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5.</w:t>
            </w:r>
          </w:p>
        </w:tc>
        <w:tc>
          <w:tcPr>
            <w:tcW w:w="169" w:type="pct"/>
            <w:tcBorders>
              <w:top w:val="single" w:sz="4" w:space="0" w:color="auto"/>
              <w:left w:val="single" w:sz="4" w:space="0" w:color="auto"/>
              <w:right w:val="single" w:sz="4" w:space="0" w:color="auto"/>
            </w:tcBorders>
            <w:shd w:val="clear" w:color="auto" w:fill="auto"/>
          </w:tcPr>
          <w:p w14:paraId="617A2E4B" w14:textId="03A3F6F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0CD68CB" w14:textId="77777777" w:rsidR="000B4BD4" w:rsidRPr="0035187E" w:rsidRDefault="000B4BD4" w:rsidP="0035187E">
            <w:pPr>
              <w:suppressAutoHyphens/>
              <w:autoSpaceDE w:val="0"/>
              <w:autoSpaceDN w:val="0"/>
              <w:adjustRightInd w:val="0"/>
              <w:rPr>
                <w:rFonts w:ascii="Times New Roman" w:hAnsi="Times New Roman" w:cs="Times New Roman"/>
                <w:b/>
                <w:bCs/>
                <w:sz w:val="20"/>
                <w:szCs w:val="20"/>
                <w:u w:val="single"/>
              </w:rPr>
            </w:pPr>
            <w:r w:rsidRPr="0035187E">
              <w:rPr>
                <w:rFonts w:ascii="Times New Roman" w:hAnsi="Times New Roman" w:cs="Times New Roman"/>
                <w:b/>
                <w:bCs/>
                <w:sz w:val="20"/>
                <w:szCs w:val="20"/>
                <w:u w:val="single"/>
              </w:rPr>
              <w:t>Obecně – k vymezení „kontaktní platby“</w:t>
            </w:r>
          </w:p>
          <w:p w14:paraId="38CE3B22" w14:textId="77777777" w:rsidR="000B4BD4" w:rsidRPr="0035187E" w:rsidRDefault="000B4BD4" w:rsidP="0035187E">
            <w:pPr>
              <w:suppressAutoHyphens/>
              <w:autoSpaceDE w:val="0"/>
              <w:autoSpaceDN w:val="0"/>
              <w:adjustRightInd w:val="0"/>
              <w:spacing w:before="120"/>
              <w:jc w:val="both"/>
              <w:rPr>
                <w:rFonts w:ascii="Times New Roman" w:hAnsi="Times New Roman" w:cs="Times New Roman"/>
                <w:sz w:val="20"/>
                <w:szCs w:val="20"/>
              </w:rPr>
            </w:pPr>
            <w:r w:rsidRPr="0035187E">
              <w:rPr>
                <w:rFonts w:ascii="Times New Roman" w:hAnsi="Times New Roman" w:cs="Times New Roman"/>
                <w:sz w:val="20"/>
                <w:szCs w:val="20"/>
              </w:rPr>
              <w:t>Vymezení kontaktní platby je pro návrh zákona a samotnou evidenci tržeb zásadní, přesto vnímá Notářská komora ČR určitou rozpornost či nejednoznačnost, která může způsobit nejistotu ohledně rozsahu evidenční povinnosti.</w:t>
            </w:r>
          </w:p>
          <w:p w14:paraId="7B70816D" w14:textId="77777777" w:rsidR="000B4BD4" w:rsidRPr="0035187E" w:rsidRDefault="000B4BD4" w:rsidP="0035187E">
            <w:pPr>
              <w:suppressAutoHyphens/>
              <w:autoSpaceDE w:val="0"/>
              <w:autoSpaceDN w:val="0"/>
              <w:adjustRightInd w:val="0"/>
              <w:spacing w:before="120"/>
              <w:jc w:val="both"/>
              <w:rPr>
                <w:rFonts w:ascii="Times New Roman" w:hAnsi="Times New Roman" w:cs="Times New Roman"/>
                <w:sz w:val="20"/>
                <w:szCs w:val="20"/>
              </w:rPr>
            </w:pPr>
            <w:r w:rsidRPr="0035187E">
              <w:rPr>
                <w:rFonts w:ascii="Times New Roman" w:hAnsi="Times New Roman" w:cs="Times New Roman"/>
                <w:sz w:val="20"/>
                <w:szCs w:val="20"/>
              </w:rPr>
              <w:t>Prakticky se jedná například o vystavení faktury, která obsahuje QR kód (což je fakticky jen strukturalizovaný předvyplněný bezhotovostní příkaz k úhradě).</w:t>
            </w:r>
          </w:p>
          <w:p w14:paraId="07DBA178" w14:textId="77777777" w:rsidR="000B4BD4" w:rsidRPr="0035187E" w:rsidRDefault="000B4BD4" w:rsidP="0035187E">
            <w:pPr>
              <w:suppressAutoHyphens/>
              <w:autoSpaceDE w:val="0"/>
              <w:autoSpaceDN w:val="0"/>
              <w:adjustRightInd w:val="0"/>
              <w:spacing w:before="120"/>
              <w:jc w:val="both"/>
              <w:rPr>
                <w:rFonts w:ascii="Times New Roman" w:hAnsi="Times New Roman" w:cs="Times New Roman"/>
                <w:sz w:val="20"/>
                <w:szCs w:val="20"/>
              </w:rPr>
            </w:pPr>
            <w:r w:rsidRPr="0035187E">
              <w:rPr>
                <w:rFonts w:ascii="Times New Roman" w:hAnsi="Times New Roman" w:cs="Times New Roman"/>
                <w:sz w:val="20"/>
                <w:szCs w:val="20"/>
              </w:rPr>
              <w:t>Chápeme tedy správně, že pokud je uhrazena faktura, vystavená poplatníkem klientovi, přímo při kontaktu klienta s poplatníkem např. v jeho provozovně (§ 7 odst. 1), pak se jedná o kontaktní platbu, tedy o evidovanou tržbu v režimu tohoto zákona?</w:t>
            </w:r>
          </w:p>
          <w:p w14:paraId="73CB1CB7" w14:textId="77777777" w:rsidR="000B4BD4" w:rsidRPr="0035187E" w:rsidRDefault="000B4BD4" w:rsidP="0035187E">
            <w:pPr>
              <w:suppressAutoHyphens/>
              <w:autoSpaceDE w:val="0"/>
              <w:autoSpaceDN w:val="0"/>
              <w:adjustRightInd w:val="0"/>
              <w:spacing w:before="120"/>
              <w:jc w:val="both"/>
              <w:rPr>
                <w:rFonts w:ascii="Times New Roman" w:hAnsi="Times New Roman" w:cs="Times New Roman"/>
                <w:sz w:val="20"/>
                <w:szCs w:val="20"/>
              </w:rPr>
            </w:pPr>
            <w:r w:rsidRPr="0035187E">
              <w:rPr>
                <w:rFonts w:ascii="Times New Roman" w:hAnsi="Times New Roman" w:cs="Times New Roman"/>
                <w:sz w:val="20"/>
                <w:szCs w:val="20"/>
              </w:rPr>
              <w:t>Pokud by však klientem byla uhrazena faktura později (což lze považovat za častější případ), lze z toho vyvodit, že se nejedná o kontaktní platbu, a to ani podle § 7 odst. 1, ale ani odst. 2 - důvodová zpráva výslovně uvádí, že o „jinou formou podle § 6, která má hmotnou povahu“ se nejedná v případě bezhotovostních plateb v širším slova smyslu, ale myslí se tím např. směnky, šeky, atp. Znamená to tedy, že taková platba není kontaktní platbou, tedy nesplňuje náležitosti evidované tržby podle § 6?</w:t>
            </w:r>
          </w:p>
          <w:p w14:paraId="3B849D6D" w14:textId="77777777" w:rsidR="000B4BD4" w:rsidRPr="0035187E" w:rsidRDefault="000B4BD4" w:rsidP="0035187E">
            <w:pPr>
              <w:suppressAutoHyphens/>
              <w:autoSpaceDE w:val="0"/>
              <w:autoSpaceDN w:val="0"/>
              <w:adjustRightInd w:val="0"/>
              <w:spacing w:before="120"/>
              <w:jc w:val="both"/>
              <w:rPr>
                <w:rFonts w:ascii="Times New Roman" w:hAnsi="Times New Roman" w:cs="Times New Roman"/>
                <w:sz w:val="20"/>
                <w:szCs w:val="20"/>
              </w:rPr>
            </w:pPr>
            <w:r w:rsidRPr="0035187E">
              <w:rPr>
                <w:rFonts w:ascii="Times New Roman" w:hAnsi="Times New Roman" w:cs="Times New Roman"/>
                <w:sz w:val="20"/>
                <w:szCs w:val="20"/>
              </w:rPr>
              <w:t xml:space="preserve">Ustanovení § 17 odst. 2 písm. b) sice uvádí, že uskutečněním evidované tržby je i vydání příkazu k jejímu provedení, což dopadá typicky na bezhotovostní platby, ale opět musí jít primárně o kontaktní platbu.  Nebo lze toto ustanovení vyložit tak, že poplatník má evidenční povinnost, pokud vystaví fakturu s QR kódem „kontaktně“ (tedy na místě), bez ohledu na to, že ještě nemá od klienta peníze ani k placení dojde jinak (např. u klienta doma), tedy způsobem, který § 7 nepředjímá? </w:t>
            </w:r>
          </w:p>
          <w:p w14:paraId="109D0825" w14:textId="77777777" w:rsidR="000B4BD4" w:rsidRPr="0035187E" w:rsidRDefault="000B4BD4" w:rsidP="0035187E">
            <w:pPr>
              <w:suppressAutoHyphens/>
              <w:autoSpaceDE w:val="0"/>
              <w:autoSpaceDN w:val="0"/>
              <w:adjustRightInd w:val="0"/>
              <w:spacing w:before="120"/>
              <w:jc w:val="both"/>
              <w:rPr>
                <w:rFonts w:ascii="Times New Roman" w:hAnsi="Times New Roman" w:cs="Times New Roman"/>
                <w:sz w:val="20"/>
                <w:szCs w:val="20"/>
              </w:rPr>
            </w:pPr>
            <w:r w:rsidRPr="0035187E">
              <w:rPr>
                <w:rFonts w:ascii="Times New Roman" w:hAnsi="Times New Roman" w:cs="Times New Roman"/>
                <w:sz w:val="20"/>
                <w:szCs w:val="20"/>
              </w:rPr>
              <w:t>Domníváme se, že vyřešení této otázky je zásadní pro to, aby poplatník nebyl v právní nejistotě, zda se jedná o tržbu, která se musí evidovat, či nikoli.</w:t>
            </w:r>
          </w:p>
          <w:p w14:paraId="274ECF1C" w14:textId="4C1B5CBF" w:rsidR="000B4BD4" w:rsidRPr="0035187E" w:rsidRDefault="000B4BD4" w:rsidP="0035187E">
            <w:pPr>
              <w:autoSpaceDE w:val="0"/>
              <w:autoSpaceDN w:val="0"/>
              <w:adjustRightInd w:val="0"/>
              <w:spacing w:before="120"/>
              <w:jc w:val="both"/>
              <w:rPr>
                <w:rFonts w:ascii="Times New Roman" w:eastAsia="Aptos" w:hAnsi="Times New Roman" w:cs="Times New Roman"/>
                <w:b/>
                <w:bCs/>
                <w:sz w:val="20"/>
                <w:szCs w:val="20"/>
              </w:rPr>
            </w:pPr>
            <w:r w:rsidRPr="0035187E">
              <w:rPr>
                <w:rFonts w:ascii="Times New Roman" w:hAnsi="Times New Roman" w:cs="Times New Roman"/>
                <w:b/>
                <w:bCs/>
                <w:sz w:val="20"/>
                <w:szCs w:val="20"/>
              </w:rPr>
              <w:t>Tato připomínka je zásadní.</w:t>
            </w:r>
          </w:p>
        </w:tc>
        <w:tc>
          <w:tcPr>
            <w:tcW w:w="1453" w:type="pct"/>
            <w:tcBorders>
              <w:top w:val="single" w:sz="4" w:space="0" w:color="auto"/>
              <w:left w:val="single" w:sz="4" w:space="0" w:color="auto"/>
              <w:right w:val="single" w:sz="4" w:space="0" w:color="auto"/>
            </w:tcBorders>
            <w:shd w:val="clear" w:color="auto" w:fill="auto"/>
          </w:tcPr>
          <w:p w14:paraId="0C019987" w14:textId="77777777" w:rsidR="000B4BD4" w:rsidRPr="0035187E" w:rsidRDefault="00031E50" w:rsidP="0035187E">
            <w:pPr>
              <w:jc w:val="both"/>
              <w:rPr>
                <w:rFonts w:ascii="Times New Roman" w:hAnsi="Times New Roman" w:cs="Times New Roman"/>
                <w:b/>
                <w:iCs/>
                <w:sz w:val="20"/>
                <w:szCs w:val="20"/>
              </w:rPr>
            </w:pPr>
            <w:r w:rsidRPr="0035187E">
              <w:rPr>
                <w:rFonts w:ascii="Times New Roman" w:hAnsi="Times New Roman" w:cs="Times New Roman"/>
                <w:b/>
                <w:iCs/>
                <w:sz w:val="20"/>
                <w:szCs w:val="20"/>
              </w:rPr>
              <w:t>Vyhověno jinak.</w:t>
            </w:r>
          </w:p>
          <w:p w14:paraId="7A21A4F2" w14:textId="18D2B984" w:rsidR="00031E50" w:rsidRPr="0035187E" w:rsidRDefault="00031E50" w:rsidP="0035187E">
            <w:pPr>
              <w:jc w:val="both"/>
              <w:rPr>
                <w:rFonts w:ascii="Times New Roman" w:hAnsi="Times New Roman" w:cs="Times New Roman"/>
                <w:sz w:val="20"/>
                <w:szCs w:val="20"/>
              </w:rPr>
            </w:pPr>
            <w:r w:rsidRPr="0035187E">
              <w:rPr>
                <w:rFonts w:ascii="Times New Roman" w:hAnsi="Times New Roman" w:cs="Times New Roman"/>
                <w:sz w:val="20"/>
                <w:szCs w:val="20"/>
              </w:rPr>
              <w:t>Do důvodové zprávy byl za účelem většího osvětlení těchto specifických hraničních situací doplněn následující text:</w:t>
            </w:r>
          </w:p>
          <w:p w14:paraId="77C1D2DE" w14:textId="75BD8C00" w:rsidR="00031E50" w:rsidRPr="0035187E" w:rsidRDefault="00031E50" w:rsidP="0035187E">
            <w:pPr>
              <w:jc w:val="both"/>
              <w:rPr>
                <w:rFonts w:ascii="Times New Roman" w:hAnsi="Times New Roman" w:cs="Times New Roman"/>
                <w:iCs/>
                <w:sz w:val="20"/>
                <w:szCs w:val="20"/>
              </w:rPr>
            </w:pPr>
            <w:r w:rsidRPr="0035187E">
              <w:rPr>
                <w:rFonts w:ascii="Times New Roman" w:hAnsi="Times New Roman" w:cs="Times New Roman"/>
                <w:i/>
                <w:sz w:val="20"/>
                <w:szCs w:val="20"/>
              </w:rPr>
              <w:t>„Návrh necílí na situace, kdy je ze strany prodávajícího vystavena faktura, kterou má zákazník uhradit později, tj. platba v interakci s prodávajícím se nepředpokládá. Zákazníkovi je dán dostatečný časový interval na provedení bezhotovostní platby. Skutečnost, že k této platbě dojde ze strany zákazníka (a bez vědomí prodávajícího) ještě v prostorách provozovny (jakkoli by tato platba mohla být učiněna kdekoli jinde) by již nemělo být přičítáno k tíži prodávajícímu z pohledu povinnosti zaevidovat tuto tržbu. Platba v provozovně v takovém případě nepředstavuje cílený koncept pro realizaci dané transakce, ale náhodnou skutečnost jednostranně zvolenou zákazníkem.“</w:t>
            </w:r>
            <w:r w:rsidR="00351827" w:rsidRPr="0035187E">
              <w:rPr>
                <w:rFonts w:ascii="Times New Roman" w:hAnsi="Times New Roman" w:cs="Times New Roman"/>
                <w:iCs/>
                <w:sz w:val="20"/>
                <w:szCs w:val="20"/>
              </w:rPr>
              <w:t>.</w:t>
            </w:r>
          </w:p>
          <w:p w14:paraId="2B10BDA5" w14:textId="77777777" w:rsidR="009C547C" w:rsidRPr="0035187E" w:rsidRDefault="009C547C" w:rsidP="0035187E">
            <w:pPr>
              <w:jc w:val="both"/>
              <w:rPr>
                <w:rFonts w:ascii="Times New Roman" w:hAnsi="Times New Roman" w:cs="Times New Roman"/>
                <w:iCs/>
                <w:sz w:val="20"/>
                <w:szCs w:val="20"/>
              </w:rPr>
            </w:pPr>
          </w:p>
          <w:p w14:paraId="263D8C22" w14:textId="58BE090C" w:rsidR="009C547C" w:rsidRPr="0035187E" w:rsidRDefault="009C547C" w:rsidP="0035187E">
            <w:pPr>
              <w:jc w:val="both"/>
              <w:rPr>
                <w:rFonts w:ascii="Times New Roman" w:hAnsi="Times New Roman" w:cs="Times New Roman"/>
                <w:i/>
                <w:sz w:val="20"/>
                <w:szCs w:val="20"/>
              </w:rPr>
            </w:pPr>
            <w:r w:rsidRPr="0035187E">
              <w:rPr>
                <w:rFonts w:ascii="Times New Roman" w:hAnsi="Times New Roman" w:cs="Times New Roman"/>
                <w:i/>
                <w:sz w:val="20"/>
                <w:szCs w:val="20"/>
              </w:rPr>
              <w:t>Vyjádření připomínkového místa: nadále trvá na znění připomínky, s návrhem vypořádání nesouhlasí. Byť došlo k doplnění důvodové zprávy, ale i toto doplnění působí další výkladové a praktické potíže.</w:t>
            </w:r>
          </w:p>
          <w:p w14:paraId="156C332D" w14:textId="5D727BBB" w:rsidR="00031E50" w:rsidRPr="0035187E" w:rsidRDefault="00031E50" w:rsidP="0035187E">
            <w:pPr>
              <w:jc w:val="both"/>
              <w:rPr>
                <w:rFonts w:ascii="Times New Roman" w:hAnsi="Times New Roman" w:cs="Times New Roman"/>
                <w:sz w:val="20"/>
                <w:szCs w:val="20"/>
              </w:rPr>
            </w:pPr>
          </w:p>
        </w:tc>
      </w:tr>
      <w:tr w:rsidR="0035187E" w:rsidRPr="0035187E" w14:paraId="40645C29"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51EE282" w14:textId="0516383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68.</w:t>
            </w:r>
          </w:p>
        </w:tc>
        <w:tc>
          <w:tcPr>
            <w:tcW w:w="583" w:type="pct"/>
            <w:tcBorders>
              <w:top w:val="single" w:sz="4" w:space="0" w:color="auto"/>
              <w:left w:val="single" w:sz="4" w:space="0" w:color="auto"/>
              <w:right w:val="single" w:sz="4" w:space="0" w:color="auto"/>
            </w:tcBorders>
            <w:shd w:val="clear" w:color="auto" w:fill="auto"/>
          </w:tcPr>
          <w:p w14:paraId="5CE44EB2" w14:textId="407724D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Notářská komora ČR</w:t>
            </w:r>
          </w:p>
        </w:tc>
        <w:tc>
          <w:tcPr>
            <w:tcW w:w="168" w:type="pct"/>
            <w:tcBorders>
              <w:top w:val="single" w:sz="4" w:space="0" w:color="auto"/>
              <w:left w:val="single" w:sz="4" w:space="0" w:color="auto"/>
              <w:right w:val="single" w:sz="4" w:space="0" w:color="auto"/>
            </w:tcBorders>
            <w:shd w:val="clear" w:color="auto" w:fill="auto"/>
          </w:tcPr>
          <w:p w14:paraId="3DABE8B8" w14:textId="2EB63C7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6.</w:t>
            </w:r>
          </w:p>
        </w:tc>
        <w:tc>
          <w:tcPr>
            <w:tcW w:w="169" w:type="pct"/>
            <w:tcBorders>
              <w:top w:val="single" w:sz="4" w:space="0" w:color="auto"/>
              <w:left w:val="single" w:sz="4" w:space="0" w:color="auto"/>
              <w:right w:val="single" w:sz="4" w:space="0" w:color="auto"/>
            </w:tcBorders>
            <w:shd w:val="clear" w:color="auto" w:fill="auto"/>
          </w:tcPr>
          <w:p w14:paraId="070B9D75" w14:textId="203B8CB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81008FA" w14:textId="77777777" w:rsidR="000B4BD4" w:rsidRPr="0035187E" w:rsidRDefault="000B4BD4" w:rsidP="0035187E">
            <w:pPr>
              <w:contextualSpacing/>
              <w:jc w:val="both"/>
              <w:rPr>
                <w:rFonts w:ascii="Times New Roman" w:hAnsi="Times New Roman" w:cs="Times New Roman"/>
                <w:b/>
                <w:bCs/>
                <w:sz w:val="20"/>
                <w:szCs w:val="20"/>
                <w:u w:val="single"/>
              </w:rPr>
            </w:pPr>
            <w:r w:rsidRPr="0035187E">
              <w:rPr>
                <w:rFonts w:ascii="Times New Roman" w:hAnsi="Times New Roman" w:cs="Times New Roman"/>
                <w:b/>
                <w:bCs/>
                <w:sz w:val="20"/>
                <w:szCs w:val="20"/>
                <w:u w:val="single"/>
              </w:rPr>
              <w:t xml:space="preserve">K § 12 </w:t>
            </w:r>
          </w:p>
          <w:p w14:paraId="787AA9AA" w14:textId="77777777" w:rsidR="000B4BD4" w:rsidRPr="0035187E" w:rsidRDefault="000B4BD4" w:rsidP="0035187E">
            <w:pPr>
              <w:contextualSpacing/>
              <w:jc w:val="both"/>
              <w:rPr>
                <w:rFonts w:ascii="Times New Roman" w:hAnsi="Times New Roman" w:cs="Times New Roman"/>
                <w:b/>
                <w:bCs/>
                <w:sz w:val="20"/>
                <w:szCs w:val="20"/>
              </w:rPr>
            </w:pPr>
            <w:r w:rsidRPr="0035187E">
              <w:rPr>
                <w:rFonts w:ascii="Times New Roman" w:hAnsi="Times New Roman" w:cs="Times New Roman"/>
                <w:b/>
                <w:bCs/>
                <w:sz w:val="20"/>
                <w:szCs w:val="20"/>
              </w:rPr>
              <w:t>Navrhujeme návrh upravit tak, že v § 12 odst. 1 se písm. e) vypouští.</w:t>
            </w:r>
          </w:p>
          <w:p w14:paraId="14CBDA2B" w14:textId="668CE735" w:rsidR="000B4BD4" w:rsidRPr="0035187E" w:rsidRDefault="000B4BD4" w:rsidP="0035187E">
            <w:pPr>
              <w:spacing w:before="120"/>
              <w:jc w:val="both"/>
              <w:rPr>
                <w:rFonts w:ascii="Times New Roman" w:hAnsi="Times New Roman" w:cs="Times New Roman"/>
                <w:sz w:val="20"/>
                <w:szCs w:val="20"/>
              </w:rPr>
            </w:pPr>
            <w:r w:rsidRPr="0035187E">
              <w:rPr>
                <w:rFonts w:ascii="Times New Roman" w:hAnsi="Times New Roman" w:cs="Times New Roman"/>
                <w:sz w:val="20"/>
                <w:szCs w:val="20"/>
              </w:rPr>
              <w:t xml:space="preserve">Notářská komora ČR nijak nesporuje úmysl zákonodárce vyjmout z působnosti zákona tržby </w:t>
            </w:r>
            <w:r w:rsidRPr="0035187E">
              <w:rPr>
                <w:rFonts w:ascii="Times New Roman" w:hAnsi="Times New Roman" w:cs="Times New Roman"/>
                <w:sz w:val="20"/>
                <w:szCs w:val="20"/>
                <w:u w:val="single"/>
              </w:rPr>
              <w:t>poskytovatele poštovních služeb</w:t>
            </w:r>
            <w:r w:rsidRPr="0035187E">
              <w:rPr>
                <w:rFonts w:ascii="Times New Roman" w:hAnsi="Times New Roman" w:cs="Times New Roman"/>
                <w:sz w:val="20"/>
                <w:szCs w:val="20"/>
              </w:rPr>
              <w:t xml:space="preserve">. Toto je však podle našeho názoru </w:t>
            </w:r>
            <w:r w:rsidRPr="0035187E">
              <w:rPr>
                <w:rFonts w:ascii="Times New Roman" w:hAnsi="Times New Roman" w:cs="Times New Roman"/>
                <w:sz w:val="20"/>
                <w:szCs w:val="20"/>
                <w:u w:val="single"/>
              </w:rPr>
              <w:t>zcela dostatečně</w:t>
            </w:r>
            <w:r w:rsidRPr="0035187E">
              <w:rPr>
                <w:rFonts w:ascii="Times New Roman" w:hAnsi="Times New Roman" w:cs="Times New Roman"/>
                <w:sz w:val="20"/>
                <w:szCs w:val="20"/>
              </w:rPr>
              <w:t xml:space="preserve"> pokryto úpravou § 13 odst. 1 písm. g), tedy vynětím z evidence tržeb podle druhu činnosti. </w:t>
            </w:r>
          </w:p>
          <w:p w14:paraId="4374A0E4" w14:textId="77777777" w:rsidR="000B4BD4" w:rsidRPr="0035187E" w:rsidRDefault="000B4BD4" w:rsidP="0035187E">
            <w:pPr>
              <w:spacing w:before="120"/>
              <w:jc w:val="both"/>
              <w:rPr>
                <w:rFonts w:ascii="Times New Roman" w:hAnsi="Times New Roman" w:cs="Times New Roman"/>
                <w:sz w:val="20"/>
                <w:szCs w:val="20"/>
              </w:rPr>
            </w:pPr>
            <w:r w:rsidRPr="0035187E">
              <w:rPr>
                <w:rFonts w:ascii="Times New Roman" w:hAnsi="Times New Roman" w:cs="Times New Roman"/>
                <w:sz w:val="20"/>
                <w:szCs w:val="20"/>
              </w:rPr>
              <w:t xml:space="preserve">Podle důvodové zprávy je zájmem obecného vynětí držitele poštovní licence podle § 12 odst. 1 písm. e) to, že jediným držitelem této licence je v současné době společnost Česká </w:t>
            </w:r>
            <w:r w:rsidRPr="0035187E">
              <w:rPr>
                <w:rFonts w:ascii="Times New Roman" w:hAnsi="Times New Roman" w:cs="Times New Roman"/>
                <w:sz w:val="20"/>
                <w:szCs w:val="20"/>
              </w:rPr>
              <w:lastRenderedPageBreak/>
              <w:t>pošta, s. p. disponující právní formou státního podniku, jejímž zakladatelem je Ministerstvo vnitra.</w:t>
            </w:r>
          </w:p>
          <w:p w14:paraId="665687DC" w14:textId="77777777" w:rsidR="000B4BD4" w:rsidRPr="0035187E" w:rsidRDefault="000B4BD4" w:rsidP="0035187E">
            <w:pPr>
              <w:spacing w:before="120"/>
              <w:jc w:val="both"/>
              <w:rPr>
                <w:rFonts w:ascii="Times New Roman" w:hAnsi="Times New Roman" w:cs="Times New Roman"/>
                <w:sz w:val="20"/>
                <w:szCs w:val="20"/>
              </w:rPr>
            </w:pPr>
            <w:r w:rsidRPr="0035187E">
              <w:rPr>
                <w:rFonts w:ascii="Times New Roman" w:hAnsi="Times New Roman" w:cs="Times New Roman"/>
                <w:sz w:val="20"/>
                <w:szCs w:val="20"/>
              </w:rPr>
              <w:t xml:space="preserve">Česká pošta, </w:t>
            </w:r>
            <w:proofErr w:type="spellStart"/>
            <w:r w:rsidRPr="0035187E">
              <w:rPr>
                <w:rFonts w:ascii="Times New Roman" w:hAnsi="Times New Roman" w:cs="Times New Roman"/>
                <w:sz w:val="20"/>
                <w:szCs w:val="20"/>
              </w:rPr>
              <w:t>s.p</w:t>
            </w:r>
            <w:proofErr w:type="spellEnd"/>
            <w:r w:rsidRPr="0035187E">
              <w:rPr>
                <w:rFonts w:ascii="Times New Roman" w:hAnsi="Times New Roman" w:cs="Times New Roman"/>
                <w:sz w:val="20"/>
                <w:szCs w:val="20"/>
              </w:rPr>
              <w:t xml:space="preserve">. však </w:t>
            </w:r>
            <w:r w:rsidRPr="0035187E">
              <w:rPr>
                <w:rFonts w:ascii="Times New Roman" w:hAnsi="Times New Roman" w:cs="Times New Roman"/>
                <w:sz w:val="20"/>
                <w:szCs w:val="20"/>
                <w:u w:val="single"/>
              </w:rPr>
              <w:t>poskytuje také služby, které nejsou poštovními službami</w:t>
            </w:r>
            <w:r w:rsidRPr="0035187E">
              <w:rPr>
                <w:rFonts w:ascii="Times New Roman" w:hAnsi="Times New Roman" w:cs="Times New Roman"/>
                <w:sz w:val="20"/>
                <w:szCs w:val="20"/>
              </w:rPr>
              <w:t xml:space="preserve"> (tedy službami v režimu zákona č. 29/2000 Sb., o poštovních službách). Např. § 8a odst. 2 písm. f) zákona č. 365/2000 Sb., o informačních systémech veřejné správy a o změně některých dalších zákonů, určuje, že kontaktním místem veřejné správy (</w:t>
            </w:r>
            <w:proofErr w:type="spellStart"/>
            <w:r w:rsidRPr="0035187E">
              <w:rPr>
                <w:rFonts w:ascii="Times New Roman" w:hAnsi="Times New Roman" w:cs="Times New Roman"/>
                <w:sz w:val="20"/>
                <w:szCs w:val="20"/>
              </w:rPr>
              <w:t>CzechPOINT</w:t>
            </w:r>
            <w:proofErr w:type="spellEnd"/>
            <w:r w:rsidRPr="0035187E">
              <w:rPr>
                <w:rFonts w:ascii="Times New Roman" w:hAnsi="Times New Roman" w:cs="Times New Roman"/>
                <w:sz w:val="20"/>
                <w:szCs w:val="20"/>
              </w:rPr>
              <w:t xml:space="preserve">) je mj. „držitel poštovní licence“.  </w:t>
            </w:r>
          </w:p>
          <w:p w14:paraId="40864770" w14:textId="77777777" w:rsidR="000B4BD4" w:rsidRPr="0035187E" w:rsidRDefault="000B4BD4" w:rsidP="0035187E">
            <w:pPr>
              <w:spacing w:before="120"/>
              <w:jc w:val="both"/>
              <w:rPr>
                <w:rFonts w:ascii="Times New Roman" w:hAnsi="Times New Roman" w:cs="Times New Roman"/>
                <w:sz w:val="20"/>
                <w:szCs w:val="20"/>
              </w:rPr>
            </w:pPr>
            <w:r w:rsidRPr="0035187E">
              <w:rPr>
                <w:rFonts w:ascii="Times New Roman" w:hAnsi="Times New Roman" w:cs="Times New Roman"/>
                <w:sz w:val="20"/>
                <w:szCs w:val="20"/>
              </w:rPr>
              <w:t xml:space="preserve">Služby kontaktního místa veřejné správy však nelze označit jako poštovní služby a tržby z nich by tak neměly být vyňaty z účinnosti zákona. Při zachování stávajícího znění § 12 odst. 1 písm. e), tedy vynětí z evidence tržeb podle poplatníka, by však k tomu vyjmutí podle nás mohlo dojít. </w:t>
            </w:r>
          </w:p>
          <w:p w14:paraId="1F22ED38" w14:textId="77777777" w:rsidR="000B4BD4" w:rsidRPr="0035187E" w:rsidRDefault="000B4BD4" w:rsidP="0035187E">
            <w:pPr>
              <w:spacing w:before="120"/>
              <w:jc w:val="both"/>
              <w:rPr>
                <w:rFonts w:ascii="Times New Roman" w:hAnsi="Times New Roman" w:cs="Times New Roman"/>
                <w:sz w:val="20"/>
                <w:szCs w:val="20"/>
              </w:rPr>
            </w:pPr>
            <w:r w:rsidRPr="0035187E">
              <w:rPr>
                <w:rFonts w:ascii="Times New Roman" w:hAnsi="Times New Roman" w:cs="Times New Roman"/>
                <w:sz w:val="20"/>
                <w:szCs w:val="20"/>
              </w:rPr>
              <w:t xml:space="preserve">Návrh tak v zákoně zavádí nerovné postavení mezi jednotlivými subjekty vykonávajícími srovnatelné či veřejnoprávně regulované činnosti, včetně kontaktních míst veřejné správy. To vnímá Notářská komora ČR jako diskriminační prvek. Má-li být určitá činnost vyloučena z evidence tržeb, má být důvodem její povaha, nikoli osoba toho, kdo ji právě vykonává. </w:t>
            </w:r>
          </w:p>
          <w:p w14:paraId="22E6AB7A" w14:textId="77777777" w:rsidR="000B4BD4" w:rsidRPr="0035187E" w:rsidRDefault="000B4BD4" w:rsidP="0035187E">
            <w:pPr>
              <w:spacing w:before="120"/>
              <w:jc w:val="both"/>
              <w:rPr>
                <w:rFonts w:ascii="Times New Roman" w:hAnsi="Times New Roman" w:cs="Times New Roman"/>
                <w:sz w:val="20"/>
                <w:szCs w:val="20"/>
              </w:rPr>
            </w:pPr>
            <w:r w:rsidRPr="0035187E">
              <w:rPr>
                <w:rFonts w:ascii="Times New Roman" w:hAnsi="Times New Roman" w:cs="Times New Roman"/>
                <w:sz w:val="20"/>
                <w:szCs w:val="20"/>
              </w:rPr>
              <w:t xml:space="preserve">Právní forma podnikajícího subjektu (nelze navíc pominout, že se stále mluví i o transformaci České pošty, </w:t>
            </w:r>
            <w:proofErr w:type="spellStart"/>
            <w:r w:rsidRPr="0035187E">
              <w:rPr>
                <w:rFonts w:ascii="Times New Roman" w:hAnsi="Times New Roman" w:cs="Times New Roman"/>
                <w:sz w:val="20"/>
                <w:szCs w:val="20"/>
              </w:rPr>
              <w:t>s.p</w:t>
            </w:r>
            <w:proofErr w:type="spellEnd"/>
            <w:r w:rsidRPr="0035187E">
              <w:rPr>
                <w:rFonts w:ascii="Times New Roman" w:hAnsi="Times New Roman" w:cs="Times New Roman"/>
                <w:sz w:val="20"/>
                <w:szCs w:val="20"/>
              </w:rPr>
              <w:t xml:space="preserve">. na jinou právní formu) nemůže být jediným důvodem k vynětí z povinnosti evidovat tržby, tím spíše, že nejsou z této povinnosti vyňaty služby, jejichž ceny jsou regulovány a stanoveny státem, nejsou z ní vyňaty subjekty, které stát v určitých případech považuje za orgán veřejné moci a které jsou v naprosto dominantní části své činnosti kontrolovány státem a které stát, do jejich funkce jmenuje (notáři). </w:t>
            </w:r>
          </w:p>
          <w:p w14:paraId="5C8A5669" w14:textId="77777777" w:rsidR="000B4BD4" w:rsidRPr="0035187E" w:rsidRDefault="000B4BD4" w:rsidP="0035187E">
            <w:pPr>
              <w:spacing w:before="120"/>
              <w:jc w:val="both"/>
              <w:rPr>
                <w:rFonts w:ascii="Times New Roman" w:hAnsi="Times New Roman" w:cs="Times New Roman"/>
                <w:sz w:val="20"/>
                <w:szCs w:val="20"/>
              </w:rPr>
            </w:pPr>
            <w:r w:rsidRPr="0035187E">
              <w:rPr>
                <w:rFonts w:ascii="Times New Roman" w:hAnsi="Times New Roman" w:cs="Times New Roman"/>
                <w:sz w:val="20"/>
                <w:szCs w:val="20"/>
              </w:rPr>
              <w:t xml:space="preserve">Pokud nebude naší připomínce vyhověno, požadujeme tuto diskriminaci vysvětlit, a to i ve vztahu k jiným subjektům vyloučeným z povinnosti evidovat tržby. </w:t>
            </w:r>
          </w:p>
          <w:p w14:paraId="28D3A4F1" w14:textId="77777777" w:rsidR="000B4BD4" w:rsidRPr="0035187E" w:rsidRDefault="000B4BD4" w:rsidP="0035187E">
            <w:pPr>
              <w:spacing w:before="120"/>
              <w:jc w:val="both"/>
              <w:rPr>
                <w:rFonts w:ascii="Times New Roman" w:hAnsi="Times New Roman" w:cs="Times New Roman"/>
                <w:sz w:val="20"/>
                <w:szCs w:val="20"/>
              </w:rPr>
            </w:pPr>
            <w:r w:rsidRPr="0035187E">
              <w:rPr>
                <w:rFonts w:ascii="Times New Roman" w:hAnsi="Times New Roman" w:cs="Times New Roman"/>
                <w:sz w:val="20"/>
                <w:szCs w:val="20"/>
              </w:rPr>
              <w:t xml:space="preserve">Důvodová zpráva přiznává, že pro část poplatníků v paušálním režimu by byla evidence tržeb nepřiměřenou zátěží, a proto zavádí jako řešení přirážku </w:t>
            </w:r>
            <w:r w:rsidRPr="0035187E">
              <w:rPr>
                <w:rFonts w:ascii="Times New Roman" w:eastAsia="Calibri" w:hAnsi="Times New Roman" w:cs="Times New Roman"/>
                <w:sz w:val="20"/>
                <w:szCs w:val="20"/>
              </w:rPr>
              <w:t>zprošťující povinnosti evidovat tržby</w:t>
            </w:r>
            <w:r w:rsidRPr="0035187E">
              <w:rPr>
                <w:rFonts w:ascii="Times New Roman" w:hAnsi="Times New Roman" w:cs="Times New Roman"/>
                <w:sz w:val="20"/>
                <w:szCs w:val="20"/>
              </w:rPr>
              <w:t xml:space="preserve"> Požadujeme také vysvětlit, proč obdobná úleva není zvažována alespoň pro úzce vymezené regulované činnosti s nízkou státem stanovenou odměnou.</w:t>
            </w:r>
          </w:p>
          <w:p w14:paraId="63A45756" w14:textId="15A3847D" w:rsidR="000B4BD4" w:rsidRPr="0035187E" w:rsidRDefault="000B4BD4" w:rsidP="0035187E">
            <w:pPr>
              <w:autoSpaceDE w:val="0"/>
              <w:autoSpaceDN w:val="0"/>
              <w:adjustRightInd w:val="0"/>
              <w:spacing w:before="120"/>
              <w:jc w:val="both"/>
              <w:rPr>
                <w:rFonts w:ascii="Times New Roman" w:eastAsia="Aptos" w:hAnsi="Times New Roman" w:cs="Times New Roman"/>
                <w:b/>
                <w:bCs/>
                <w:sz w:val="20"/>
                <w:szCs w:val="20"/>
              </w:rPr>
            </w:pPr>
            <w:r w:rsidRPr="0035187E">
              <w:rPr>
                <w:rFonts w:ascii="Times New Roman" w:hAnsi="Times New Roman" w:cs="Times New Roman"/>
                <w:b/>
                <w:bCs/>
                <w:sz w:val="20"/>
                <w:szCs w:val="20"/>
              </w:rPr>
              <w:t>Tato připomínka je zásadní.</w:t>
            </w:r>
          </w:p>
        </w:tc>
        <w:tc>
          <w:tcPr>
            <w:tcW w:w="1453" w:type="pct"/>
            <w:tcBorders>
              <w:top w:val="single" w:sz="4" w:space="0" w:color="auto"/>
              <w:left w:val="single" w:sz="4" w:space="0" w:color="auto"/>
              <w:right w:val="single" w:sz="4" w:space="0" w:color="auto"/>
            </w:tcBorders>
            <w:shd w:val="clear" w:color="auto" w:fill="auto"/>
          </w:tcPr>
          <w:p w14:paraId="2359F4C9" w14:textId="1D351EB4" w:rsidR="000B4BD4" w:rsidRPr="0035187E" w:rsidRDefault="00EB2D80" w:rsidP="0035187E">
            <w:pPr>
              <w:jc w:val="both"/>
              <w:rPr>
                <w:rFonts w:ascii="Times New Roman" w:hAnsi="Times New Roman" w:cs="Times New Roman"/>
                <w:b/>
                <w:iCs/>
                <w:sz w:val="20"/>
                <w:szCs w:val="20"/>
              </w:rPr>
            </w:pPr>
            <w:r w:rsidRPr="0035187E">
              <w:rPr>
                <w:rFonts w:ascii="Times New Roman" w:hAnsi="Times New Roman" w:cs="Times New Roman"/>
                <w:b/>
                <w:iCs/>
                <w:sz w:val="20"/>
                <w:szCs w:val="20"/>
              </w:rPr>
              <w:lastRenderedPageBreak/>
              <w:t>Nevyhověno.</w:t>
            </w:r>
          </w:p>
          <w:p w14:paraId="19E79B90" w14:textId="11EB1400" w:rsidR="00EB2D80" w:rsidRPr="0035187E" w:rsidRDefault="00EB2D80"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Jde o řešení, které je převzato z původního zákona o evidenci tržeb a existuje politický konsensus na jeho zachování.</w:t>
            </w:r>
          </w:p>
          <w:p w14:paraId="3BC8495A" w14:textId="77777777" w:rsidR="006A0624" w:rsidRPr="0035187E" w:rsidRDefault="006A0624" w:rsidP="0035187E">
            <w:pPr>
              <w:jc w:val="both"/>
              <w:rPr>
                <w:rFonts w:ascii="Times New Roman" w:hAnsi="Times New Roman" w:cs="Times New Roman"/>
                <w:sz w:val="20"/>
                <w:szCs w:val="20"/>
              </w:rPr>
            </w:pPr>
          </w:p>
          <w:p w14:paraId="32B7632C" w14:textId="2F905D40" w:rsidR="00E743CB" w:rsidRPr="0035187E" w:rsidRDefault="00E743CB" w:rsidP="0035187E">
            <w:pPr>
              <w:jc w:val="both"/>
              <w:rPr>
                <w:rFonts w:ascii="Times New Roman" w:hAnsi="Times New Roman" w:cs="Times New Roman"/>
                <w:sz w:val="20"/>
                <w:szCs w:val="20"/>
              </w:rPr>
            </w:pPr>
            <w:r w:rsidRPr="0035187E">
              <w:rPr>
                <w:rFonts w:ascii="Times New Roman" w:hAnsi="Times New Roman" w:cs="Times New Roman"/>
                <w:i/>
                <w:iCs/>
                <w:sz w:val="20"/>
                <w:szCs w:val="20"/>
              </w:rPr>
              <w:t>Vyjádření připomínkového místa: nadále trvá na znění připomínk</w:t>
            </w:r>
            <w:r w:rsidR="009C547C" w:rsidRPr="0035187E">
              <w:rPr>
                <w:rFonts w:ascii="Times New Roman" w:hAnsi="Times New Roman" w:cs="Times New Roman"/>
                <w:i/>
                <w:iCs/>
                <w:sz w:val="20"/>
                <w:szCs w:val="20"/>
              </w:rPr>
              <w:t>y</w:t>
            </w:r>
            <w:r w:rsidRPr="0035187E">
              <w:rPr>
                <w:rFonts w:ascii="Times New Roman" w:hAnsi="Times New Roman" w:cs="Times New Roman"/>
                <w:i/>
                <w:iCs/>
                <w:sz w:val="20"/>
                <w:szCs w:val="20"/>
              </w:rPr>
              <w:t>, s návrhem vypořádání nesouhlasí.</w:t>
            </w:r>
          </w:p>
        </w:tc>
      </w:tr>
      <w:tr w:rsidR="0035187E" w:rsidRPr="0035187E" w14:paraId="45ACBBB6"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5306E2E" w14:textId="35CC3E6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68.</w:t>
            </w:r>
          </w:p>
        </w:tc>
        <w:tc>
          <w:tcPr>
            <w:tcW w:w="583" w:type="pct"/>
            <w:tcBorders>
              <w:top w:val="single" w:sz="4" w:space="0" w:color="auto"/>
              <w:left w:val="single" w:sz="4" w:space="0" w:color="auto"/>
              <w:right w:val="single" w:sz="4" w:space="0" w:color="auto"/>
            </w:tcBorders>
            <w:shd w:val="clear" w:color="auto" w:fill="auto"/>
          </w:tcPr>
          <w:p w14:paraId="0DFFBA06" w14:textId="7783563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Notářská komora ČR</w:t>
            </w:r>
          </w:p>
        </w:tc>
        <w:tc>
          <w:tcPr>
            <w:tcW w:w="168" w:type="pct"/>
            <w:tcBorders>
              <w:top w:val="single" w:sz="4" w:space="0" w:color="auto"/>
              <w:left w:val="single" w:sz="4" w:space="0" w:color="auto"/>
              <w:right w:val="single" w:sz="4" w:space="0" w:color="auto"/>
            </w:tcBorders>
            <w:shd w:val="clear" w:color="auto" w:fill="auto"/>
          </w:tcPr>
          <w:p w14:paraId="26902D75" w14:textId="1EA9226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7.</w:t>
            </w:r>
          </w:p>
        </w:tc>
        <w:tc>
          <w:tcPr>
            <w:tcW w:w="169" w:type="pct"/>
            <w:tcBorders>
              <w:top w:val="single" w:sz="4" w:space="0" w:color="auto"/>
              <w:left w:val="single" w:sz="4" w:space="0" w:color="auto"/>
              <w:right w:val="single" w:sz="4" w:space="0" w:color="auto"/>
            </w:tcBorders>
            <w:shd w:val="clear" w:color="auto" w:fill="auto"/>
          </w:tcPr>
          <w:p w14:paraId="042C9A9A" w14:textId="599A846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CC17A94" w14:textId="77777777" w:rsidR="000B4BD4" w:rsidRPr="0035187E" w:rsidRDefault="000B4BD4" w:rsidP="0035187E">
            <w:pPr>
              <w:contextualSpacing/>
              <w:jc w:val="both"/>
              <w:rPr>
                <w:rFonts w:ascii="Times New Roman" w:hAnsi="Times New Roman" w:cs="Times New Roman"/>
                <w:b/>
                <w:sz w:val="20"/>
                <w:szCs w:val="20"/>
                <w:u w:val="single"/>
              </w:rPr>
            </w:pPr>
            <w:r w:rsidRPr="0035187E">
              <w:rPr>
                <w:rFonts w:ascii="Times New Roman" w:hAnsi="Times New Roman" w:cs="Times New Roman"/>
                <w:b/>
                <w:sz w:val="20"/>
                <w:szCs w:val="20"/>
                <w:u w:val="single"/>
              </w:rPr>
              <w:t xml:space="preserve">K § 16 </w:t>
            </w:r>
          </w:p>
          <w:p w14:paraId="2AEDE077" w14:textId="77777777" w:rsidR="000B4BD4" w:rsidRPr="0035187E" w:rsidRDefault="000B4BD4" w:rsidP="0035187E">
            <w:pPr>
              <w:contextualSpacing/>
              <w:jc w:val="both"/>
              <w:rPr>
                <w:rFonts w:ascii="Times New Roman" w:hAnsi="Times New Roman" w:cs="Times New Roman"/>
                <w:b/>
                <w:sz w:val="20"/>
                <w:szCs w:val="20"/>
                <w:u w:val="single"/>
              </w:rPr>
            </w:pPr>
            <w:r w:rsidRPr="0035187E">
              <w:rPr>
                <w:rFonts w:ascii="Times New Roman" w:hAnsi="Times New Roman" w:cs="Times New Roman"/>
                <w:sz w:val="20"/>
                <w:szCs w:val="20"/>
              </w:rPr>
              <w:t xml:space="preserve">Naprostou většinu požadovaných údajů mají finanční úřady k dispozici přímo sami nebo v jiných informačních systémech veřejné správy. Minimálně by tedy mělo toto ohlášení být v systému předvyplněno a pouze by se doplnily či potvrdily chybějící údaje. Toto by mělo být garantováno v zákoně obdobně, jako požadujeme garanci bezplatné aplikace (bod 2). Případně by zákon mohl obsahovat zmocňovací ustanovení na prováděcí předpis, kde toto bude stanoveno. </w:t>
            </w:r>
          </w:p>
          <w:p w14:paraId="3E33C928" w14:textId="0C7A511A" w:rsidR="000B4BD4" w:rsidRPr="0035187E" w:rsidRDefault="000B4BD4" w:rsidP="0035187E">
            <w:pPr>
              <w:autoSpaceDE w:val="0"/>
              <w:autoSpaceDN w:val="0"/>
              <w:adjustRightInd w:val="0"/>
              <w:jc w:val="both"/>
              <w:rPr>
                <w:rFonts w:ascii="Times New Roman" w:eastAsia="Aptos" w:hAnsi="Times New Roman" w:cs="Times New Roman"/>
                <w:b/>
                <w:bCs/>
                <w:sz w:val="20"/>
                <w:szCs w:val="20"/>
              </w:rPr>
            </w:pPr>
            <w:r w:rsidRPr="0035187E">
              <w:rPr>
                <w:rFonts w:ascii="Times New Roman" w:hAnsi="Times New Roman" w:cs="Times New Roman"/>
                <w:b/>
                <w:bCs/>
                <w:sz w:val="20"/>
                <w:szCs w:val="20"/>
              </w:rPr>
              <w:t>Tato připomínka je zásadní.</w:t>
            </w:r>
          </w:p>
        </w:tc>
        <w:tc>
          <w:tcPr>
            <w:tcW w:w="1453" w:type="pct"/>
            <w:tcBorders>
              <w:top w:val="single" w:sz="4" w:space="0" w:color="auto"/>
              <w:left w:val="single" w:sz="4" w:space="0" w:color="auto"/>
              <w:right w:val="single" w:sz="4" w:space="0" w:color="auto"/>
            </w:tcBorders>
            <w:shd w:val="clear" w:color="auto" w:fill="auto"/>
          </w:tcPr>
          <w:p w14:paraId="22CFBE42" w14:textId="77777777" w:rsidR="000B4BD4" w:rsidRPr="0035187E" w:rsidRDefault="006A0624" w:rsidP="0035187E">
            <w:pPr>
              <w:jc w:val="both"/>
              <w:rPr>
                <w:rFonts w:ascii="Times New Roman" w:hAnsi="Times New Roman" w:cs="Times New Roman"/>
                <w:b/>
                <w:iCs/>
                <w:sz w:val="20"/>
                <w:szCs w:val="20"/>
              </w:rPr>
            </w:pPr>
            <w:r w:rsidRPr="0035187E">
              <w:rPr>
                <w:rFonts w:ascii="Times New Roman" w:hAnsi="Times New Roman" w:cs="Times New Roman"/>
                <w:b/>
                <w:iCs/>
                <w:sz w:val="20"/>
                <w:szCs w:val="20"/>
              </w:rPr>
              <w:t>Vysvětleno.</w:t>
            </w:r>
          </w:p>
          <w:p w14:paraId="40117F26" w14:textId="77777777" w:rsidR="00AF1D21" w:rsidRPr="0035187E" w:rsidRDefault="006A0624"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U části údajů se opravdu předpokládá jejich předvyplnění</w:t>
            </w:r>
            <w:r w:rsidR="00AF1D21" w:rsidRPr="0035187E">
              <w:rPr>
                <w:rFonts w:ascii="Times New Roman" w:hAnsi="Times New Roman" w:cs="Times New Roman"/>
                <w:iCs/>
                <w:sz w:val="20"/>
                <w:szCs w:val="20"/>
              </w:rPr>
              <w:t>, resp. volba z přednastavených možností</w:t>
            </w:r>
            <w:r w:rsidRPr="0035187E">
              <w:rPr>
                <w:rFonts w:ascii="Times New Roman" w:hAnsi="Times New Roman" w:cs="Times New Roman"/>
                <w:iCs/>
                <w:sz w:val="20"/>
                <w:szCs w:val="20"/>
              </w:rPr>
              <w:t>. Při určení potřebných informací týkajících jednotlivých evidenčních jednotek</w:t>
            </w:r>
            <w:r w:rsidR="00AF1D21" w:rsidRPr="0035187E">
              <w:rPr>
                <w:rFonts w:ascii="Times New Roman" w:hAnsi="Times New Roman" w:cs="Times New Roman"/>
                <w:iCs/>
                <w:sz w:val="20"/>
                <w:szCs w:val="20"/>
              </w:rPr>
              <w:t xml:space="preserve"> je však nezbytné, aby poplatník poskytnul aktuální informace tak, aby byl schopen zajistit řádné plnění evidenční povinnosti, neboť neaktuální stav by mu mohl být zbytečně přičítán k tíži.</w:t>
            </w:r>
          </w:p>
          <w:p w14:paraId="7474354F" w14:textId="77777777" w:rsidR="00E743CB" w:rsidRPr="0035187E" w:rsidRDefault="00E743CB" w:rsidP="0035187E">
            <w:pPr>
              <w:jc w:val="both"/>
              <w:rPr>
                <w:rFonts w:ascii="Times New Roman" w:hAnsi="Times New Roman" w:cs="Times New Roman"/>
                <w:iCs/>
                <w:sz w:val="20"/>
                <w:szCs w:val="20"/>
              </w:rPr>
            </w:pPr>
          </w:p>
          <w:p w14:paraId="63B8DABF" w14:textId="2FB496AC" w:rsidR="00E743CB" w:rsidRPr="0035187E" w:rsidRDefault="00E743CB" w:rsidP="0035187E">
            <w:pPr>
              <w:jc w:val="both"/>
              <w:rPr>
                <w:rFonts w:ascii="Times New Roman" w:hAnsi="Times New Roman" w:cs="Times New Roman"/>
                <w:sz w:val="20"/>
                <w:szCs w:val="20"/>
              </w:rPr>
            </w:pPr>
            <w:r w:rsidRPr="0035187E">
              <w:rPr>
                <w:rFonts w:ascii="Times New Roman" w:hAnsi="Times New Roman" w:cs="Times New Roman"/>
                <w:i/>
                <w:iCs/>
                <w:sz w:val="20"/>
                <w:szCs w:val="20"/>
              </w:rPr>
              <w:lastRenderedPageBreak/>
              <w:t xml:space="preserve">Vyjádření připomínkového místa: nadále trvá na znění </w:t>
            </w:r>
            <w:r w:rsidR="009C547C" w:rsidRPr="0035187E">
              <w:rPr>
                <w:rFonts w:ascii="Times New Roman" w:hAnsi="Times New Roman" w:cs="Times New Roman"/>
                <w:i/>
                <w:iCs/>
                <w:sz w:val="20"/>
                <w:szCs w:val="20"/>
              </w:rPr>
              <w:t>připomínky</w:t>
            </w:r>
            <w:r w:rsidRPr="0035187E">
              <w:rPr>
                <w:rFonts w:ascii="Times New Roman" w:hAnsi="Times New Roman" w:cs="Times New Roman"/>
                <w:i/>
                <w:iCs/>
                <w:sz w:val="20"/>
                <w:szCs w:val="20"/>
              </w:rPr>
              <w:t>, s návrhem vypořádání nesouhlasí.</w:t>
            </w:r>
          </w:p>
        </w:tc>
      </w:tr>
      <w:tr w:rsidR="0035187E" w:rsidRPr="0035187E" w14:paraId="4269BA52"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EAA054B" w14:textId="048EDFB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68.</w:t>
            </w:r>
          </w:p>
        </w:tc>
        <w:tc>
          <w:tcPr>
            <w:tcW w:w="583" w:type="pct"/>
            <w:tcBorders>
              <w:top w:val="single" w:sz="4" w:space="0" w:color="auto"/>
              <w:left w:val="single" w:sz="4" w:space="0" w:color="auto"/>
              <w:right w:val="single" w:sz="4" w:space="0" w:color="auto"/>
            </w:tcBorders>
            <w:shd w:val="clear" w:color="auto" w:fill="auto"/>
          </w:tcPr>
          <w:p w14:paraId="2B99CF5C" w14:textId="7829F6D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Notářská komora ČR</w:t>
            </w:r>
          </w:p>
        </w:tc>
        <w:tc>
          <w:tcPr>
            <w:tcW w:w="168" w:type="pct"/>
            <w:tcBorders>
              <w:top w:val="single" w:sz="4" w:space="0" w:color="auto"/>
              <w:left w:val="single" w:sz="4" w:space="0" w:color="auto"/>
              <w:right w:val="single" w:sz="4" w:space="0" w:color="auto"/>
            </w:tcBorders>
            <w:shd w:val="clear" w:color="auto" w:fill="auto"/>
          </w:tcPr>
          <w:p w14:paraId="46B4D057" w14:textId="2C44F34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8.</w:t>
            </w:r>
          </w:p>
        </w:tc>
        <w:tc>
          <w:tcPr>
            <w:tcW w:w="169" w:type="pct"/>
            <w:tcBorders>
              <w:top w:val="single" w:sz="4" w:space="0" w:color="auto"/>
              <w:left w:val="single" w:sz="4" w:space="0" w:color="auto"/>
              <w:right w:val="single" w:sz="4" w:space="0" w:color="auto"/>
            </w:tcBorders>
            <w:shd w:val="clear" w:color="auto" w:fill="auto"/>
          </w:tcPr>
          <w:p w14:paraId="21A9843B" w14:textId="6C36CFE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C12D812" w14:textId="77777777" w:rsidR="000F7C4A" w:rsidRPr="0035187E" w:rsidRDefault="000B4BD4" w:rsidP="0035187E">
            <w:pPr>
              <w:contextualSpacing/>
              <w:jc w:val="both"/>
              <w:rPr>
                <w:rFonts w:ascii="Times New Roman" w:hAnsi="Times New Roman" w:cs="Times New Roman"/>
                <w:b/>
                <w:bCs/>
                <w:i/>
                <w:iCs/>
                <w:sz w:val="20"/>
                <w:szCs w:val="20"/>
              </w:rPr>
            </w:pPr>
            <w:r w:rsidRPr="0035187E">
              <w:rPr>
                <w:rFonts w:ascii="Times New Roman" w:hAnsi="Times New Roman" w:cs="Times New Roman"/>
                <w:b/>
                <w:sz w:val="20"/>
                <w:szCs w:val="20"/>
                <w:u w:val="single"/>
              </w:rPr>
              <w:t>Legislativně</w:t>
            </w:r>
            <w:r w:rsidRPr="0035187E">
              <w:rPr>
                <w:rFonts w:ascii="Times New Roman" w:hAnsi="Times New Roman" w:cs="Times New Roman"/>
                <w:b/>
                <w:bCs/>
                <w:i/>
                <w:iCs/>
                <w:sz w:val="20"/>
                <w:szCs w:val="20"/>
              </w:rPr>
              <w:t>-technické připomínky</w:t>
            </w:r>
          </w:p>
          <w:p w14:paraId="1BDE3995" w14:textId="499B7636" w:rsidR="000B4BD4" w:rsidRPr="0035187E" w:rsidRDefault="000B4BD4" w:rsidP="0035187E">
            <w:pPr>
              <w:contextualSpacing/>
              <w:jc w:val="both"/>
              <w:rPr>
                <w:rFonts w:ascii="Times New Roman" w:hAnsi="Times New Roman" w:cs="Times New Roman"/>
                <w:b/>
                <w:bCs/>
                <w:i/>
                <w:iCs/>
                <w:sz w:val="20"/>
                <w:szCs w:val="20"/>
              </w:rPr>
            </w:pPr>
            <w:r w:rsidRPr="0035187E">
              <w:rPr>
                <w:rFonts w:ascii="Times New Roman" w:hAnsi="Times New Roman" w:cs="Times New Roman"/>
                <w:b/>
                <w:bCs/>
                <w:sz w:val="20"/>
                <w:szCs w:val="20"/>
                <w:u w:val="single"/>
              </w:rPr>
              <w:t>K § 12 odst. 5</w:t>
            </w:r>
          </w:p>
          <w:p w14:paraId="7F42911D" w14:textId="56D5464F" w:rsidR="000B4BD4" w:rsidRPr="0035187E" w:rsidRDefault="000B4BD4" w:rsidP="0035187E">
            <w:pPr>
              <w:suppressAutoHyphens/>
              <w:jc w:val="both"/>
              <w:rPr>
                <w:rFonts w:ascii="Times New Roman" w:eastAsia="Aptos" w:hAnsi="Times New Roman" w:cs="Times New Roman"/>
                <w:b/>
                <w:bCs/>
                <w:sz w:val="20"/>
                <w:szCs w:val="20"/>
              </w:rPr>
            </w:pPr>
            <w:r w:rsidRPr="0035187E">
              <w:rPr>
                <w:rFonts w:ascii="Times New Roman" w:hAnsi="Times New Roman" w:cs="Times New Roman"/>
                <w:sz w:val="20"/>
                <w:szCs w:val="20"/>
              </w:rPr>
              <w:t>Slova „v odstavci 3 písm. a)“ by měla znít „v odstavci 4 písm. a)“.</w:t>
            </w:r>
          </w:p>
        </w:tc>
        <w:tc>
          <w:tcPr>
            <w:tcW w:w="1453" w:type="pct"/>
            <w:tcBorders>
              <w:top w:val="single" w:sz="4" w:space="0" w:color="auto"/>
              <w:left w:val="single" w:sz="4" w:space="0" w:color="auto"/>
              <w:right w:val="single" w:sz="4" w:space="0" w:color="auto"/>
            </w:tcBorders>
            <w:shd w:val="clear" w:color="auto" w:fill="auto"/>
          </w:tcPr>
          <w:p w14:paraId="10FCE454"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Vyhověno.</w:t>
            </w:r>
          </w:p>
          <w:p w14:paraId="37C602E4" w14:textId="79EFAABF"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tc>
      </w:tr>
      <w:tr w:rsidR="0035187E" w:rsidRPr="0035187E" w14:paraId="26A9A713"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C074044" w14:textId="7CEFF4F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68.</w:t>
            </w:r>
          </w:p>
        </w:tc>
        <w:tc>
          <w:tcPr>
            <w:tcW w:w="583" w:type="pct"/>
            <w:tcBorders>
              <w:top w:val="single" w:sz="4" w:space="0" w:color="auto"/>
              <w:left w:val="single" w:sz="4" w:space="0" w:color="auto"/>
              <w:right w:val="single" w:sz="4" w:space="0" w:color="auto"/>
            </w:tcBorders>
            <w:shd w:val="clear" w:color="auto" w:fill="auto"/>
          </w:tcPr>
          <w:p w14:paraId="2D39289A" w14:textId="1C94A32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Notářská komora ČR</w:t>
            </w:r>
          </w:p>
        </w:tc>
        <w:tc>
          <w:tcPr>
            <w:tcW w:w="168" w:type="pct"/>
            <w:tcBorders>
              <w:top w:val="single" w:sz="4" w:space="0" w:color="auto"/>
              <w:left w:val="single" w:sz="4" w:space="0" w:color="auto"/>
              <w:right w:val="single" w:sz="4" w:space="0" w:color="auto"/>
            </w:tcBorders>
            <w:shd w:val="clear" w:color="auto" w:fill="auto"/>
          </w:tcPr>
          <w:p w14:paraId="04D762C2" w14:textId="67A5725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9.</w:t>
            </w:r>
          </w:p>
        </w:tc>
        <w:tc>
          <w:tcPr>
            <w:tcW w:w="169" w:type="pct"/>
            <w:tcBorders>
              <w:top w:val="single" w:sz="4" w:space="0" w:color="auto"/>
              <w:left w:val="single" w:sz="4" w:space="0" w:color="auto"/>
              <w:right w:val="single" w:sz="4" w:space="0" w:color="auto"/>
            </w:tcBorders>
            <w:shd w:val="clear" w:color="auto" w:fill="auto"/>
          </w:tcPr>
          <w:p w14:paraId="55F4528A" w14:textId="5121227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DA719C5" w14:textId="77777777" w:rsidR="000B4BD4" w:rsidRPr="0035187E" w:rsidRDefault="000B4BD4" w:rsidP="0035187E">
            <w:pPr>
              <w:contextualSpacing/>
              <w:jc w:val="both"/>
              <w:rPr>
                <w:rFonts w:ascii="Times New Roman" w:hAnsi="Times New Roman" w:cs="Times New Roman"/>
                <w:b/>
                <w:bCs/>
                <w:sz w:val="20"/>
                <w:szCs w:val="20"/>
                <w:u w:val="single"/>
              </w:rPr>
            </w:pPr>
            <w:r w:rsidRPr="0035187E">
              <w:rPr>
                <w:rFonts w:ascii="Times New Roman" w:hAnsi="Times New Roman" w:cs="Times New Roman"/>
                <w:b/>
                <w:bCs/>
                <w:sz w:val="20"/>
                <w:szCs w:val="20"/>
                <w:u w:val="single"/>
              </w:rPr>
              <w:t>Důvodová zpráva – k § 13, str. 68</w:t>
            </w:r>
          </w:p>
          <w:p w14:paraId="190F5C77" w14:textId="186F8B68" w:rsidR="000B4BD4" w:rsidRPr="0035187E" w:rsidRDefault="000B4BD4" w:rsidP="0035187E">
            <w:pPr>
              <w:suppressAutoHyphens/>
              <w:jc w:val="both"/>
              <w:rPr>
                <w:rFonts w:ascii="Times New Roman" w:eastAsia="Aptos" w:hAnsi="Times New Roman" w:cs="Times New Roman"/>
                <w:b/>
                <w:bCs/>
                <w:sz w:val="20"/>
                <w:szCs w:val="20"/>
              </w:rPr>
            </w:pPr>
            <w:r w:rsidRPr="0035187E">
              <w:rPr>
                <w:rFonts w:ascii="Times New Roman" w:hAnsi="Times New Roman" w:cs="Times New Roman"/>
                <w:sz w:val="20"/>
                <w:szCs w:val="20"/>
              </w:rPr>
              <w:t>Slova v pátém odstavci, která zní „§ 10 odst. 1 písm. e)“ by měla znít „§ 12 odst. 1 písm. e)“.</w:t>
            </w:r>
          </w:p>
        </w:tc>
        <w:tc>
          <w:tcPr>
            <w:tcW w:w="1453" w:type="pct"/>
            <w:tcBorders>
              <w:top w:val="single" w:sz="4" w:space="0" w:color="auto"/>
              <w:left w:val="single" w:sz="4" w:space="0" w:color="auto"/>
              <w:right w:val="single" w:sz="4" w:space="0" w:color="auto"/>
            </w:tcBorders>
            <w:shd w:val="clear" w:color="auto" w:fill="auto"/>
          </w:tcPr>
          <w:p w14:paraId="3572D6FE"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Vyhověno.</w:t>
            </w:r>
          </w:p>
          <w:p w14:paraId="7D5AFD05" w14:textId="11AE9D0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tc>
      </w:tr>
      <w:tr w:rsidR="0035187E" w:rsidRPr="0035187E" w14:paraId="208C4FFF"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C6A3D79" w14:textId="310F34D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70.</w:t>
            </w:r>
          </w:p>
        </w:tc>
        <w:tc>
          <w:tcPr>
            <w:tcW w:w="583" w:type="pct"/>
            <w:tcBorders>
              <w:top w:val="single" w:sz="4" w:space="0" w:color="auto"/>
              <w:left w:val="single" w:sz="4" w:space="0" w:color="auto"/>
              <w:right w:val="single" w:sz="4" w:space="0" w:color="auto"/>
            </w:tcBorders>
            <w:shd w:val="clear" w:color="auto" w:fill="auto"/>
          </w:tcPr>
          <w:p w14:paraId="42C528FE" w14:textId="7062F3E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Sdružení místních samospráv ČR</w:t>
            </w:r>
          </w:p>
        </w:tc>
        <w:tc>
          <w:tcPr>
            <w:tcW w:w="168" w:type="pct"/>
            <w:tcBorders>
              <w:top w:val="single" w:sz="4" w:space="0" w:color="auto"/>
              <w:left w:val="single" w:sz="4" w:space="0" w:color="auto"/>
              <w:right w:val="single" w:sz="4" w:space="0" w:color="auto"/>
            </w:tcBorders>
            <w:shd w:val="clear" w:color="auto" w:fill="auto"/>
          </w:tcPr>
          <w:p w14:paraId="20C2709E" w14:textId="4CDC6C2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5E6716CB" w14:textId="3F2F15D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AEF3020" w14:textId="77777777" w:rsidR="000B4BD4" w:rsidRPr="0035187E" w:rsidRDefault="000B4BD4" w:rsidP="0035187E">
            <w:pPr>
              <w:jc w:val="both"/>
              <w:rPr>
                <w:rFonts w:ascii="Times New Roman" w:eastAsia="Calibri" w:hAnsi="Times New Roman" w:cs="Times New Roman"/>
                <w:b/>
                <w:bCs/>
                <w:sz w:val="20"/>
                <w:szCs w:val="20"/>
                <w:shd w:val="clear" w:color="auto" w:fill="FFFFFF"/>
                <w:lang w:eastAsia="en-US"/>
              </w:rPr>
            </w:pPr>
            <w:r w:rsidRPr="0035187E">
              <w:rPr>
                <w:rFonts w:ascii="Times New Roman" w:eastAsia="Calibri" w:hAnsi="Times New Roman" w:cs="Times New Roman"/>
                <w:b/>
                <w:bCs/>
                <w:sz w:val="20"/>
                <w:szCs w:val="20"/>
                <w:lang w:eastAsia="en-US"/>
              </w:rPr>
              <w:t>Připomínka č. 1 k Části první, § 6</w:t>
            </w:r>
          </w:p>
          <w:p w14:paraId="649B9FBA" w14:textId="77777777" w:rsidR="000B4BD4" w:rsidRPr="0035187E" w:rsidRDefault="000B4BD4" w:rsidP="0035187E">
            <w:pPr>
              <w:jc w:val="both"/>
              <w:rPr>
                <w:rFonts w:ascii="Times New Roman" w:eastAsia="Calibri" w:hAnsi="Times New Roman" w:cs="Times New Roman"/>
                <w:bCs/>
                <w:sz w:val="20"/>
                <w:szCs w:val="20"/>
                <w:shd w:val="clear" w:color="auto" w:fill="FFFFFF"/>
                <w:lang w:eastAsia="en-US"/>
              </w:rPr>
            </w:pPr>
          </w:p>
          <w:p w14:paraId="1515FC97" w14:textId="06EA4667" w:rsidR="000B4BD4" w:rsidRPr="0035187E" w:rsidRDefault="000B4BD4" w:rsidP="0035187E">
            <w:pPr>
              <w:jc w:val="both"/>
              <w:rPr>
                <w:rFonts w:ascii="Times New Roman" w:eastAsia="Calibri" w:hAnsi="Times New Roman" w:cs="Times New Roman"/>
                <w:bCs/>
                <w:sz w:val="20"/>
                <w:szCs w:val="20"/>
                <w:shd w:val="clear" w:color="auto" w:fill="FFFFFF"/>
                <w:lang w:eastAsia="en-US"/>
              </w:rPr>
            </w:pPr>
            <w:r w:rsidRPr="0035187E">
              <w:rPr>
                <w:rFonts w:ascii="Times New Roman" w:eastAsia="Calibri" w:hAnsi="Times New Roman" w:cs="Times New Roman"/>
                <w:bCs/>
                <w:sz w:val="20"/>
                <w:szCs w:val="20"/>
                <w:lang w:eastAsia="en-US"/>
              </w:rPr>
              <w:t>Navrhujeme vypustit z materiálu navržený § 6 odst. 1 písm. b).</w:t>
            </w:r>
          </w:p>
          <w:p w14:paraId="0C434808" w14:textId="77777777" w:rsidR="000B4BD4" w:rsidRPr="0035187E" w:rsidRDefault="000B4BD4" w:rsidP="0035187E">
            <w:pPr>
              <w:jc w:val="both"/>
              <w:rPr>
                <w:rFonts w:ascii="Times New Roman" w:eastAsia="Calibri" w:hAnsi="Times New Roman" w:cs="Times New Roman"/>
                <w:bCs/>
                <w:i/>
                <w:sz w:val="20"/>
                <w:szCs w:val="20"/>
                <w:u w:val="single"/>
                <w:shd w:val="clear" w:color="auto" w:fill="FFFFFF"/>
                <w:lang w:eastAsia="en-US"/>
              </w:rPr>
            </w:pPr>
          </w:p>
          <w:p w14:paraId="0787F2D8" w14:textId="414B9942" w:rsidR="000B4BD4" w:rsidRPr="0035187E" w:rsidRDefault="000B4BD4" w:rsidP="0035187E">
            <w:pPr>
              <w:jc w:val="both"/>
              <w:rPr>
                <w:rFonts w:ascii="Times New Roman" w:eastAsia="Calibri" w:hAnsi="Times New Roman" w:cs="Times New Roman"/>
                <w:bCs/>
                <w:i/>
                <w:sz w:val="20"/>
                <w:szCs w:val="20"/>
                <w:u w:val="single"/>
                <w:shd w:val="clear" w:color="auto" w:fill="FFFFFF"/>
                <w:lang w:eastAsia="en-US"/>
              </w:rPr>
            </w:pPr>
            <w:r w:rsidRPr="0035187E">
              <w:rPr>
                <w:rFonts w:ascii="Times New Roman" w:eastAsia="Calibri" w:hAnsi="Times New Roman" w:cs="Times New Roman"/>
                <w:bCs/>
                <w:i/>
                <w:sz w:val="20"/>
                <w:szCs w:val="20"/>
                <w:u w:val="single"/>
                <w:lang w:eastAsia="en-US"/>
              </w:rPr>
              <w:t>Odůvodnění:</w:t>
            </w:r>
          </w:p>
          <w:p w14:paraId="057BEE9C" w14:textId="77777777" w:rsidR="000B4BD4" w:rsidRPr="0035187E" w:rsidRDefault="000B4BD4" w:rsidP="0035187E">
            <w:pPr>
              <w:jc w:val="both"/>
              <w:rPr>
                <w:rFonts w:ascii="Times New Roman" w:eastAsia="Calibri" w:hAnsi="Times New Roman" w:cs="Times New Roman"/>
                <w:bCs/>
                <w:sz w:val="20"/>
                <w:szCs w:val="20"/>
                <w:lang w:eastAsia="en-US"/>
              </w:rPr>
            </w:pPr>
            <w:r w:rsidRPr="0035187E">
              <w:rPr>
                <w:rFonts w:ascii="Times New Roman" w:eastAsia="Calibri" w:hAnsi="Times New Roman" w:cs="Times New Roman"/>
                <w:bCs/>
                <w:sz w:val="20"/>
                <w:szCs w:val="20"/>
                <w:lang w:eastAsia="en-US"/>
              </w:rPr>
              <w:t xml:space="preserve">Ústavní soud ČR ve svém nálezu </w:t>
            </w:r>
            <w:proofErr w:type="spellStart"/>
            <w:r w:rsidRPr="0035187E">
              <w:rPr>
                <w:rFonts w:ascii="Times New Roman" w:eastAsia="Calibri" w:hAnsi="Times New Roman" w:cs="Times New Roman"/>
                <w:bCs/>
                <w:sz w:val="20"/>
                <w:szCs w:val="20"/>
                <w:lang w:eastAsia="en-US"/>
              </w:rPr>
              <w:t>Pl</w:t>
            </w:r>
            <w:proofErr w:type="spellEnd"/>
            <w:r w:rsidRPr="0035187E">
              <w:rPr>
                <w:rFonts w:ascii="Times New Roman" w:eastAsia="Calibri" w:hAnsi="Times New Roman" w:cs="Times New Roman"/>
                <w:bCs/>
                <w:sz w:val="20"/>
                <w:szCs w:val="20"/>
                <w:lang w:eastAsia="en-US"/>
              </w:rPr>
              <w:t>. ÚS 26/16 ze dne 12. 12. 2017 jednoznačně konstatoval, že ačkoliv evidence bezhotovostních převodů přispívá k naplnění cílů zákona o evidenci tržeb a lze jej považovat za efektivní, neobstojí podle Ústavního soudu ve třetím kroku testu proporcionality, neboť negativní důsledky evidence v tomto dílčím aspektu převáží pozitiva, která evidování takových plateb má. Zároveň připustil, že ukáže-li praxe u konkrétní skupiny bezhotovostních převodů že s ohledem na technologickou nebo jinou eventualitu jsou skutečně prakticky nedohledatelné, může zákonodárce na takovou situaci reagovat a danou platbu přesněji vymezit (viz. body 95. a 96. citovaného nálezu).</w:t>
            </w:r>
          </w:p>
          <w:p w14:paraId="7E7D9B9A" w14:textId="77777777" w:rsidR="000B4BD4" w:rsidRPr="0035187E" w:rsidRDefault="000B4BD4" w:rsidP="0035187E">
            <w:pPr>
              <w:jc w:val="both"/>
              <w:rPr>
                <w:rFonts w:ascii="Times New Roman" w:eastAsia="Calibri" w:hAnsi="Times New Roman" w:cs="Times New Roman"/>
                <w:bCs/>
                <w:sz w:val="20"/>
                <w:szCs w:val="20"/>
                <w:lang w:eastAsia="en-US"/>
              </w:rPr>
            </w:pPr>
            <w:r w:rsidRPr="0035187E">
              <w:rPr>
                <w:rFonts w:ascii="Times New Roman" w:eastAsia="Calibri" w:hAnsi="Times New Roman" w:cs="Times New Roman"/>
                <w:bCs/>
                <w:sz w:val="20"/>
                <w:szCs w:val="20"/>
                <w:lang w:eastAsia="en-US"/>
              </w:rPr>
              <w:t>Předkladatel v návrhu nevymezil žádnou konkrétní skupinu bezhotovostních plateb, ale naopak zahrnul do evidence všechny bezhotovostní převody peněžních prostředků, které splňují definici kontaktní platby. Tím postupuje v rozporu s citovaným nálezem ÚS. Je proto zřejmé, že pokud bude předmětné ustanovení napadeno návrhem na zrušení pro rozpor s ústavním pořádkem k Ústavnímu soudu (což je vzhledem k aktuální politické situaci velmi pravděpodobné), Ústavní soud rozhodne o zrušení předmětného ustanovení. Nic na tom nemůže změnit ani rozsáhlá polemika předkladatele se závěry Ústavního soudu v důvodové zprávě.</w:t>
            </w:r>
          </w:p>
          <w:p w14:paraId="33C76758" w14:textId="77777777" w:rsidR="000B4BD4" w:rsidRPr="0035187E" w:rsidRDefault="000B4BD4" w:rsidP="0035187E">
            <w:pPr>
              <w:jc w:val="both"/>
              <w:rPr>
                <w:rFonts w:ascii="Times New Roman" w:eastAsia="Calibri" w:hAnsi="Times New Roman" w:cs="Times New Roman"/>
                <w:bCs/>
                <w:sz w:val="20"/>
                <w:szCs w:val="20"/>
                <w:lang w:eastAsia="en-US"/>
              </w:rPr>
            </w:pPr>
            <w:r w:rsidRPr="0035187E">
              <w:rPr>
                <w:rFonts w:ascii="Times New Roman" w:eastAsia="Calibri" w:hAnsi="Times New Roman" w:cs="Times New Roman"/>
                <w:bCs/>
                <w:sz w:val="20"/>
                <w:szCs w:val="20"/>
                <w:lang w:eastAsia="en-US"/>
              </w:rPr>
              <w:t>V zájmu právní jistoty adresátů návrhu zákona tedy navrhujeme problematické ustanovení z návrhu vypustit.</w:t>
            </w:r>
          </w:p>
          <w:p w14:paraId="33E248D5" w14:textId="0DC73419" w:rsidR="000B4BD4" w:rsidRPr="0035187E" w:rsidRDefault="000B4BD4" w:rsidP="0035187E">
            <w:pPr>
              <w:ind w:firstLine="708"/>
              <w:jc w:val="both"/>
              <w:rPr>
                <w:rFonts w:ascii="Times New Roman" w:hAnsi="Times New Roman" w:cs="Times New Roman"/>
                <w:sz w:val="20"/>
                <w:szCs w:val="20"/>
              </w:rPr>
            </w:pPr>
            <w:r w:rsidRPr="0035187E">
              <w:rPr>
                <w:rFonts w:ascii="Times New Roman" w:eastAsia="Calibri" w:hAnsi="Times New Roman" w:cs="Times New Roman"/>
                <w:b/>
                <w:bCs/>
                <w:i/>
                <w:sz w:val="20"/>
                <w:szCs w:val="20"/>
                <w:lang w:eastAsia="en-US"/>
              </w:rPr>
              <w:t>Tato připomínka je zásadní.</w:t>
            </w:r>
          </w:p>
        </w:tc>
        <w:tc>
          <w:tcPr>
            <w:tcW w:w="1453" w:type="pct"/>
            <w:tcBorders>
              <w:top w:val="single" w:sz="4" w:space="0" w:color="auto"/>
              <w:left w:val="single" w:sz="4" w:space="0" w:color="auto"/>
              <w:right w:val="single" w:sz="4" w:space="0" w:color="auto"/>
            </w:tcBorders>
            <w:shd w:val="clear" w:color="auto" w:fill="auto"/>
          </w:tcPr>
          <w:p w14:paraId="32AA6E1A" w14:textId="77777777" w:rsidR="000B4BD4" w:rsidRPr="0035187E" w:rsidRDefault="000B4BD4" w:rsidP="0035187E">
            <w:pPr>
              <w:jc w:val="both"/>
              <w:rPr>
                <w:rFonts w:ascii="Times New Roman" w:hAnsi="Times New Roman" w:cs="Times New Roman"/>
                <w:b/>
                <w:iCs/>
                <w:sz w:val="20"/>
                <w:szCs w:val="20"/>
              </w:rPr>
            </w:pPr>
            <w:r w:rsidRPr="0035187E">
              <w:rPr>
                <w:rFonts w:ascii="Times New Roman" w:hAnsi="Times New Roman" w:cs="Times New Roman"/>
                <w:b/>
                <w:iCs/>
                <w:sz w:val="20"/>
                <w:szCs w:val="20"/>
              </w:rPr>
              <w:t>Nevyhověno.</w:t>
            </w:r>
          </w:p>
          <w:p w14:paraId="1E602B8F"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Předkladatel se neztotožňuje s argumentací připomínkového místa. Vztahem k ústavnosti navrženého řešení se podrobně zabývá v důvodové zprávě, kde je mj. vysvětlen rozdíl mezi původním a novým řešením. Je třeba upozornit, že nález Ústavního soudu se netýkal situace, kdy by povinnost evidovat tržby byla vztažena na veškeré bezhotovostní kontaktní platby, ale na situaci, kdy cílila na pouze některé bezhotovostní platby (fakticky platby platební nebo kreditní kartou), a to bez ohledu na to, zda šlo o platbu kontaktní, či nikoliv.</w:t>
            </w:r>
          </w:p>
          <w:p w14:paraId="7730D5AE" w14:textId="77777777" w:rsidR="00A55A85" w:rsidRPr="0035187E" w:rsidRDefault="00A55A85" w:rsidP="0035187E">
            <w:pPr>
              <w:jc w:val="both"/>
              <w:rPr>
                <w:rFonts w:ascii="Times New Roman" w:hAnsi="Times New Roman" w:cs="Times New Roman"/>
                <w:sz w:val="20"/>
                <w:szCs w:val="20"/>
              </w:rPr>
            </w:pPr>
          </w:p>
          <w:p w14:paraId="794A90A2" w14:textId="1826CFB4" w:rsidR="00A55A85" w:rsidRPr="0035187E" w:rsidRDefault="00A55A85"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Vyjádření připomínkového místa: Opětovně upozorňujeme, že nesouhlas předkladatele s odůvodněním předmětného nálezu Ústavního soudu nemění nic na tom, že tento nález je podle čl. 89 odst. 2 Ústavy ČR závazný pro všechny orgány i osoby.</w:t>
            </w:r>
          </w:p>
          <w:p w14:paraId="0B10DA1D" w14:textId="3C9B9C73" w:rsidR="00A55A85" w:rsidRPr="0035187E" w:rsidRDefault="00A55A85" w:rsidP="0035187E">
            <w:pPr>
              <w:jc w:val="both"/>
              <w:rPr>
                <w:rFonts w:ascii="Times New Roman" w:hAnsi="Times New Roman" w:cs="Times New Roman"/>
                <w:sz w:val="20"/>
                <w:szCs w:val="20"/>
              </w:rPr>
            </w:pPr>
            <w:r w:rsidRPr="0035187E">
              <w:rPr>
                <w:rFonts w:ascii="Times New Roman" w:hAnsi="Times New Roman" w:cs="Times New Roman"/>
                <w:i/>
                <w:iCs/>
                <w:sz w:val="20"/>
                <w:szCs w:val="20"/>
              </w:rPr>
              <w:t>S ohledem na charakter připomínky a její omezený dopad na zájmy obcí však měníme připomínku na doporučující.</w:t>
            </w:r>
          </w:p>
        </w:tc>
      </w:tr>
      <w:tr w:rsidR="0035187E" w:rsidRPr="0035187E" w14:paraId="6A4DEACE"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85CB7B3" w14:textId="0EDE1F1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70.</w:t>
            </w:r>
          </w:p>
        </w:tc>
        <w:tc>
          <w:tcPr>
            <w:tcW w:w="583" w:type="pct"/>
            <w:tcBorders>
              <w:top w:val="single" w:sz="4" w:space="0" w:color="auto"/>
              <w:left w:val="single" w:sz="4" w:space="0" w:color="auto"/>
              <w:right w:val="single" w:sz="4" w:space="0" w:color="auto"/>
            </w:tcBorders>
            <w:shd w:val="clear" w:color="auto" w:fill="auto"/>
          </w:tcPr>
          <w:p w14:paraId="780020D3" w14:textId="7A5C7F9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Sdružení místních samospráv ČR</w:t>
            </w:r>
          </w:p>
        </w:tc>
        <w:tc>
          <w:tcPr>
            <w:tcW w:w="168" w:type="pct"/>
            <w:tcBorders>
              <w:top w:val="single" w:sz="4" w:space="0" w:color="auto"/>
              <w:left w:val="single" w:sz="4" w:space="0" w:color="auto"/>
              <w:right w:val="single" w:sz="4" w:space="0" w:color="auto"/>
            </w:tcBorders>
            <w:shd w:val="clear" w:color="auto" w:fill="auto"/>
          </w:tcPr>
          <w:p w14:paraId="37F8247B" w14:textId="1D02EEC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w:t>
            </w:r>
          </w:p>
        </w:tc>
        <w:tc>
          <w:tcPr>
            <w:tcW w:w="169" w:type="pct"/>
            <w:tcBorders>
              <w:top w:val="single" w:sz="4" w:space="0" w:color="auto"/>
              <w:left w:val="single" w:sz="4" w:space="0" w:color="auto"/>
              <w:right w:val="single" w:sz="4" w:space="0" w:color="auto"/>
            </w:tcBorders>
            <w:shd w:val="clear" w:color="auto" w:fill="auto"/>
          </w:tcPr>
          <w:p w14:paraId="459C56D4" w14:textId="148F522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994F0B9" w14:textId="77777777" w:rsidR="000B4BD4" w:rsidRPr="0035187E" w:rsidRDefault="000B4BD4" w:rsidP="0035187E">
            <w:pPr>
              <w:jc w:val="both"/>
              <w:rPr>
                <w:rFonts w:ascii="Times New Roman" w:eastAsia="Calibri" w:hAnsi="Times New Roman" w:cs="Times New Roman"/>
                <w:b/>
                <w:bCs/>
                <w:sz w:val="20"/>
                <w:szCs w:val="20"/>
                <w:shd w:val="clear" w:color="auto" w:fill="FFFFFF"/>
                <w:lang w:eastAsia="en-US"/>
              </w:rPr>
            </w:pPr>
            <w:r w:rsidRPr="0035187E">
              <w:rPr>
                <w:rFonts w:ascii="Times New Roman" w:eastAsia="Calibri" w:hAnsi="Times New Roman" w:cs="Times New Roman"/>
                <w:b/>
                <w:bCs/>
                <w:sz w:val="20"/>
                <w:szCs w:val="20"/>
                <w:lang w:eastAsia="en-US"/>
              </w:rPr>
              <w:t>Připomínka č. 2 k Části první, § 12</w:t>
            </w:r>
          </w:p>
          <w:p w14:paraId="728D5C94" w14:textId="77777777" w:rsidR="000B4BD4" w:rsidRPr="0035187E" w:rsidRDefault="000B4BD4" w:rsidP="0035187E">
            <w:pPr>
              <w:jc w:val="both"/>
              <w:rPr>
                <w:rFonts w:ascii="Times New Roman" w:eastAsia="Calibri" w:hAnsi="Times New Roman" w:cs="Times New Roman"/>
                <w:bCs/>
                <w:sz w:val="20"/>
                <w:szCs w:val="20"/>
                <w:shd w:val="clear" w:color="auto" w:fill="FFFFFF"/>
                <w:lang w:eastAsia="en-US"/>
              </w:rPr>
            </w:pPr>
          </w:p>
          <w:p w14:paraId="31E3A84C" w14:textId="2109083A" w:rsidR="000B4BD4" w:rsidRPr="0035187E" w:rsidRDefault="000B4BD4" w:rsidP="0035187E">
            <w:pPr>
              <w:jc w:val="both"/>
              <w:rPr>
                <w:rFonts w:ascii="Times New Roman" w:eastAsia="Calibri" w:hAnsi="Times New Roman" w:cs="Times New Roman"/>
                <w:bCs/>
                <w:sz w:val="20"/>
                <w:szCs w:val="20"/>
                <w:shd w:val="clear" w:color="auto" w:fill="FFFFFF"/>
                <w:lang w:eastAsia="en-US"/>
              </w:rPr>
            </w:pPr>
            <w:r w:rsidRPr="0035187E">
              <w:rPr>
                <w:rFonts w:ascii="Times New Roman" w:eastAsia="Calibri" w:hAnsi="Times New Roman" w:cs="Times New Roman"/>
                <w:bCs/>
                <w:sz w:val="20"/>
                <w:szCs w:val="20"/>
                <w:lang w:eastAsia="en-US"/>
              </w:rPr>
              <w:t>Navrhujeme, aby § 12 odst. 1 zněl:</w:t>
            </w:r>
            <w:r w:rsidRPr="0035187E">
              <w:rPr>
                <w:rFonts w:ascii="Times New Roman" w:eastAsia="Calibri" w:hAnsi="Times New Roman" w:cs="Times New Roman"/>
                <w:bCs/>
                <w:sz w:val="20"/>
                <w:szCs w:val="20"/>
                <w:shd w:val="clear" w:color="auto" w:fill="FFFFFF"/>
                <w:lang w:eastAsia="en-US"/>
              </w:rPr>
              <w:t xml:space="preserve"> </w:t>
            </w:r>
          </w:p>
          <w:p w14:paraId="05BC4334" w14:textId="77777777" w:rsidR="000B4BD4" w:rsidRPr="0035187E" w:rsidRDefault="000B4BD4" w:rsidP="0035187E">
            <w:pPr>
              <w:tabs>
                <w:tab w:val="left" w:pos="851"/>
              </w:tabs>
              <w:ind w:firstLine="425"/>
              <w:jc w:val="both"/>
              <w:rPr>
                <w:rFonts w:ascii="Times New Roman" w:hAnsi="Times New Roman" w:cs="Times New Roman"/>
                <w:sz w:val="20"/>
                <w:szCs w:val="20"/>
              </w:rPr>
            </w:pPr>
            <w:r w:rsidRPr="0035187E">
              <w:rPr>
                <w:rFonts w:ascii="Times New Roman" w:eastAsia="Calibri" w:hAnsi="Times New Roman" w:cs="Times New Roman"/>
                <w:bCs/>
                <w:sz w:val="20"/>
                <w:szCs w:val="20"/>
                <w:lang w:eastAsia="en-US"/>
              </w:rPr>
              <w:t>„</w:t>
            </w:r>
            <w:r w:rsidRPr="0035187E">
              <w:rPr>
                <w:rFonts w:ascii="Times New Roman" w:hAnsi="Times New Roman" w:cs="Times New Roman"/>
                <w:sz w:val="20"/>
                <w:szCs w:val="20"/>
              </w:rPr>
              <w:t>(1) Evidovanou tržbou nejsou tržby</w:t>
            </w:r>
          </w:p>
          <w:p w14:paraId="226AE255" w14:textId="77777777" w:rsidR="000B4BD4" w:rsidRPr="0035187E" w:rsidRDefault="000B4BD4" w:rsidP="0035187E">
            <w:pPr>
              <w:tabs>
                <w:tab w:val="left" w:pos="851"/>
              </w:tabs>
              <w:ind w:firstLine="4"/>
              <w:jc w:val="both"/>
              <w:rPr>
                <w:rFonts w:ascii="Times New Roman" w:hAnsi="Times New Roman" w:cs="Times New Roman"/>
                <w:sz w:val="20"/>
                <w:szCs w:val="20"/>
              </w:rPr>
            </w:pPr>
            <w:r w:rsidRPr="0035187E">
              <w:rPr>
                <w:rFonts w:ascii="Times New Roman" w:hAnsi="Times New Roman" w:cs="Times New Roman"/>
                <w:sz w:val="20"/>
                <w:szCs w:val="20"/>
              </w:rPr>
              <w:t>a)</w:t>
            </w:r>
            <w:r w:rsidRPr="0035187E">
              <w:rPr>
                <w:rFonts w:ascii="Times New Roman" w:hAnsi="Times New Roman" w:cs="Times New Roman"/>
                <w:sz w:val="20"/>
                <w:szCs w:val="20"/>
              </w:rPr>
              <w:tab/>
              <w:t>státu,</w:t>
            </w:r>
          </w:p>
          <w:p w14:paraId="79799272" w14:textId="77777777" w:rsidR="000B4BD4" w:rsidRPr="0035187E" w:rsidRDefault="000B4BD4" w:rsidP="0035187E">
            <w:pPr>
              <w:tabs>
                <w:tab w:val="left" w:pos="851"/>
              </w:tabs>
              <w:ind w:firstLine="4"/>
              <w:jc w:val="both"/>
              <w:rPr>
                <w:rFonts w:ascii="Times New Roman" w:hAnsi="Times New Roman" w:cs="Times New Roman"/>
                <w:sz w:val="20"/>
                <w:szCs w:val="20"/>
              </w:rPr>
            </w:pPr>
            <w:r w:rsidRPr="0035187E">
              <w:rPr>
                <w:rFonts w:ascii="Times New Roman" w:hAnsi="Times New Roman" w:cs="Times New Roman"/>
                <w:sz w:val="20"/>
                <w:szCs w:val="20"/>
              </w:rPr>
              <w:t>b)</w:t>
            </w:r>
            <w:r w:rsidRPr="0035187E">
              <w:rPr>
                <w:rFonts w:ascii="Times New Roman" w:hAnsi="Times New Roman" w:cs="Times New Roman"/>
                <w:sz w:val="20"/>
                <w:szCs w:val="20"/>
              </w:rPr>
              <w:tab/>
              <w:t>územního samosprávného celku,</w:t>
            </w:r>
          </w:p>
          <w:p w14:paraId="47F408C3" w14:textId="77777777" w:rsidR="000B4BD4" w:rsidRPr="0035187E" w:rsidRDefault="000B4BD4" w:rsidP="0035187E">
            <w:pPr>
              <w:tabs>
                <w:tab w:val="left" w:pos="851"/>
              </w:tabs>
              <w:ind w:firstLine="4"/>
              <w:jc w:val="both"/>
              <w:rPr>
                <w:rFonts w:ascii="Times New Roman" w:hAnsi="Times New Roman" w:cs="Times New Roman"/>
                <w:b/>
                <w:bCs/>
                <w:sz w:val="20"/>
                <w:szCs w:val="20"/>
              </w:rPr>
            </w:pPr>
            <w:r w:rsidRPr="0035187E">
              <w:rPr>
                <w:rFonts w:ascii="Times New Roman" w:hAnsi="Times New Roman" w:cs="Times New Roman"/>
                <w:b/>
                <w:bCs/>
                <w:sz w:val="20"/>
                <w:szCs w:val="20"/>
              </w:rPr>
              <w:t>c) dobrovolného svazku obcí,</w:t>
            </w:r>
          </w:p>
          <w:p w14:paraId="780109A9" w14:textId="77777777" w:rsidR="000B4BD4" w:rsidRPr="0035187E" w:rsidRDefault="000B4BD4" w:rsidP="0035187E">
            <w:pPr>
              <w:tabs>
                <w:tab w:val="left" w:pos="851"/>
              </w:tabs>
              <w:ind w:firstLine="4"/>
              <w:jc w:val="both"/>
              <w:rPr>
                <w:rFonts w:ascii="Times New Roman" w:hAnsi="Times New Roman" w:cs="Times New Roman"/>
                <w:b/>
                <w:bCs/>
                <w:sz w:val="20"/>
                <w:szCs w:val="20"/>
              </w:rPr>
            </w:pPr>
            <w:r w:rsidRPr="0035187E">
              <w:rPr>
                <w:rFonts w:ascii="Times New Roman" w:hAnsi="Times New Roman" w:cs="Times New Roman"/>
                <w:b/>
                <w:bCs/>
                <w:sz w:val="20"/>
                <w:szCs w:val="20"/>
              </w:rPr>
              <w:t>d) místní akční skupiny,</w:t>
            </w:r>
          </w:p>
          <w:p w14:paraId="5ADC9D04" w14:textId="77777777" w:rsidR="000B4BD4" w:rsidRPr="0035187E" w:rsidRDefault="000B4BD4" w:rsidP="0035187E">
            <w:pPr>
              <w:tabs>
                <w:tab w:val="left" w:pos="851"/>
              </w:tabs>
              <w:ind w:firstLine="4"/>
              <w:jc w:val="both"/>
              <w:rPr>
                <w:rFonts w:ascii="Times New Roman" w:hAnsi="Times New Roman" w:cs="Times New Roman"/>
                <w:b/>
                <w:bCs/>
                <w:sz w:val="20"/>
                <w:szCs w:val="20"/>
              </w:rPr>
            </w:pPr>
            <w:r w:rsidRPr="0035187E">
              <w:rPr>
                <w:rFonts w:ascii="Times New Roman" w:hAnsi="Times New Roman" w:cs="Times New Roman"/>
                <w:b/>
                <w:bCs/>
                <w:sz w:val="20"/>
                <w:szCs w:val="20"/>
              </w:rPr>
              <w:t xml:space="preserve">e) právnické osobě, kterou územní samosprávný celek sám nebo spolu s jiným územním samosprávným celkem převážně financuje, může v ní uplatňovat rozhodující </w:t>
            </w:r>
            <w:r w:rsidRPr="0035187E">
              <w:rPr>
                <w:rFonts w:ascii="Times New Roman" w:hAnsi="Times New Roman" w:cs="Times New Roman"/>
                <w:b/>
                <w:bCs/>
                <w:sz w:val="20"/>
                <w:szCs w:val="20"/>
              </w:rPr>
              <w:lastRenderedPageBreak/>
              <w:t>vliv nebo jmenuje nebo volí více než polovinu členů v jejím statutárním nebo kontrolním orgánu,</w:t>
            </w:r>
          </w:p>
          <w:p w14:paraId="5C808FC6" w14:textId="77777777" w:rsidR="000B4BD4" w:rsidRPr="0035187E" w:rsidRDefault="000B4BD4" w:rsidP="0035187E">
            <w:pPr>
              <w:tabs>
                <w:tab w:val="left" w:pos="851"/>
              </w:tabs>
              <w:ind w:firstLine="4"/>
              <w:jc w:val="both"/>
              <w:rPr>
                <w:rFonts w:ascii="Times New Roman" w:hAnsi="Times New Roman" w:cs="Times New Roman"/>
                <w:sz w:val="20"/>
                <w:szCs w:val="20"/>
              </w:rPr>
            </w:pPr>
            <w:r w:rsidRPr="0035187E">
              <w:rPr>
                <w:rFonts w:ascii="Times New Roman" w:hAnsi="Times New Roman" w:cs="Times New Roman"/>
                <w:sz w:val="20"/>
                <w:szCs w:val="20"/>
              </w:rPr>
              <w:t>f)</w:t>
            </w:r>
            <w:r w:rsidRPr="0035187E">
              <w:rPr>
                <w:rFonts w:ascii="Times New Roman" w:hAnsi="Times New Roman" w:cs="Times New Roman"/>
                <w:sz w:val="20"/>
                <w:szCs w:val="20"/>
              </w:rPr>
              <w:tab/>
              <w:t>příspěvkové organizace,</w:t>
            </w:r>
          </w:p>
          <w:p w14:paraId="4B18794B" w14:textId="77777777" w:rsidR="000B4BD4" w:rsidRPr="0035187E" w:rsidRDefault="000B4BD4" w:rsidP="0035187E">
            <w:pPr>
              <w:tabs>
                <w:tab w:val="left" w:pos="851"/>
              </w:tabs>
              <w:ind w:firstLine="4"/>
              <w:jc w:val="both"/>
              <w:rPr>
                <w:rFonts w:ascii="Times New Roman" w:hAnsi="Times New Roman" w:cs="Times New Roman"/>
                <w:sz w:val="20"/>
                <w:szCs w:val="20"/>
              </w:rPr>
            </w:pPr>
            <w:r w:rsidRPr="0035187E">
              <w:rPr>
                <w:rFonts w:ascii="Times New Roman" w:hAnsi="Times New Roman" w:cs="Times New Roman"/>
                <w:sz w:val="20"/>
                <w:szCs w:val="20"/>
              </w:rPr>
              <w:t>g)</w:t>
            </w:r>
            <w:r w:rsidRPr="0035187E">
              <w:rPr>
                <w:rFonts w:ascii="Times New Roman" w:hAnsi="Times New Roman" w:cs="Times New Roman"/>
                <w:sz w:val="20"/>
                <w:szCs w:val="20"/>
              </w:rPr>
              <w:tab/>
              <w:t>České národní banky,</w:t>
            </w:r>
          </w:p>
          <w:p w14:paraId="04F20E56" w14:textId="77777777" w:rsidR="000B4BD4" w:rsidRPr="0035187E" w:rsidRDefault="000B4BD4" w:rsidP="0035187E">
            <w:pPr>
              <w:tabs>
                <w:tab w:val="left" w:pos="851"/>
              </w:tabs>
              <w:ind w:firstLine="4"/>
              <w:jc w:val="both"/>
              <w:rPr>
                <w:rFonts w:ascii="Times New Roman" w:eastAsia="Calibri" w:hAnsi="Times New Roman" w:cs="Times New Roman"/>
                <w:bCs/>
                <w:sz w:val="20"/>
                <w:szCs w:val="20"/>
                <w:shd w:val="clear" w:color="auto" w:fill="FFFFFF"/>
                <w:lang w:eastAsia="en-US"/>
              </w:rPr>
            </w:pPr>
            <w:r w:rsidRPr="0035187E">
              <w:rPr>
                <w:rFonts w:ascii="Times New Roman" w:hAnsi="Times New Roman" w:cs="Times New Roman"/>
                <w:sz w:val="20"/>
                <w:szCs w:val="20"/>
              </w:rPr>
              <w:t>h)</w:t>
            </w:r>
            <w:r w:rsidRPr="0035187E">
              <w:rPr>
                <w:rFonts w:ascii="Times New Roman" w:hAnsi="Times New Roman" w:cs="Times New Roman"/>
                <w:sz w:val="20"/>
                <w:szCs w:val="20"/>
              </w:rPr>
              <w:tab/>
              <w:t>držitele poštovní licence.</w:t>
            </w:r>
            <w:r w:rsidRPr="0035187E">
              <w:rPr>
                <w:rFonts w:ascii="Times New Roman" w:eastAsia="Calibri" w:hAnsi="Times New Roman" w:cs="Times New Roman"/>
                <w:bCs/>
                <w:sz w:val="20"/>
                <w:szCs w:val="20"/>
                <w:lang w:eastAsia="en-US"/>
              </w:rPr>
              <w:t>“.</w:t>
            </w:r>
          </w:p>
          <w:p w14:paraId="551CB5C9" w14:textId="77777777" w:rsidR="000B4BD4" w:rsidRPr="0035187E" w:rsidRDefault="000B4BD4" w:rsidP="0035187E">
            <w:pPr>
              <w:tabs>
                <w:tab w:val="left" w:pos="851"/>
              </w:tabs>
              <w:ind w:hanging="284"/>
              <w:jc w:val="both"/>
              <w:rPr>
                <w:rFonts w:ascii="Times New Roman" w:hAnsi="Times New Roman" w:cs="Times New Roman"/>
                <w:sz w:val="20"/>
                <w:szCs w:val="20"/>
              </w:rPr>
            </w:pPr>
          </w:p>
          <w:p w14:paraId="4976B0DE" w14:textId="77777777" w:rsidR="000B4BD4" w:rsidRPr="0035187E" w:rsidRDefault="000B4BD4" w:rsidP="0035187E">
            <w:pPr>
              <w:jc w:val="both"/>
              <w:rPr>
                <w:rFonts w:ascii="Times New Roman" w:eastAsia="Calibri" w:hAnsi="Times New Roman" w:cs="Times New Roman"/>
                <w:bCs/>
                <w:i/>
                <w:sz w:val="20"/>
                <w:szCs w:val="20"/>
                <w:u w:val="single"/>
                <w:shd w:val="clear" w:color="auto" w:fill="FFFFFF"/>
                <w:lang w:eastAsia="en-US"/>
              </w:rPr>
            </w:pPr>
            <w:r w:rsidRPr="0035187E">
              <w:rPr>
                <w:rFonts w:ascii="Times New Roman" w:eastAsia="Calibri" w:hAnsi="Times New Roman" w:cs="Times New Roman"/>
                <w:bCs/>
                <w:i/>
                <w:sz w:val="20"/>
                <w:szCs w:val="20"/>
                <w:u w:val="single"/>
                <w:lang w:eastAsia="en-US"/>
              </w:rPr>
              <w:t>Odůvodnění:</w:t>
            </w:r>
          </w:p>
          <w:p w14:paraId="696C0E1C" w14:textId="77777777" w:rsidR="000B4BD4" w:rsidRPr="0035187E" w:rsidRDefault="000B4BD4" w:rsidP="0035187E">
            <w:pPr>
              <w:jc w:val="both"/>
              <w:rPr>
                <w:rFonts w:ascii="Times New Roman" w:eastAsia="Calibri" w:hAnsi="Times New Roman" w:cs="Times New Roman"/>
                <w:bCs/>
                <w:sz w:val="20"/>
                <w:szCs w:val="20"/>
                <w:shd w:val="clear" w:color="auto" w:fill="FFFFFF"/>
                <w:lang w:eastAsia="en-US"/>
              </w:rPr>
            </w:pPr>
            <w:r w:rsidRPr="0035187E">
              <w:rPr>
                <w:rFonts w:ascii="Times New Roman" w:eastAsia="Calibri" w:hAnsi="Times New Roman" w:cs="Times New Roman"/>
                <w:bCs/>
                <w:sz w:val="20"/>
                <w:szCs w:val="20"/>
                <w:lang w:eastAsia="en-US"/>
              </w:rPr>
              <w:t>Podle důvodové zprávy je zákon koncipován takovým způsobem, že přímo vyjímá z povinnosti evidence tržeb takové podnikatelské segmenty, které již podléhají regulaci na základě jiných předpisů, jsou financovány z veřejných zdrojů nebo působí v oblasti veřejně prospěšných činností.</w:t>
            </w:r>
          </w:p>
          <w:p w14:paraId="716643BA" w14:textId="77777777" w:rsidR="000B4BD4" w:rsidRPr="0035187E" w:rsidRDefault="000B4BD4" w:rsidP="0035187E">
            <w:pPr>
              <w:jc w:val="both"/>
              <w:rPr>
                <w:rFonts w:ascii="Times New Roman" w:eastAsia="Calibri" w:hAnsi="Times New Roman" w:cs="Times New Roman"/>
                <w:bCs/>
                <w:sz w:val="20"/>
                <w:szCs w:val="20"/>
                <w:shd w:val="clear" w:color="auto" w:fill="FFFFFF"/>
                <w:lang w:eastAsia="en-US"/>
              </w:rPr>
            </w:pPr>
            <w:r w:rsidRPr="0035187E">
              <w:rPr>
                <w:rFonts w:ascii="Times New Roman" w:eastAsia="Calibri" w:hAnsi="Times New Roman" w:cs="Times New Roman"/>
                <w:bCs/>
                <w:sz w:val="20"/>
                <w:szCs w:val="20"/>
                <w:lang w:eastAsia="en-US"/>
              </w:rPr>
              <w:t>Tato charakteristika platí také pro dobrovolné svazky obcí a místní akční skupiny, které podléhají přezkumu hospodaření, resp. povinným auditům. Z podstaty jde přitom o veřejně prospěšné poplatníky. K naplňování veřejného zájmu mohou územní samosprávné celky zřídit či založit další právnické osoby, obvykle obchodní korporace – vykonávají roli např. technických služeb, provozovatelů a správců veřejných sportovišť apod.</w:t>
            </w:r>
          </w:p>
          <w:p w14:paraId="19BBDC2F" w14:textId="70E77866" w:rsidR="000B4BD4" w:rsidRPr="0035187E" w:rsidRDefault="000B4BD4" w:rsidP="0035187E">
            <w:pPr>
              <w:ind w:firstLine="708"/>
              <w:jc w:val="both"/>
              <w:rPr>
                <w:rFonts w:ascii="Times New Roman" w:hAnsi="Times New Roman" w:cs="Times New Roman"/>
                <w:sz w:val="20"/>
                <w:szCs w:val="20"/>
              </w:rPr>
            </w:pPr>
            <w:r w:rsidRPr="0035187E">
              <w:rPr>
                <w:rFonts w:ascii="Times New Roman" w:eastAsia="Calibri" w:hAnsi="Times New Roman" w:cs="Times New Roman"/>
                <w:b/>
                <w:bCs/>
                <w:i/>
                <w:sz w:val="20"/>
                <w:szCs w:val="20"/>
                <w:lang w:eastAsia="en-US"/>
              </w:rPr>
              <w:t>Tato připomínka je zásadní.</w:t>
            </w:r>
          </w:p>
        </w:tc>
        <w:tc>
          <w:tcPr>
            <w:tcW w:w="1453" w:type="pct"/>
            <w:tcBorders>
              <w:top w:val="single" w:sz="4" w:space="0" w:color="auto"/>
              <w:left w:val="single" w:sz="4" w:space="0" w:color="auto"/>
              <w:right w:val="single" w:sz="4" w:space="0" w:color="auto"/>
            </w:tcBorders>
            <w:shd w:val="clear" w:color="auto" w:fill="auto"/>
          </w:tcPr>
          <w:p w14:paraId="792E700E" w14:textId="0BD6FDEB" w:rsidR="000B4BD4" w:rsidRPr="00C069F6" w:rsidRDefault="000B4BD4" w:rsidP="0035187E">
            <w:pPr>
              <w:jc w:val="both"/>
              <w:rPr>
                <w:rFonts w:ascii="Times New Roman" w:hAnsi="Times New Roman" w:cs="Times New Roman"/>
                <w:b/>
                <w:iCs/>
                <w:sz w:val="20"/>
                <w:szCs w:val="20"/>
              </w:rPr>
            </w:pPr>
            <w:r w:rsidRPr="00C069F6">
              <w:rPr>
                <w:rFonts w:ascii="Times New Roman" w:hAnsi="Times New Roman" w:cs="Times New Roman"/>
                <w:b/>
                <w:iCs/>
                <w:sz w:val="20"/>
                <w:szCs w:val="20"/>
              </w:rPr>
              <w:lastRenderedPageBreak/>
              <w:t>Vyhověno částečně.</w:t>
            </w:r>
          </w:p>
          <w:p w14:paraId="1B0ACA97" w14:textId="77777777" w:rsidR="000B4BD4" w:rsidRPr="00C069F6" w:rsidRDefault="000B4BD4" w:rsidP="0035187E">
            <w:pPr>
              <w:jc w:val="both"/>
              <w:rPr>
                <w:rFonts w:ascii="Times New Roman" w:hAnsi="Times New Roman" w:cs="Times New Roman"/>
                <w:iCs/>
                <w:sz w:val="20"/>
                <w:szCs w:val="20"/>
              </w:rPr>
            </w:pPr>
            <w:r w:rsidRPr="00C069F6">
              <w:rPr>
                <w:rFonts w:ascii="Times New Roman" w:hAnsi="Times New Roman" w:cs="Times New Roman"/>
                <w:iCs/>
                <w:sz w:val="20"/>
                <w:szCs w:val="20"/>
              </w:rPr>
              <w:t>Materiál byl upraven ve prospěch doplnění dobrovolného svazku obcí.</w:t>
            </w:r>
          </w:p>
          <w:p w14:paraId="6B766D4A" w14:textId="77777777" w:rsidR="000B4BD4" w:rsidRPr="00C069F6" w:rsidRDefault="000B4BD4" w:rsidP="0035187E">
            <w:pPr>
              <w:jc w:val="both"/>
              <w:rPr>
                <w:rFonts w:ascii="Times New Roman" w:hAnsi="Times New Roman" w:cs="Times New Roman"/>
                <w:iCs/>
                <w:sz w:val="20"/>
                <w:szCs w:val="20"/>
              </w:rPr>
            </w:pPr>
            <w:r w:rsidRPr="00C069F6">
              <w:rPr>
                <w:rFonts w:ascii="Times New Roman" w:hAnsi="Times New Roman" w:cs="Times New Roman"/>
                <w:iCs/>
                <w:sz w:val="20"/>
                <w:szCs w:val="20"/>
              </w:rPr>
              <w:t xml:space="preserve">Pro nestátní neziskové organizace platí obdobná východiska jako pro jiné obdobné subjekty. Předkladatel tedy nevidí důvod pro jejich plošné (paušální) vynětí, jakkoli jim mohou částečně svědčit další výjimky (viz § 13 návrhu). Pro subjekty, které nejsou </w:t>
            </w:r>
            <w:r w:rsidRPr="00C069F6">
              <w:rPr>
                <w:rFonts w:ascii="Times New Roman" w:hAnsi="Times New Roman" w:cs="Times New Roman"/>
                <w:iCs/>
                <w:sz w:val="20"/>
                <w:szCs w:val="20"/>
              </w:rPr>
              <w:lastRenderedPageBreak/>
              <w:t>neziskového charakteru, výše uvedené platí dvojnásob. Navíc zde nastupuje i aspekt rovného a nediskriminačního přístupu k osobám v obdobném postavení.</w:t>
            </w:r>
          </w:p>
          <w:p w14:paraId="27AC2DF2" w14:textId="77777777" w:rsidR="00A55A85" w:rsidRPr="00C069F6" w:rsidRDefault="00A55A85" w:rsidP="0035187E">
            <w:pPr>
              <w:jc w:val="both"/>
              <w:rPr>
                <w:rFonts w:ascii="Times New Roman" w:hAnsi="Times New Roman" w:cs="Times New Roman"/>
                <w:iCs/>
                <w:sz w:val="20"/>
                <w:szCs w:val="20"/>
              </w:rPr>
            </w:pPr>
          </w:p>
          <w:p w14:paraId="4A216869" w14:textId="69830F8E" w:rsidR="00A55A85" w:rsidRPr="00C069F6" w:rsidRDefault="00A55A85" w:rsidP="0035187E">
            <w:pPr>
              <w:jc w:val="both"/>
              <w:rPr>
                <w:rFonts w:ascii="Times New Roman" w:hAnsi="Times New Roman" w:cs="Times New Roman"/>
                <w:i/>
                <w:iCs/>
                <w:sz w:val="20"/>
                <w:szCs w:val="20"/>
              </w:rPr>
            </w:pPr>
            <w:r w:rsidRPr="00C069F6">
              <w:rPr>
                <w:rFonts w:ascii="Times New Roman" w:hAnsi="Times New Roman" w:cs="Times New Roman"/>
                <w:i/>
                <w:iCs/>
                <w:sz w:val="20"/>
                <w:szCs w:val="20"/>
              </w:rPr>
              <w:t>Vyjádření připomínkového místa: Přílohou vypořádání není aktualizovaná verze materiálu, a tak nemůžeme připomínku považovat za vypořádanou.</w:t>
            </w:r>
          </w:p>
          <w:p w14:paraId="0735C604" w14:textId="77777777" w:rsidR="00A55A85" w:rsidRPr="00C069F6" w:rsidRDefault="00A55A85" w:rsidP="0035187E">
            <w:pPr>
              <w:jc w:val="both"/>
              <w:rPr>
                <w:rFonts w:ascii="Times New Roman" w:hAnsi="Times New Roman" w:cs="Times New Roman"/>
                <w:i/>
                <w:iCs/>
                <w:sz w:val="20"/>
                <w:szCs w:val="20"/>
              </w:rPr>
            </w:pPr>
            <w:r w:rsidRPr="00C069F6">
              <w:rPr>
                <w:rFonts w:ascii="Times New Roman" w:hAnsi="Times New Roman" w:cs="Times New Roman"/>
                <w:i/>
                <w:iCs/>
                <w:sz w:val="20"/>
                <w:szCs w:val="20"/>
              </w:rPr>
              <w:t xml:space="preserve">I nadále nicméně trváme na výjimkách pro právnické osoby ovládané územními samosprávnými celky. Tyto osoby nelze považovat za osoby v obdobném postavení s čistě soukromoprávními podnikajícími osobami. </w:t>
            </w:r>
          </w:p>
          <w:p w14:paraId="42B175B6" w14:textId="77777777" w:rsidR="00C069F6" w:rsidRPr="00C069F6" w:rsidRDefault="00C069F6" w:rsidP="0035187E">
            <w:pPr>
              <w:jc w:val="both"/>
              <w:rPr>
                <w:rFonts w:ascii="Times New Roman" w:hAnsi="Times New Roman" w:cs="Times New Roman"/>
                <w:i/>
                <w:iCs/>
                <w:sz w:val="20"/>
                <w:szCs w:val="20"/>
              </w:rPr>
            </w:pPr>
          </w:p>
          <w:p w14:paraId="56FAB065" w14:textId="6988DDCA" w:rsidR="009402FF" w:rsidRPr="00C069F6" w:rsidRDefault="009402FF" w:rsidP="0035187E">
            <w:pPr>
              <w:jc w:val="both"/>
              <w:rPr>
                <w:rFonts w:ascii="Times New Roman" w:hAnsi="Times New Roman" w:cs="Times New Roman"/>
                <w:sz w:val="20"/>
                <w:szCs w:val="20"/>
              </w:rPr>
            </w:pPr>
            <w:r w:rsidRPr="00C069F6">
              <w:rPr>
                <w:rFonts w:ascii="Times New Roman" w:hAnsi="Times New Roman" w:cs="Times New Roman"/>
                <w:i/>
                <w:iCs/>
                <w:sz w:val="20"/>
                <w:szCs w:val="20"/>
              </w:rPr>
              <w:t>Připomínkové místo v</w:t>
            </w:r>
            <w:r w:rsidR="0043249F" w:rsidRPr="00C069F6">
              <w:rPr>
                <w:rFonts w:ascii="Times New Roman" w:hAnsi="Times New Roman" w:cs="Times New Roman"/>
                <w:i/>
                <w:iCs/>
                <w:sz w:val="20"/>
                <w:szCs w:val="20"/>
              </w:rPr>
              <w:t xml:space="preserve"> dohodnutém </w:t>
            </w:r>
            <w:r w:rsidRPr="00C069F6">
              <w:rPr>
                <w:rFonts w:ascii="Times New Roman" w:hAnsi="Times New Roman" w:cs="Times New Roman"/>
                <w:i/>
                <w:iCs/>
                <w:sz w:val="20"/>
                <w:szCs w:val="20"/>
              </w:rPr>
              <w:t>termínu pro finální</w:t>
            </w:r>
            <w:r w:rsidR="0043249F" w:rsidRPr="00C069F6">
              <w:rPr>
                <w:rFonts w:ascii="Times New Roman" w:hAnsi="Times New Roman" w:cs="Times New Roman"/>
                <w:i/>
                <w:iCs/>
                <w:sz w:val="20"/>
                <w:szCs w:val="20"/>
              </w:rPr>
              <w:t xml:space="preserve"> vyjádření, zda rozpor trvá, neposlalo žádnou reakci. Materiál je proto předložen bez rozporu.</w:t>
            </w:r>
          </w:p>
        </w:tc>
      </w:tr>
      <w:tr w:rsidR="0035187E" w:rsidRPr="0035187E" w14:paraId="01BAFF82"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BEA0354" w14:textId="4996A3F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70.</w:t>
            </w:r>
          </w:p>
        </w:tc>
        <w:tc>
          <w:tcPr>
            <w:tcW w:w="583" w:type="pct"/>
            <w:tcBorders>
              <w:top w:val="single" w:sz="4" w:space="0" w:color="auto"/>
              <w:left w:val="single" w:sz="4" w:space="0" w:color="auto"/>
              <w:right w:val="single" w:sz="4" w:space="0" w:color="auto"/>
            </w:tcBorders>
            <w:shd w:val="clear" w:color="auto" w:fill="auto"/>
          </w:tcPr>
          <w:p w14:paraId="0B8EA09C" w14:textId="331CD68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Sdružení místních samospráv ČR</w:t>
            </w:r>
          </w:p>
        </w:tc>
        <w:tc>
          <w:tcPr>
            <w:tcW w:w="168" w:type="pct"/>
            <w:tcBorders>
              <w:top w:val="single" w:sz="4" w:space="0" w:color="auto"/>
              <w:left w:val="single" w:sz="4" w:space="0" w:color="auto"/>
              <w:right w:val="single" w:sz="4" w:space="0" w:color="auto"/>
            </w:tcBorders>
            <w:shd w:val="clear" w:color="auto" w:fill="auto"/>
          </w:tcPr>
          <w:p w14:paraId="79B43425" w14:textId="6616977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3.</w:t>
            </w:r>
          </w:p>
        </w:tc>
        <w:tc>
          <w:tcPr>
            <w:tcW w:w="169" w:type="pct"/>
            <w:tcBorders>
              <w:top w:val="single" w:sz="4" w:space="0" w:color="auto"/>
              <w:left w:val="single" w:sz="4" w:space="0" w:color="auto"/>
              <w:right w:val="single" w:sz="4" w:space="0" w:color="auto"/>
            </w:tcBorders>
            <w:shd w:val="clear" w:color="auto" w:fill="auto"/>
          </w:tcPr>
          <w:p w14:paraId="1141677B" w14:textId="0BBE483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3F151FC" w14:textId="77777777" w:rsidR="000B4BD4" w:rsidRPr="0035187E" w:rsidRDefault="000B4BD4" w:rsidP="0035187E">
            <w:pPr>
              <w:jc w:val="both"/>
              <w:rPr>
                <w:rFonts w:ascii="Times New Roman" w:eastAsia="Calibri" w:hAnsi="Times New Roman" w:cs="Times New Roman"/>
                <w:b/>
                <w:bCs/>
                <w:sz w:val="20"/>
                <w:szCs w:val="20"/>
                <w:shd w:val="clear" w:color="auto" w:fill="FFFFFF"/>
                <w:lang w:eastAsia="en-US"/>
              </w:rPr>
            </w:pPr>
            <w:r w:rsidRPr="0035187E">
              <w:rPr>
                <w:rFonts w:ascii="Times New Roman" w:eastAsia="Calibri" w:hAnsi="Times New Roman" w:cs="Times New Roman"/>
                <w:b/>
                <w:bCs/>
                <w:sz w:val="20"/>
                <w:szCs w:val="20"/>
                <w:lang w:eastAsia="en-US"/>
              </w:rPr>
              <w:t>Připomínka č. 3 k Části první, § 12, a Části druhé</w:t>
            </w:r>
          </w:p>
          <w:p w14:paraId="1F998766" w14:textId="77777777" w:rsidR="000B4BD4" w:rsidRPr="0035187E" w:rsidRDefault="000B4BD4" w:rsidP="0035187E">
            <w:pPr>
              <w:jc w:val="both"/>
              <w:rPr>
                <w:rFonts w:ascii="Times New Roman" w:eastAsia="Calibri" w:hAnsi="Times New Roman" w:cs="Times New Roman"/>
                <w:bCs/>
                <w:sz w:val="20"/>
                <w:szCs w:val="20"/>
                <w:shd w:val="clear" w:color="auto" w:fill="FFFFFF"/>
                <w:lang w:eastAsia="en-US"/>
              </w:rPr>
            </w:pPr>
          </w:p>
          <w:p w14:paraId="2BE2FD5A" w14:textId="34258CDB" w:rsidR="000B4BD4" w:rsidRPr="0035187E" w:rsidRDefault="000B4BD4" w:rsidP="0035187E">
            <w:pPr>
              <w:jc w:val="both"/>
              <w:rPr>
                <w:rFonts w:ascii="Times New Roman" w:eastAsia="Calibri" w:hAnsi="Times New Roman" w:cs="Times New Roman"/>
                <w:bCs/>
                <w:sz w:val="20"/>
                <w:szCs w:val="20"/>
                <w:lang w:eastAsia="en-US"/>
              </w:rPr>
            </w:pPr>
            <w:r w:rsidRPr="0035187E">
              <w:rPr>
                <w:rFonts w:ascii="Times New Roman" w:eastAsia="Calibri" w:hAnsi="Times New Roman" w:cs="Times New Roman"/>
                <w:bCs/>
                <w:sz w:val="20"/>
                <w:szCs w:val="20"/>
                <w:lang w:eastAsia="en-US"/>
              </w:rPr>
              <w:t xml:space="preserve">Požadujeme, aby předkladatel vedle režimu zprošťujícího od povinnosti evidovat tržby pro fyzické osoby vytvořil obdobný režim i pro právnické osoby. </w:t>
            </w:r>
          </w:p>
          <w:p w14:paraId="017029F7" w14:textId="77777777" w:rsidR="000B4BD4" w:rsidRPr="0035187E" w:rsidRDefault="000B4BD4" w:rsidP="0035187E">
            <w:pPr>
              <w:jc w:val="both"/>
              <w:rPr>
                <w:rFonts w:ascii="Times New Roman" w:eastAsia="Calibri" w:hAnsi="Times New Roman" w:cs="Times New Roman"/>
                <w:bCs/>
                <w:i/>
                <w:sz w:val="20"/>
                <w:szCs w:val="20"/>
                <w:u w:val="single"/>
                <w:shd w:val="clear" w:color="auto" w:fill="FFFFFF"/>
                <w:lang w:eastAsia="en-US"/>
              </w:rPr>
            </w:pPr>
          </w:p>
          <w:p w14:paraId="3E1E2024" w14:textId="5FEC25BA" w:rsidR="000B4BD4" w:rsidRPr="0035187E" w:rsidRDefault="000B4BD4" w:rsidP="0035187E">
            <w:pPr>
              <w:jc w:val="both"/>
              <w:rPr>
                <w:rFonts w:ascii="Times New Roman" w:eastAsia="Calibri" w:hAnsi="Times New Roman" w:cs="Times New Roman"/>
                <w:bCs/>
                <w:i/>
                <w:sz w:val="20"/>
                <w:szCs w:val="20"/>
                <w:u w:val="single"/>
                <w:shd w:val="clear" w:color="auto" w:fill="FFFFFF"/>
                <w:lang w:eastAsia="en-US"/>
              </w:rPr>
            </w:pPr>
            <w:r w:rsidRPr="0035187E">
              <w:rPr>
                <w:rFonts w:ascii="Times New Roman" w:eastAsia="Calibri" w:hAnsi="Times New Roman" w:cs="Times New Roman"/>
                <w:bCs/>
                <w:i/>
                <w:sz w:val="20"/>
                <w:szCs w:val="20"/>
                <w:u w:val="single"/>
                <w:shd w:val="clear" w:color="auto" w:fill="FFFFFF"/>
                <w:lang w:eastAsia="en-US"/>
              </w:rPr>
              <w:t>Odůvodnění:</w:t>
            </w:r>
          </w:p>
          <w:p w14:paraId="24C3D2A2" w14:textId="77777777" w:rsidR="000B4BD4" w:rsidRPr="0035187E" w:rsidRDefault="000B4BD4" w:rsidP="0035187E">
            <w:pPr>
              <w:jc w:val="both"/>
              <w:rPr>
                <w:rFonts w:ascii="Times New Roman" w:eastAsia="Calibri" w:hAnsi="Times New Roman" w:cs="Times New Roman"/>
                <w:bCs/>
                <w:sz w:val="20"/>
                <w:szCs w:val="20"/>
                <w:shd w:val="clear" w:color="auto" w:fill="FFFFFF"/>
                <w:lang w:eastAsia="en-US"/>
              </w:rPr>
            </w:pPr>
            <w:r w:rsidRPr="0035187E">
              <w:rPr>
                <w:rFonts w:ascii="Times New Roman" w:eastAsia="Calibri" w:hAnsi="Times New Roman" w:cs="Times New Roman"/>
                <w:bCs/>
                <w:sz w:val="20"/>
                <w:szCs w:val="20"/>
                <w:shd w:val="clear" w:color="auto" w:fill="FFFFFF"/>
                <w:lang w:eastAsia="en-US"/>
              </w:rPr>
              <w:t>Důvodová zpráva uvádí, že povinnost evidence tržeb by neměla představovat neúměrnou administrativní zátěž pro nejmenší poplatníky s příjmy ze samostatné činnosti. Předkladatel však opomíjí, že takovými poplatníky mohou být nejen fyzické osoby podnikající, ale i právnické osoby, které nemohou být poplatníky v paušálním režimu. Může se jednat např. o malé venkovské prodejny samoobsluhy, sezónní stánky s občerstvením apod.</w:t>
            </w:r>
          </w:p>
          <w:p w14:paraId="07744442" w14:textId="77777777" w:rsidR="000B4BD4" w:rsidRPr="0035187E" w:rsidRDefault="000B4BD4" w:rsidP="0035187E">
            <w:pPr>
              <w:jc w:val="both"/>
              <w:rPr>
                <w:rFonts w:ascii="Times New Roman" w:eastAsia="Calibri" w:hAnsi="Times New Roman" w:cs="Times New Roman"/>
                <w:bCs/>
                <w:sz w:val="20"/>
                <w:szCs w:val="20"/>
                <w:shd w:val="clear" w:color="auto" w:fill="FFFFFF"/>
                <w:lang w:eastAsia="en-US"/>
              </w:rPr>
            </w:pPr>
            <w:r w:rsidRPr="0035187E">
              <w:rPr>
                <w:rFonts w:ascii="Times New Roman" w:eastAsia="Calibri" w:hAnsi="Times New Roman" w:cs="Times New Roman"/>
                <w:bCs/>
                <w:sz w:val="20"/>
                <w:szCs w:val="20"/>
                <w:shd w:val="clear" w:color="auto" w:fill="FFFFFF"/>
                <w:lang w:eastAsia="en-US"/>
              </w:rPr>
              <w:t>I takovým poplatníkům by (v zájmu redukce administrativní zátěže, v zájmu rozvoje venkova apod.) nepochybně měla být zákonodárcem nabídnuta možnost vyhnout se povinnosti evidovat tržby z kontaktních plateb.</w:t>
            </w:r>
          </w:p>
          <w:p w14:paraId="152B8CDD" w14:textId="33CE9D0F" w:rsidR="000B4BD4" w:rsidRPr="0035187E" w:rsidRDefault="000B4BD4" w:rsidP="0035187E">
            <w:pPr>
              <w:ind w:firstLine="708"/>
              <w:jc w:val="both"/>
              <w:rPr>
                <w:rFonts w:ascii="Times New Roman" w:hAnsi="Times New Roman" w:cs="Times New Roman"/>
                <w:sz w:val="20"/>
                <w:szCs w:val="20"/>
              </w:rPr>
            </w:pPr>
            <w:r w:rsidRPr="0035187E">
              <w:rPr>
                <w:rFonts w:ascii="Times New Roman" w:eastAsia="Calibri" w:hAnsi="Times New Roman" w:cs="Times New Roman"/>
                <w:b/>
                <w:bCs/>
                <w:i/>
                <w:sz w:val="20"/>
                <w:szCs w:val="20"/>
                <w:shd w:val="clear" w:color="auto" w:fill="FFFFFF"/>
                <w:lang w:eastAsia="en-US"/>
              </w:rPr>
              <w:t>Tato připomínka je zásadní.</w:t>
            </w:r>
          </w:p>
        </w:tc>
        <w:tc>
          <w:tcPr>
            <w:tcW w:w="1453" w:type="pct"/>
            <w:tcBorders>
              <w:top w:val="single" w:sz="4" w:space="0" w:color="auto"/>
              <w:left w:val="single" w:sz="4" w:space="0" w:color="auto"/>
              <w:right w:val="single" w:sz="4" w:space="0" w:color="auto"/>
            </w:tcBorders>
            <w:shd w:val="clear" w:color="auto" w:fill="auto"/>
          </w:tcPr>
          <w:p w14:paraId="79049AC1" w14:textId="77777777" w:rsidR="000B4BD4" w:rsidRPr="0035187E" w:rsidRDefault="000B4BD4" w:rsidP="0035187E">
            <w:pPr>
              <w:jc w:val="both"/>
              <w:rPr>
                <w:rFonts w:ascii="Times New Roman" w:hAnsi="Times New Roman" w:cs="Times New Roman"/>
                <w:b/>
                <w:iCs/>
                <w:sz w:val="20"/>
                <w:szCs w:val="20"/>
              </w:rPr>
            </w:pPr>
            <w:r w:rsidRPr="0035187E">
              <w:rPr>
                <w:rFonts w:ascii="Times New Roman" w:hAnsi="Times New Roman" w:cs="Times New Roman"/>
                <w:b/>
                <w:iCs/>
                <w:sz w:val="20"/>
                <w:szCs w:val="20"/>
              </w:rPr>
              <w:t>Nevyhověno.</w:t>
            </w:r>
          </w:p>
          <w:p w14:paraId="6FB8E9E9" w14:textId="77777777" w:rsidR="000B4BD4" w:rsidRPr="0035187E" w:rsidRDefault="000B4BD4"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Pro právnické osoby na rozdíl od osob fyzických neexistuje institut paušální daně, na který je výjimka nazývaná jako EET OFF navázána. Bez existence mechanismu paušální daně není možné obdobně konstruovanou výjimku z povahy věci vytvořit. Navržené řešení tak odpovídá rozdílnému přístupu k fyzickým a právnickým osobám v rámci zákona o daních z příjmů.</w:t>
            </w:r>
          </w:p>
          <w:p w14:paraId="2A3AB861" w14:textId="77777777" w:rsidR="00A55A85" w:rsidRPr="0035187E" w:rsidRDefault="00A55A85" w:rsidP="0035187E">
            <w:pPr>
              <w:jc w:val="both"/>
              <w:rPr>
                <w:rFonts w:ascii="Times New Roman" w:hAnsi="Times New Roman" w:cs="Times New Roman"/>
                <w:iCs/>
                <w:sz w:val="20"/>
                <w:szCs w:val="20"/>
              </w:rPr>
            </w:pPr>
          </w:p>
          <w:p w14:paraId="1F10E7F9" w14:textId="046DF0D8" w:rsidR="00A55A85" w:rsidRPr="00C069F6" w:rsidRDefault="00A55A85"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 xml:space="preserve">Vyjádření připomínkového místa: Plně rozumíme tomu, že výjimku pro právnické osoby nelze konstruovat na totožném principu, jako výjimku pro fyzické osoby. Považujeme však za nezbytné, aby určitá výjimka pro právnické osoby (viz. příklady uvedené v připomínce) </w:t>
            </w:r>
            <w:r w:rsidRPr="00C069F6">
              <w:rPr>
                <w:rFonts w:ascii="Times New Roman" w:hAnsi="Times New Roman" w:cs="Times New Roman"/>
                <w:i/>
                <w:iCs/>
                <w:sz w:val="20"/>
                <w:szCs w:val="20"/>
              </w:rPr>
              <w:t xml:space="preserve">existovala. </w:t>
            </w:r>
          </w:p>
          <w:p w14:paraId="61A672D8" w14:textId="77777777" w:rsidR="0043249F" w:rsidRPr="00C069F6" w:rsidRDefault="0043249F" w:rsidP="0035187E">
            <w:pPr>
              <w:jc w:val="both"/>
              <w:rPr>
                <w:rFonts w:ascii="Times New Roman" w:hAnsi="Times New Roman" w:cs="Times New Roman"/>
                <w:i/>
                <w:iCs/>
                <w:sz w:val="20"/>
                <w:szCs w:val="20"/>
              </w:rPr>
            </w:pPr>
          </w:p>
          <w:p w14:paraId="42C7B015" w14:textId="18D0C2A8" w:rsidR="0043249F" w:rsidRPr="0035187E" w:rsidRDefault="0043249F" w:rsidP="0035187E">
            <w:pPr>
              <w:jc w:val="both"/>
              <w:rPr>
                <w:rFonts w:ascii="Times New Roman" w:hAnsi="Times New Roman" w:cs="Times New Roman"/>
                <w:i/>
                <w:iCs/>
                <w:sz w:val="20"/>
                <w:szCs w:val="20"/>
              </w:rPr>
            </w:pPr>
            <w:r w:rsidRPr="00C069F6">
              <w:rPr>
                <w:rFonts w:ascii="Times New Roman" w:hAnsi="Times New Roman" w:cs="Times New Roman"/>
                <w:i/>
                <w:iCs/>
                <w:sz w:val="20"/>
                <w:szCs w:val="20"/>
              </w:rPr>
              <w:t>Připomínkové místo v dohodnutém termínu pro finální vyjádření, zda rozpor trvá, neposlalo žádnou reakci. Materiál je proto předložen bez rozporu.</w:t>
            </w:r>
          </w:p>
        </w:tc>
      </w:tr>
      <w:tr w:rsidR="0035187E" w:rsidRPr="0035187E" w14:paraId="5428AE13"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DE8C496" w14:textId="745EE1C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70.</w:t>
            </w:r>
          </w:p>
        </w:tc>
        <w:tc>
          <w:tcPr>
            <w:tcW w:w="583" w:type="pct"/>
            <w:tcBorders>
              <w:top w:val="single" w:sz="4" w:space="0" w:color="auto"/>
              <w:left w:val="single" w:sz="4" w:space="0" w:color="auto"/>
              <w:right w:val="single" w:sz="4" w:space="0" w:color="auto"/>
            </w:tcBorders>
            <w:shd w:val="clear" w:color="auto" w:fill="auto"/>
          </w:tcPr>
          <w:p w14:paraId="65CAAEB2" w14:textId="7709000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Sdružení místních samospráv ČR</w:t>
            </w:r>
          </w:p>
        </w:tc>
        <w:tc>
          <w:tcPr>
            <w:tcW w:w="168" w:type="pct"/>
            <w:tcBorders>
              <w:top w:val="single" w:sz="4" w:space="0" w:color="auto"/>
              <w:left w:val="single" w:sz="4" w:space="0" w:color="auto"/>
              <w:right w:val="single" w:sz="4" w:space="0" w:color="auto"/>
            </w:tcBorders>
            <w:shd w:val="clear" w:color="auto" w:fill="auto"/>
          </w:tcPr>
          <w:p w14:paraId="2B9CCB57" w14:textId="20190D8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w:t>
            </w:r>
          </w:p>
        </w:tc>
        <w:tc>
          <w:tcPr>
            <w:tcW w:w="169" w:type="pct"/>
            <w:tcBorders>
              <w:top w:val="single" w:sz="4" w:space="0" w:color="auto"/>
              <w:left w:val="single" w:sz="4" w:space="0" w:color="auto"/>
              <w:right w:val="single" w:sz="4" w:space="0" w:color="auto"/>
            </w:tcBorders>
            <w:shd w:val="clear" w:color="auto" w:fill="auto"/>
          </w:tcPr>
          <w:p w14:paraId="393198EE" w14:textId="7C28209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95FB7CC" w14:textId="77777777" w:rsidR="000B4BD4" w:rsidRPr="0035187E" w:rsidRDefault="000B4BD4" w:rsidP="0035187E">
            <w:pPr>
              <w:jc w:val="both"/>
              <w:rPr>
                <w:rFonts w:ascii="Times New Roman" w:eastAsia="Calibri" w:hAnsi="Times New Roman" w:cs="Times New Roman"/>
                <w:b/>
                <w:bCs/>
                <w:sz w:val="20"/>
                <w:szCs w:val="20"/>
                <w:shd w:val="clear" w:color="auto" w:fill="FFFFFF"/>
                <w:lang w:eastAsia="en-US"/>
              </w:rPr>
            </w:pPr>
            <w:r w:rsidRPr="0035187E">
              <w:rPr>
                <w:rFonts w:ascii="Times New Roman" w:eastAsia="Calibri" w:hAnsi="Times New Roman" w:cs="Times New Roman"/>
                <w:b/>
                <w:bCs/>
                <w:sz w:val="20"/>
                <w:szCs w:val="20"/>
                <w:shd w:val="clear" w:color="auto" w:fill="FFFFFF"/>
                <w:lang w:eastAsia="en-US"/>
              </w:rPr>
              <w:t>Připomínka č. 4 k Části první, § 13</w:t>
            </w:r>
          </w:p>
          <w:p w14:paraId="61E5E2F8" w14:textId="77777777" w:rsidR="000B4BD4" w:rsidRPr="0035187E" w:rsidRDefault="000B4BD4" w:rsidP="0035187E">
            <w:pPr>
              <w:jc w:val="both"/>
              <w:rPr>
                <w:rFonts w:ascii="Times New Roman" w:eastAsia="Calibri" w:hAnsi="Times New Roman" w:cs="Times New Roman"/>
                <w:bCs/>
                <w:sz w:val="20"/>
                <w:szCs w:val="20"/>
                <w:shd w:val="clear" w:color="auto" w:fill="FFFFFF"/>
                <w:lang w:eastAsia="en-US"/>
              </w:rPr>
            </w:pPr>
          </w:p>
          <w:p w14:paraId="581AD377" w14:textId="4ADEF2E3" w:rsidR="000B4BD4" w:rsidRPr="0035187E" w:rsidRDefault="000B4BD4" w:rsidP="0035187E">
            <w:pPr>
              <w:jc w:val="both"/>
              <w:rPr>
                <w:rFonts w:ascii="Times New Roman" w:eastAsia="Calibri" w:hAnsi="Times New Roman" w:cs="Times New Roman"/>
                <w:bCs/>
                <w:sz w:val="20"/>
                <w:szCs w:val="20"/>
                <w:shd w:val="clear" w:color="auto" w:fill="FFFFFF"/>
                <w:lang w:eastAsia="en-US"/>
              </w:rPr>
            </w:pPr>
            <w:r w:rsidRPr="0035187E">
              <w:rPr>
                <w:rFonts w:ascii="Times New Roman" w:eastAsia="Calibri" w:hAnsi="Times New Roman" w:cs="Times New Roman"/>
                <w:bCs/>
                <w:sz w:val="20"/>
                <w:szCs w:val="20"/>
                <w:shd w:val="clear" w:color="auto" w:fill="FFFFFF"/>
                <w:lang w:eastAsia="en-US"/>
              </w:rPr>
              <w:t xml:space="preserve">Požadujeme, aby § 13 odst. 1 písm. a) zněl: </w:t>
            </w:r>
            <w:r w:rsidRPr="0035187E">
              <w:rPr>
                <w:rFonts w:ascii="Times New Roman" w:eastAsia="Calibri" w:hAnsi="Times New Roman" w:cs="Times New Roman"/>
                <w:bCs/>
                <w:i/>
                <w:iCs/>
                <w:sz w:val="20"/>
                <w:szCs w:val="20"/>
                <w:shd w:val="clear" w:color="auto" w:fill="FFFFFF"/>
                <w:lang w:eastAsia="en-US"/>
              </w:rPr>
              <w:t>„z vedlejší podnikatelské činnosti veřejně prospěšných poplatníků“</w:t>
            </w:r>
            <w:r w:rsidRPr="0035187E">
              <w:rPr>
                <w:rFonts w:ascii="Times New Roman" w:eastAsia="Calibri" w:hAnsi="Times New Roman" w:cs="Times New Roman"/>
                <w:bCs/>
                <w:sz w:val="20"/>
                <w:szCs w:val="20"/>
                <w:shd w:val="clear" w:color="auto" w:fill="FFFFFF"/>
                <w:lang w:eastAsia="en-US"/>
              </w:rPr>
              <w:t xml:space="preserve">. </w:t>
            </w:r>
          </w:p>
          <w:p w14:paraId="2189ED6C" w14:textId="77777777" w:rsidR="000B4BD4" w:rsidRPr="0035187E" w:rsidRDefault="000B4BD4" w:rsidP="0035187E">
            <w:pPr>
              <w:jc w:val="both"/>
              <w:rPr>
                <w:rFonts w:ascii="Times New Roman" w:eastAsia="Calibri" w:hAnsi="Times New Roman" w:cs="Times New Roman"/>
                <w:bCs/>
                <w:i/>
                <w:sz w:val="20"/>
                <w:szCs w:val="20"/>
                <w:u w:val="single"/>
                <w:shd w:val="clear" w:color="auto" w:fill="FFFFFF"/>
                <w:lang w:eastAsia="en-US"/>
              </w:rPr>
            </w:pPr>
          </w:p>
          <w:p w14:paraId="182F6B94" w14:textId="4B4141E6" w:rsidR="000B4BD4" w:rsidRPr="0035187E" w:rsidRDefault="000B4BD4" w:rsidP="0035187E">
            <w:pPr>
              <w:jc w:val="both"/>
              <w:rPr>
                <w:rFonts w:ascii="Times New Roman" w:eastAsia="Calibri" w:hAnsi="Times New Roman" w:cs="Times New Roman"/>
                <w:bCs/>
                <w:i/>
                <w:sz w:val="20"/>
                <w:szCs w:val="20"/>
                <w:u w:val="single"/>
                <w:shd w:val="clear" w:color="auto" w:fill="FFFFFF"/>
                <w:lang w:eastAsia="en-US"/>
              </w:rPr>
            </w:pPr>
            <w:r w:rsidRPr="0035187E">
              <w:rPr>
                <w:rFonts w:ascii="Times New Roman" w:eastAsia="Calibri" w:hAnsi="Times New Roman" w:cs="Times New Roman"/>
                <w:bCs/>
                <w:i/>
                <w:sz w:val="20"/>
                <w:szCs w:val="20"/>
                <w:u w:val="single"/>
                <w:shd w:val="clear" w:color="auto" w:fill="FFFFFF"/>
                <w:lang w:eastAsia="en-US"/>
              </w:rPr>
              <w:t>Odůvodnění:</w:t>
            </w:r>
          </w:p>
          <w:p w14:paraId="6E3EBD18" w14:textId="77777777" w:rsidR="000B4BD4" w:rsidRPr="0035187E" w:rsidRDefault="000B4BD4" w:rsidP="0035187E">
            <w:pPr>
              <w:jc w:val="both"/>
              <w:rPr>
                <w:rFonts w:ascii="Times New Roman" w:eastAsia="Calibri" w:hAnsi="Times New Roman" w:cs="Times New Roman"/>
                <w:bCs/>
                <w:sz w:val="20"/>
                <w:szCs w:val="20"/>
                <w:shd w:val="clear" w:color="auto" w:fill="FFFFFF"/>
                <w:lang w:eastAsia="en-US"/>
              </w:rPr>
            </w:pPr>
            <w:r w:rsidRPr="0035187E">
              <w:rPr>
                <w:rFonts w:ascii="Times New Roman" w:eastAsia="Calibri" w:hAnsi="Times New Roman" w:cs="Times New Roman"/>
                <w:bCs/>
                <w:sz w:val="20"/>
                <w:szCs w:val="20"/>
                <w:shd w:val="clear" w:color="auto" w:fill="FFFFFF"/>
                <w:lang w:eastAsia="en-US"/>
              </w:rPr>
              <w:lastRenderedPageBreak/>
              <w:t xml:space="preserve">Existenci neurčitého kritéria „drobné podnikatelské činnosti“, kdy podle důvodové zprávy </w:t>
            </w:r>
            <w:r w:rsidRPr="0035187E">
              <w:rPr>
                <w:rFonts w:ascii="Times New Roman" w:eastAsia="Calibri" w:hAnsi="Times New Roman" w:cs="Times New Roman"/>
                <w:bCs/>
                <w:i/>
                <w:iCs/>
                <w:sz w:val="20"/>
                <w:szCs w:val="20"/>
                <w:shd w:val="clear" w:color="auto" w:fill="FFFFFF"/>
                <w:lang w:eastAsia="en-US"/>
              </w:rPr>
              <w:t xml:space="preserve">konkrétní hranici limitující příjem z drobné vedlejší činnosti nastaví aplikační metodická praxe, která zohlední aktuální </w:t>
            </w:r>
            <w:proofErr w:type="gramStart"/>
            <w:r w:rsidRPr="0035187E">
              <w:rPr>
                <w:rFonts w:ascii="Times New Roman" w:eastAsia="Calibri" w:hAnsi="Times New Roman" w:cs="Times New Roman"/>
                <w:bCs/>
                <w:i/>
                <w:iCs/>
                <w:sz w:val="20"/>
                <w:szCs w:val="20"/>
                <w:shd w:val="clear" w:color="auto" w:fill="FFFFFF"/>
                <w:lang w:eastAsia="en-US"/>
              </w:rPr>
              <w:t>situaci</w:t>
            </w:r>
            <w:r w:rsidRPr="0035187E">
              <w:rPr>
                <w:rFonts w:ascii="Times New Roman" w:eastAsia="Calibri" w:hAnsi="Times New Roman" w:cs="Times New Roman"/>
                <w:bCs/>
                <w:sz w:val="20"/>
                <w:szCs w:val="20"/>
                <w:shd w:val="clear" w:color="auto" w:fill="FFFFFF"/>
                <w:lang w:eastAsia="en-US"/>
              </w:rPr>
              <w:t>,  v</w:t>
            </w:r>
            <w:proofErr w:type="gramEnd"/>
            <w:r w:rsidRPr="0035187E">
              <w:rPr>
                <w:rFonts w:ascii="Times New Roman" w:eastAsia="Calibri" w:hAnsi="Times New Roman" w:cs="Times New Roman"/>
                <w:bCs/>
                <w:sz w:val="20"/>
                <w:szCs w:val="20"/>
                <w:shd w:val="clear" w:color="auto" w:fill="FFFFFF"/>
                <w:lang w:eastAsia="en-US"/>
              </w:rPr>
              <w:t> právním předpise z oblasti daňového práva považujeme za zcela nevhodnou. Není např. jasné, zda nebude za nikoliv drobnou podnikatelskou činnost považován prodej občerstvení sportovním spolkem při utkáních, turnajích či závodech, prodej výrobků z chráněné dílny poskytovatele sociálních služeb apod.</w:t>
            </w:r>
          </w:p>
          <w:p w14:paraId="77E921A0" w14:textId="77777777" w:rsidR="000B4BD4" w:rsidRPr="0035187E" w:rsidRDefault="000B4BD4" w:rsidP="0035187E">
            <w:pPr>
              <w:jc w:val="both"/>
              <w:rPr>
                <w:rFonts w:ascii="Times New Roman" w:eastAsia="Calibri" w:hAnsi="Times New Roman" w:cs="Times New Roman"/>
                <w:bCs/>
                <w:sz w:val="20"/>
                <w:szCs w:val="20"/>
                <w:shd w:val="clear" w:color="auto" w:fill="FFFFFF"/>
                <w:lang w:eastAsia="en-US"/>
              </w:rPr>
            </w:pPr>
            <w:r w:rsidRPr="0035187E">
              <w:rPr>
                <w:rFonts w:ascii="Times New Roman" w:eastAsia="Calibri" w:hAnsi="Times New Roman" w:cs="Times New Roman"/>
                <w:bCs/>
                <w:sz w:val="20"/>
                <w:szCs w:val="20"/>
                <w:shd w:val="clear" w:color="auto" w:fill="FFFFFF"/>
                <w:lang w:eastAsia="en-US"/>
              </w:rPr>
              <w:t>Proto je podle našeho názoru optimální, aby byla z evidence vyňata veškerá vedlejší podnikatelská činnost veřejně prospěšných poplatníků. Pojmovým znakem veřejně prospěšných poplatníků je, že jejich hlavní činnost není podnikáním, a tak u nich ve velké míře nehrozí vyhýbání se daňové povinnosti, proti němuž je návrh namířen.</w:t>
            </w:r>
          </w:p>
          <w:p w14:paraId="3EC4B183" w14:textId="24E12B6D" w:rsidR="000B4BD4" w:rsidRPr="0035187E" w:rsidRDefault="000B4BD4" w:rsidP="0035187E">
            <w:pPr>
              <w:ind w:firstLine="708"/>
              <w:jc w:val="both"/>
              <w:rPr>
                <w:rFonts w:ascii="Times New Roman" w:hAnsi="Times New Roman" w:cs="Times New Roman"/>
                <w:sz w:val="20"/>
                <w:szCs w:val="20"/>
              </w:rPr>
            </w:pPr>
            <w:r w:rsidRPr="0035187E">
              <w:rPr>
                <w:rFonts w:ascii="Times New Roman" w:eastAsia="Calibri" w:hAnsi="Times New Roman" w:cs="Times New Roman"/>
                <w:b/>
                <w:bCs/>
                <w:i/>
                <w:sz w:val="20"/>
                <w:szCs w:val="20"/>
                <w:shd w:val="clear" w:color="auto" w:fill="FFFFFF"/>
                <w:lang w:eastAsia="en-US"/>
              </w:rPr>
              <w:t>Tato připomínka je zásadní.</w:t>
            </w:r>
          </w:p>
        </w:tc>
        <w:tc>
          <w:tcPr>
            <w:tcW w:w="1453" w:type="pct"/>
            <w:tcBorders>
              <w:top w:val="single" w:sz="4" w:space="0" w:color="auto"/>
              <w:left w:val="single" w:sz="4" w:space="0" w:color="auto"/>
              <w:right w:val="single" w:sz="4" w:space="0" w:color="auto"/>
            </w:tcBorders>
            <w:shd w:val="clear" w:color="auto" w:fill="auto"/>
          </w:tcPr>
          <w:p w14:paraId="7FFAD865" w14:textId="4DA6967D" w:rsidR="000B4BD4" w:rsidRPr="0035187E" w:rsidRDefault="000B4BD4" w:rsidP="0035187E">
            <w:pPr>
              <w:jc w:val="both"/>
              <w:rPr>
                <w:rFonts w:ascii="Times New Roman" w:hAnsi="Times New Roman" w:cs="Times New Roman"/>
                <w:b/>
                <w:iCs/>
                <w:sz w:val="20"/>
                <w:szCs w:val="20"/>
              </w:rPr>
            </w:pPr>
            <w:r w:rsidRPr="0035187E">
              <w:rPr>
                <w:rFonts w:ascii="Times New Roman" w:hAnsi="Times New Roman" w:cs="Times New Roman"/>
                <w:b/>
                <w:iCs/>
                <w:sz w:val="20"/>
                <w:szCs w:val="20"/>
              </w:rPr>
              <w:lastRenderedPageBreak/>
              <w:t>Nevyhověno.</w:t>
            </w:r>
          </w:p>
          <w:p w14:paraId="4ECB4F86" w14:textId="586205BD" w:rsidR="000B4BD4" w:rsidRPr="0035187E" w:rsidRDefault="000B4BD4"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 xml:space="preserve">Navržená výjimka byla převzata z předchozího zákona, takže obavy z nejasnosti ohledně výkladu daného pojmu nejsou zcela na místě. Záměrem navrhovatele je normu tak, jako tomu bylo u předchozí právní úpravy, ponechat nastavenou jako materiální </w:t>
            </w:r>
            <w:r w:rsidRPr="0035187E">
              <w:rPr>
                <w:rFonts w:ascii="Times New Roman" w:hAnsi="Times New Roman" w:cs="Times New Roman"/>
                <w:iCs/>
                <w:sz w:val="20"/>
                <w:szCs w:val="20"/>
              </w:rPr>
              <w:lastRenderedPageBreak/>
              <w:t>kritérium, jehož konkrétní hranice bude přizpůsobována aktuální „ceně peněz“. Současně platí, že konkrétní limit (který by neměl být z povahy věci nižší, než tomu bylo v rámci metodické informace k původnímu zákonu) zveřejněný správcem daně vytváří tzv. správní praxi, které se v souladu s judikaturou může jednotlivec dovolávat.</w:t>
            </w:r>
          </w:p>
          <w:p w14:paraId="02F9D1F1" w14:textId="77777777" w:rsidR="000B4BD4" w:rsidRPr="0035187E" w:rsidRDefault="000B4BD4"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Opuštění materiálního kritéria vyjádřeného slovem „drobná“ by zaznamenalo extenzi výjimky vyvolávající nežádoucí stimul pro nerovný přístup (a konkurenční výhodu) při výkonu podnikatelské činnosti (zejména v některých segmentech).</w:t>
            </w:r>
          </w:p>
          <w:p w14:paraId="7069F6E5" w14:textId="77777777" w:rsidR="007D3C73" w:rsidRPr="0035187E" w:rsidRDefault="007D3C73" w:rsidP="0035187E">
            <w:pPr>
              <w:jc w:val="both"/>
              <w:rPr>
                <w:rFonts w:ascii="Times New Roman" w:hAnsi="Times New Roman" w:cs="Times New Roman"/>
                <w:iCs/>
                <w:sz w:val="20"/>
                <w:szCs w:val="20"/>
              </w:rPr>
            </w:pPr>
          </w:p>
          <w:p w14:paraId="014301BA" w14:textId="77777777" w:rsidR="007D3C73" w:rsidRPr="0035187E" w:rsidRDefault="007D3C73"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 xml:space="preserve">Vyjádření připomínkového místa: O žádné orientační výši limitu se předkladatel v důvodové zprávě nezmiňuje. V každém případě považujeme i nadále za nezbytné vyjmout z evidence všechny tržby veřejně prospěšných poplatníků. </w:t>
            </w:r>
          </w:p>
          <w:p w14:paraId="4E47BA52" w14:textId="77777777" w:rsidR="00C069F6" w:rsidRDefault="00C069F6" w:rsidP="0035187E">
            <w:pPr>
              <w:jc w:val="both"/>
              <w:rPr>
                <w:rFonts w:ascii="Times New Roman" w:hAnsi="Times New Roman" w:cs="Times New Roman"/>
                <w:i/>
                <w:iCs/>
                <w:sz w:val="20"/>
                <w:szCs w:val="20"/>
              </w:rPr>
            </w:pPr>
          </w:p>
          <w:p w14:paraId="1ADABA45" w14:textId="215ED615" w:rsidR="0043249F" w:rsidRPr="0035187E" w:rsidRDefault="0043249F" w:rsidP="0035187E">
            <w:pPr>
              <w:jc w:val="both"/>
              <w:rPr>
                <w:rFonts w:ascii="Times New Roman" w:hAnsi="Times New Roman" w:cs="Times New Roman"/>
                <w:i/>
                <w:iCs/>
                <w:sz w:val="20"/>
                <w:szCs w:val="20"/>
              </w:rPr>
            </w:pPr>
            <w:r w:rsidRPr="00C069F6">
              <w:rPr>
                <w:rFonts w:ascii="Times New Roman" w:hAnsi="Times New Roman" w:cs="Times New Roman"/>
                <w:i/>
                <w:iCs/>
                <w:sz w:val="20"/>
                <w:szCs w:val="20"/>
              </w:rPr>
              <w:t>Připomínkové místo v dohodnutém termínu pro finální vyjádření, zda rozpor trvá, neposlalo žádnou reakci. Materiál je proto předložen bez rozporu.</w:t>
            </w:r>
          </w:p>
        </w:tc>
      </w:tr>
      <w:tr w:rsidR="0035187E" w:rsidRPr="0035187E" w14:paraId="06550427"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E67F9E3" w14:textId="2F534AA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70.</w:t>
            </w:r>
          </w:p>
        </w:tc>
        <w:tc>
          <w:tcPr>
            <w:tcW w:w="583" w:type="pct"/>
            <w:tcBorders>
              <w:top w:val="single" w:sz="4" w:space="0" w:color="auto"/>
              <w:left w:val="single" w:sz="4" w:space="0" w:color="auto"/>
              <w:right w:val="single" w:sz="4" w:space="0" w:color="auto"/>
            </w:tcBorders>
            <w:shd w:val="clear" w:color="auto" w:fill="auto"/>
          </w:tcPr>
          <w:p w14:paraId="25EA6C7B" w14:textId="2963225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Sdružení místních samospráv ČR</w:t>
            </w:r>
          </w:p>
        </w:tc>
        <w:tc>
          <w:tcPr>
            <w:tcW w:w="168" w:type="pct"/>
            <w:tcBorders>
              <w:top w:val="single" w:sz="4" w:space="0" w:color="auto"/>
              <w:left w:val="single" w:sz="4" w:space="0" w:color="auto"/>
              <w:right w:val="single" w:sz="4" w:space="0" w:color="auto"/>
            </w:tcBorders>
            <w:shd w:val="clear" w:color="auto" w:fill="auto"/>
          </w:tcPr>
          <w:p w14:paraId="2D507DA1" w14:textId="1D49504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5.</w:t>
            </w:r>
          </w:p>
        </w:tc>
        <w:tc>
          <w:tcPr>
            <w:tcW w:w="169" w:type="pct"/>
            <w:tcBorders>
              <w:top w:val="single" w:sz="4" w:space="0" w:color="auto"/>
              <w:left w:val="single" w:sz="4" w:space="0" w:color="auto"/>
              <w:right w:val="single" w:sz="4" w:space="0" w:color="auto"/>
            </w:tcBorders>
            <w:shd w:val="clear" w:color="auto" w:fill="auto"/>
          </w:tcPr>
          <w:p w14:paraId="03F06641" w14:textId="774A54D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548B4DB" w14:textId="77777777" w:rsidR="000B4BD4" w:rsidRPr="0035187E" w:rsidRDefault="000B4BD4" w:rsidP="0035187E">
            <w:pPr>
              <w:jc w:val="both"/>
              <w:rPr>
                <w:rFonts w:ascii="Times New Roman" w:eastAsia="Calibri" w:hAnsi="Times New Roman" w:cs="Times New Roman"/>
                <w:b/>
                <w:bCs/>
                <w:sz w:val="20"/>
                <w:szCs w:val="20"/>
                <w:shd w:val="clear" w:color="auto" w:fill="FFFFFF"/>
                <w:lang w:eastAsia="en-US"/>
              </w:rPr>
            </w:pPr>
            <w:r w:rsidRPr="0035187E">
              <w:rPr>
                <w:rFonts w:ascii="Times New Roman" w:eastAsia="Calibri" w:hAnsi="Times New Roman" w:cs="Times New Roman"/>
                <w:b/>
                <w:bCs/>
                <w:sz w:val="20"/>
                <w:szCs w:val="20"/>
                <w:shd w:val="clear" w:color="auto" w:fill="FFFFFF"/>
                <w:lang w:eastAsia="en-US"/>
              </w:rPr>
              <w:t>Připomínka č. 5 k Části druhé</w:t>
            </w:r>
          </w:p>
          <w:p w14:paraId="3CE8EA99" w14:textId="77777777" w:rsidR="000B4BD4" w:rsidRPr="0035187E" w:rsidRDefault="000B4BD4" w:rsidP="0035187E">
            <w:pPr>
              <w:jc w:val="both"/>
              <w:rPr>
                <w:rFonts w:ascii="Times New Roman" w:eastAsia="Calibri" w:hAnsi="Times New Roman" w:cs="Times New Roman"/>
                <w:bCs/>
                <w:sz w:val="20"/>
                <w:szCs w:val="20"/>
                <w:shd w:val="clear" w:color="auto" w:fill="FFFFFF"/>
                <w:lang w:eastAsia="en-US"/>
              </w:rPr>
            </w:pPr>
          </w:p>
          <w:p w14:paraId="714F0A26" w14:textId="43660C0B" w:rsidR="000B4BD4" w:rsidRPr="0035187E" w:rsidRDefault="000B4BD4" w:rsidP="0035187E">
            <w:pPr>
              <w:jc w:val="both"/>
              <w:rPr>
                <w:rFonts w:ascii="Times New Roman" w:eastAsia="Calibri" w:hAnsi="Times New Roman" w:cs="Times New Roman"/>
                <w:bCs/>
                <w:sz w:val="20"/>
                <w:szCs w:val="20"/>
                <w:shd w:val="clear" w:color="auto" w:fill="FFFFFF"/>
                <w:lang w:eastAsia="en-US"/>
              </w:rPr>
            </w:pPr>
            <w:r w:rsidRPr="0035187E">
              <w:rPr>
                <w:rFonts w:ascii="Times New Roman" w:eastAsia="Calibri" w:hAnsi="Times New Roman" w:cs="Times New Roman"/>
                <w:bCs/>
                <w:sz w:val="20"/>
                <w:szCs w:val="20"/>
                <w:shd w:val="clear" w:color="auto" w:fill="FFFFFF"/>
                <w:lang w:eastAsia="en-US"/>
              </w:rPr>
              <w:t xml:space="preserve">Navrhujeme odstranit číslo „§ 30“ z pasáže textu mezi nadpisem a uvozovací větou. </w:t>
            </w:r>
          </w:p>
          <w:p w14:paraId="21CFA25C" w14:textId="77777777" w:rsidR="000B4BD4" w:rsidRPr="0035187E" w:rsidRDefault="000B4BD4" w:rsidP="0035187E">
            <w:pPr>
              <w:jc w:val="both"/>
              <w:rPr>
                <w:rFonts w:ascii="Times New Roman" w:eastAsia="Calibri" w:hAnsi="Times New Roman" w:cs="Times New Roman"/>
                <w:bCs/>
                <w:i/>
                <w:sz w:val="20"/>
                <w:szCs w:val="20"/>
                <w:u w:val="single"/>
                <w:shd w:val="clear" w:color="auto" w:fill="FFFFFF"/>
                <w:lang w:eastAsia="en-US"/>
              </w:rPr>
            </w:pPr>
          </w:p>
          <w:p w14:paraId="004556C9" w14:textId="4E7CB8F0" w:rsidR="000B4BD4" w:rsidRPr="0035187E" w:rsidRDefault="000B4BD4" w:rsidP="0035187E">
            <w:pPr>
              <w:jc w:val="both"/>
              <w:rPr>
                <w:rFonts w:ascii="Times New Roman" w:eastAsia="Calibri" w:hAnsi="Times New Roman" w:cs="Times New Roman"/>
                <w:bCs/>
                <w:i/>
                <w:sz w:val="20"/>
                <w:szCs w:val="20"/>
                <w:u w:val="single"/>
                <w:shd w:val="clear" w:color="auto" w:fill="FFFFFF"/>
                <w:lang w:eastAsia="en-US"/>
              </w:rPr>
            </w:pPr>
            <w:r w:rsidRPr="0035187E">
              <w:rPr>
                <w:rFonts w:ascii="Times New Roman" w:eastAsia="Calibri" w:hAnsi="Times New Roman" w:cs="Times New Roman"/>
                <w:bCs/>
                <w:i/>
                <w:sz w:val="20"/>
                <w:szCs w:val="20"/>
                <w:u w:val="single"/>
                <w:shd w:val="clear" w:color="auto" w:fill="FFFFFF"/>
                <w:lang w:eastAsia="en-US"/>
              </w:rPr>
              <w:t>Odůvodnění:</w:t>
            </w:r>
          </w:p>
          <w:p w14:paraId="7F1EFD9C" w14:textId="77777777" w:rsidR="000B4BD4" w:rsidRPr="0035187E" w:rsidRDefault="000B4BD4" w:rsidP="0035187E">
            <w:pPr>
              <w:jc w:val="both"/>
              <w:rPr>
                <w:rFonts w:ascii="Times New Roman" w:eastAsia="Calibri" w:hAnsi="Times New Roman" w:cs="Times New Roman"/>
                <w:bCs/>
                <w:sz w:val="20"/>
                <w:szCs w:val="20"/>
                <w:shd w:val="clear" w:color="auto" w:fill="FFFFFF"/>
                <w:lang w:eastAsia="en-US"/>
              </w:rPr>
            </w:pPr>
            <w:r w:rsidRPr="0035187E">
              <w:rPr>
                <w:rFonts w:ascii="Times New Roman" w:eastAsia="Calibri" w:hAnsi="Times New Roman" w:cs="Times New Roman"/>
                <w:bCs/>
                <w:sz w:val="20"/>
                <w:szCs w:val="20"/>
                <w:shd w:val="clear" w:color="auto" w:fill="FFFFFF"/>
                <w:lang w:eastAsia="en-US"/>
              </w:rPr>
              <w:t>Předmětná pasáž obsahuje písařskou chybu.</w:t>
            </w:r>
          </w:p>
          <w:p w14:paraId="388F7A25" w14:textId="47260FE7" w:rsidR="000B4BD4" w:rsidRPr="0035187E" w:rsidRDefault="000B4BD4" w:rsidP="0035187E">
            <w:pPr>
              <w:ind w:firstLine="708"/>
              <w:jc w:val="both"/>
              <w:rPr>
                <w:rFonts w:ascii="Times New Roman" w:hAnsi="Times New Roman" w:cs="Times New Roman"/>
                <w:sz w:val="20"/>
                <w:szCs w:val="20"/>
              </w:rPr>
            </w:pPr>
            <w:r w:rsidRPr="0035187E">
              <w:rPr>
                <w:rFonts w:ascii="Times New Roman" w:eastAsia="Calibri" w:hAnsi="Times New Roman" w:cs="Times New Roman"/>
                <w:b/>
                <w:bCs/>
                <w:i/>
                <w:sz w:val="20"/>
                <w:szCs w:val="20"/>
                <w:shd w:val="clear" w:color="auto" w:fill="FFFFFF"/>
                <w:lang w:eastAsia="en-US"/>
              </w:rPr>
              <w:t>Tato připomínka je legislativně-technického charakteru.</w:t>
            </w:r>
          </w:p>
        </w:tc>
        <w:tc>
          <w:tcPr>
            <w:tcW w:w="1453" w:type="pct"/>
            <w:tcBorders>
              <w:top w:val="single" w:sz="4" w:space="0" w:color="auto"/>
              <w:left w:val="single" w:sz="4" w:space="0" w:color="auto"/>
              <w:right w:val="single" w:sz="4" w:space="0" w:color="auto"/>
            </w:tcBorders>
            <w:shd w:val="clear" w:color="auto" w:fill="auto"/>
          </w:tcPr>
          <w:p w14:paraId="6A163F3B" w14:textId="4A104532" w:rsidR="00E5163F" w:rsidRPr="0035187E" w:rsidRDefault="00E5163F"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Vysvětleno.</w:t>
            </w:r>
          </w:p>
          <w:p w14:paraId="734DAF8F" w14:textId="05F209B3" w:rsidR="00E5163F" w:rsidRPr="0035187E" w:rsidRDefault="00E5163F" w:rsidP="0035187E">
            <w:pPr>
              <w:jc w:val="both"/>
              <w:rPr>
                <w:rFonts w:ascii="Times New Roman" w:hAnsi="Times New Roman" w:cs="Times New Roman"/>
                <w:sz w:val="20"/>
                <w:szCs w:val="20"/>
              </w:rPr>
            </w:pPr>
            <w:r w:rsidRPr="0035187E">
              <w:rPr>
                <w:rFonts w:ascii="Times New Roman" w:hAnsi="Times New Roman" w:cs="Times New Roman"/>
                <w:sz w:val="20"/>
                <w:szCs w:val="20"/>
              </w:rPr>
              <w:t>Text „§ 30“ nad uvozovací větou je zde správně. Jedná se o tzv. složeninu, tzn. první část obsahuje nový zákon (v tomto případě hlavní zákon) a další části obsahují novely dalších zákonů, které je nutné upravit v souvislosti s přijetím hlavního zákona.</w:t>
            </w:r>
          </w:p>
        </w:tc>
      </w:tr>
      <w:tr w:rsidR="0035187E" w:rsidRPr="0035187E" w14:paraId="224EF38E"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68D01BF" w14:textId="5B281B6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70.</w:t>
            </w:r>
          </w:p>
        </w:tc>
        <w:tc>
          <w:tcPr>
            <w:tcW w:w="583" w:type="pct"/>
            <w:tcBorders>
              <w:top w:val="single" w:sz="4" w:space="0" w:color="auto"/>
              <w:left w:val="single" w:sz="4" w:space="0" w:color="auto"/>
              <w:right w:val="single" w:sz="4" w:space="0" w:color="auto"/>
            </w:tcBorders>
            <w:shd w:val="clear" w:color="auto" w:fill="auto"/>
          </w:tcPr>
          <w:p w14:paraId="6A88AAFD" w14:textId="2CAFE4B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Sdružení místních samospráv ČR</w:t>
            </w:r>
          </w:p>
        </w:tc>
        <w:tc>
          <w:tcPr>
            <w:tcW w:w="168" w:type="pct"/>
            <w:tcBorders>
              <w:top w:val="single" w:sz="4" w:space="0" w:color="auto"/>
              <w:left w:val="single" w:sz="4" w:space="0" w:color="auto"/>
              <w:right w:val="single" w:sz="4" w:space="0" w:color="auto"/>
            </w:tcBorders>
            <w:shd w:val="clear" w:color="auto" w:fill="auto"/>
          </w:tcPr>
          <w:p w14:paraId="1814AB5E" w14:textId="5B96AEC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6.</w:t>
            </w:r>
          </w:p>
        </w:tc>
        <w:tc>
          <w:tcPr>
            <w:tcW w:w="169" w:type="pct"/>
            <w:tcBorders>
              <w:top w:val="single" w:sz="4" w:space="0" w:color="auto"/>
              <w:left w:val="single" w:sz="4" w:space="0" w:color="auto"/>
              <w:right w:val="single" w:sz="4" w:space="0" w:color="auto"/>
            </w:tcBorders>
            <w:shd w:val="clear" w:color="auto" w:fill="auto"/>
          </w:tcPr>
          <w:p w14:paraId="6BFEE77F" w14:textId="3EBC4D4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B97237B" w14:textId="77777777" w:rsidR="000B4BD4" w:rsidRPr="0035187E" w:rsidRDefault="000B4BD4" w:rsidP="0035187E">
            <w:pPr>
              <w:jc w:val="both"/>
              <w:rPr>
                <w:rFonts w:ascii="Times New Roman" w:eastAsia="Calibri" w:hAnsi="Times New Roman" w:cs="Times New Roman"/>
                <w:b/>
                <w:bCs/>
                <w:sz w:val="20"/>
                <w:szCs w:val="20"/>
                <w:shd w:val="clear" w:color="auto" w:fill="FFFFFF"/>
                <w:lang w:eastAsia="en-US"/>
              </w:rPr>
            </w:pPr>
            <w:r w:rsidRPr="0035187E">
              <w:rPr>
                <w:rFonts w:ascii="Times New Roman" w:eastAsia="Calibri" w:hAnsi="Times New Roman" w:cs="Times New Roman"/>
                <w:b/>
                <w:bCs/>
                <w:sz w:val="20"/>
                <w:szCs w:val="20"/>
                <w:shd w:val="clear" w:color="auto" w:fill="FFFFFF"/>
                <w:lang w:eastAsia="en-US"/>
              </w:rPr>
              <w:t>Připomínka č. 6 k Části druhé, § 18</w:t>
            </w:r>
          </w:p>
          <w:p w14:paraId="1A689E1B" w14:textId="77777777" w:rsidR="000B4BD4" w:rsidRPr="0035187E" w:rsidRDefault="000B4BD4" w:rsidP="0035187E">
            <w:pPr>
              <w:jc w:val="both"/>
              <w:rPr>
                <w:rFonts w:ascii="Times New Roman" w:eastAsia="Calibri" w:hAnsi="Times New Roman" w:cs="Times New Roman"/>
                <w:bCs/>
                <w:sz w:val="20"/>
                <w:szCs w:val="20"/>
                <w:shd w:val="clear" w:color="auto" w:fill="FFFFFF"/>
                <w:lang w:eastAsia="en-US"/>
              </w:rPr>
            </w:pPr>
          </w:p>
          <w:p w14:paraId="1038F03E" w14:textId="35946EBA" w:rsidR="000B4BD4" w:rsidRPr="0035187E" w:rsidRDefault="000B4BD4" w:rsidP="0035187E">
            <w:pPr>
              <w:jc w:val="both"/>
              <w:rPr>
                <w:rFonts w:ascii="Times New Roman" w:eastAsia="Calibri" w:hAnsi="Times New Roman" w:cs="Times New Roman"/>
                <w:bCs/>
                <w:sz w:val="20"/>
                <w:szCs w:val="20"/>
                <w:shd w:val="clear" w:color="auto" w:fill="FFFFFF"/>
                <w:lang w:eastAsia="en-US"/>
              </w:rPr>
            </w:pPr>
            <w:r w:rsidRPr="0035187E">
              <w:rPr>
                <w:rFonts w:ascii="Times New Roman" w:eastAsia="Calibri" w:hAnsi="Times New Roman" w:cs="Times New Roman"/>
                <w:bCs/>
                <w:sz w:val="20"/>
                <w:szCs w:val="20"/>
                <w:shd w:val="clear" w:color="auto" w:fill="FFFFFF"/>
                <w:lang w:eastAsia="en-US"/>
              </w:rPr>
              <w:t>Do Části druhé navrhujeme doplnit nový bod 10, který zní:</w:t>
            </w:r>
          </w:p>
          <w:p w14:paraId="736523BB" w14:textId="77777777" w:rsidR="000B4BD4" w:rsidRPr="0035187E" w:rsidRDefault="000B4BD4" w:rsidP="0035187E">
            <w:pPr>
              <w:jc w:val="both"/>
              <w:rPr>
                <w:rFonts w:ascii="Times New Roman" w:eastAsia="Calibri" w:hAnsi="Times New Roman" w:cs="Times New Roman"/>
                <w:bCs/>
                <w:sz w:val="20"/>
                <w:szCs w:val="20"/>
                <w:shd w:val="clear" w:color="auto" w:fill="FFFFFF"/>
                <w:lang w:eastAsia="en-US"/>
              </w:rPr>
            </w:pPr>
            <w:r w:rsidRPr="0035187E">
              <w:rPr>
                <w:rFonts w:ascii="Times New Roman" w:eastAsia="Calibri" w:hAnsi="Times New Roman" w:cs="Times New Roman"/>
                <w:bCs/>
                <w:sz w:val="20"/>
                <w:szCs w:val="20"/>
                <w:shd w:val="clear" w:color="auto" w:fill="FFFFFF"/>
                <w:lang w:eastAsia="en-US"/>
              </w:rPr>
              <w:t>„V § 18a odst. 5 se na konci textu písmene c) doplňují slova:</w:t>
            </w:r>
          </w:p>
          <w:p w14:paraId="0A18B965" w14:textId="77777777" w:rsidR="000B4BD4" w:rsidRPr="0035187E" w:rsidRDefault="000B4BD4" w:rsidP="0035187E">
            <w:pPr>
              <w:jc w:val="both"/>
              <w:rPr>
                <w:rFonts w:ascii="Times New Roman" w:eastAsia="Calibri" w:hAnsi="Times New Roman" w:cs="Times New Roman"/>
                <w:bCs/>
                <w:sz w:val="20"/>
                <w:szCs w:val="20"/>
                <w:shd w:val="clear" w:color="auto" w:fill="FFFFFF"/>
                <w:lang w:eastAsia="en-US"/>
              </w:rPr>
            </w:pPr>
            <w:r w:rsidRPr="0035187E">
              <w:rPr>
                <w:rFonts w:ascii="Times New Roman" w:eastAsia="Calibri" w:hAnsi="Times New Roman" w:cs="Times New Roman"/>
                <w:bCs/>
                <w:sz w:val="20"/>
                <w:szCs w:val="20"/>
                <w:shd w:val="clear" w:color="auto" w:fill="FFFFFF"/>
                <w:lang w:eastAsia="en-US"/>
              </w:rPr>
              <w:t>‚s výjimkou poskytovatele zdravotních služeb s převažující činností poskytování sociálních služeb podle zákona upravujícího poskytování sociálních služeb‘.“</w:t>
            </w:r>
          </w:p>
          <w:p w14:paraId="46543E92" w14:textId="77777777" w:rsidR="000B4BD4" w:rsidRPr="0035187E" w:rsidRDefault="000B4BD4" w:rsidP="0035187E">
            <w:pPr>
              <w:jc w:val="both"/>
              <w:rPr>
                <w:rFonts w:ascii="Times New Roman" w:eastAsia="Calibri" w:hAnsi="Times New Roman" w:cs="Times New Roman"/>
                <w:bCs/>
                <w:i/>
                <w:sz w:val="20"/>
                <w:szCs w:val="20"/>
                <w:u w:val="single"/>
                <w:shd w:val="clear" w:color="auto" w:fill="FFFFFF"/>
                <w:lang w:eastAsia="en-US"/>
              </w:rPr>
            </w:pPr>
          </w:p>
          <w:p w14:paraId="718CFFED" w14:textId="3A861EB1" w:rsidR="000B4BD4" w:rsidRPr="0035187E" w:rsidRDefault="000B4BD4" w:rsidP="0035187E">
            <w:pPr>
              <w:jc w:val="both"/>
              <w:rPr>
                <w:rFonts w:ascii="Times New Roman" w:eastAsia="Calibri" w:hAnsi="Times New Roman" w:cs="Times New Roman"/>
                <w:bCs/>
                <w:i/>
                <w:sz w:val="20"/>
                <w:szCs w:val="20"/>
                <w:u w:val="single"/>
                <w:shd w:val="clear" w:color="auto" w:fill="FFFFFF"/>
                <w:lang w:eastAsia="en-US"/>
              </w:rPr>
            </w:pPr>
            <w:r w:rsidRPr="0035187E">
              <w:rPr>
                <w:rFonts w:ascii="Times New Roman" w:eastAsia="Calibri" w:hAnsi="Times New Roman" w:cs="Times New Roman"/>
                <w:bCs/>
                <w:i/>
                <w:sz w:val="20"/>
                <w:szCs w:val="20"/>
                <w:u w:val="single"/>
                <w:shd w:val="clear" w:color="auto" w:fill="FFFFFF"/>
                <w:lang w:eastAsia="en-US"/>
              </w:rPr>
              <w:t>Odůvodnění:</w:t>
            </w:r>
          </w:p>
          <w:p w14:paraId="494315B1" w14:textId="77777777" w:rsidR="000B4BD4" w:rsidRPr="0035187E" w:rsidRDefault="000B4BD4" w:rsidP="0035187E">
            <w:pPr>
              <w:jc w:val="both"/>
              <w:rPr>
                <w:rFonts w:ascii="Times New Roman" w:eastAsia="Calibri" w:hAnsi="Times New Roman" w:cs="Times New Roman"/>
                <w:bCs/>
                <w:sz w:val="20"/>
                <w:szCs w:val="20"/>
                <w:shd w:val="clear" w:color="auto" w:fill="FFFFFF"/>
                <w:lang w:eastAsia="en-US"/>
              </w:rPr>
            </w:pPr>
            <w:r w:rsidRPr="0035187E">
              <w:rPr>
                <w:rFonts w:ascii="Times New Roman" w:eastAsia="Calibri" w:hAnsi="Times New Roman" w:cs="Times New Roman"/>
                <w:bCs/>
                <w:sz w:val="20"/>
                <w:szCs w:val="20"/>
                <w:shd w:val="clear" w:color="auto" w:fill="FFFFFF"/>
                <w:lang w:eastAsia="en-US"/>
              </w:rPr>
              <w:t xml:space="preserve">Podle zákona č. 38/2025 Sb. je poskytovatel taxativně vymezených druhů sociálních služeb, jejichž součástí je rovněž poskytování zdravotních služeb, povinen nejpozději od 1. 1. 2027 získat oprávnění k poskytování zdravotních služeb. Do nabytí účinnosti této změny poskytovatel sociálních služeb není poplatníkem s tímto oprávněním, a nelze jej tedy bez dalšího považovat za poskytovatele zdravotních služeb. V důsledku zavedení povinného </w:t>
            </w:r>
            <w:r w:rsidRPr="0035187E">
              <w:rPr>
                <w:rFonts w:ascii="Times New Roman" w:eastAsia="Calibri" w:hAnsi="Times New Roman" w:cs="Times New Roman"/>
                <w:bCs/>
                <w:sz w:val="20"/>
                <w:szCs w:val="20"/>
                <w:shd w:val="clear" w:color="auto" w:fill="FFFFFF"/>
                <w:lang w:eastAsia="en-US"/>
              </w:rPr>
              <w:lastRenderedPageBreak/>
              <w:t>oprávnění by přitom poskytovatelé sociálních služeb jako noví nositelé oprávnění k poskytování zdravotních služeb přišli o daňová zvýhodnění veřejně prospěšných poplatníků, a to i přesto, že zdravotní složka péče tvoří pouze marginální část jejich činností a že příjmy z poskytování sociálních služeb zpravidla nepokrývají související náklady.</w:t>
            </w:r>
          </w:p>
          <w:p w14:paraId="2DA4050A" w14:textId="77777777" w:rsidR="000B4BD4" w:rsidRPr="0035187E" w:rsidRDefault="000B4BD4" w:rsidP="0035187E">
            <w:pPr>
              <w:jc w:val="both"/>
              <w:rPr>
                <w:rFonts w:ascii="Times New Roman" w:eastAsia="Calibri" w:hAnsi="Times New Roman" w:cs="Times New Roman"/>
                <w:bCs/>
                <w:sz w:val="20"/>
                <w:szCs w:val="20"/>
                <w:shd w:val="clear" w:color="auto" w:fill="FFFFFF"/>
                <w:lang w:eastAsia="en-US"/>
              </w:rPr>
            </w:pPr>
            <w:r w:rsidRPr="0035187E">
              <w:rPr>
                <w:rFonts w:ascii="Times New Roman" w:eastAsia="Calibri" w:hAnsi="Times New Roman" w:cs="Times New Roman"/>
                <w:bCs/>
                <w:sz w:val="20"/>
                <w:szCs w:val="20"/>
                <w:shd w:val="clear" w:color="auto" w:fill="FFFFFF"/>
                <w:lang w:eastAsia="en-US"/>
              </w:rPr>
              <w:t>Záměrem změnového zákona by však nemělo být zhoršení daňového postavení poskytovatelů sociálních služeb. Navržená úprava by navíc dopadala pouze na vybrané druhy sociálních služeb a vedla by k nerovnému postavení poskytovatelů z hlediska zákona o daních z příjmů. Například u domovů pro seniory není cílem vstup na trh zdravotních služeb, ale zajištění zdravotních potřeb klientů v rámci sociální péče. Lze proto předpokládat, že jde o opomenutí zákonodárce ve vztahu k této skupině poskytovatelů, které má navrhovaná změna odstranit. Jelikož návrh zachovává stávající stav ve vztahu k poskytovatelům sociálních služeb, je rozpočtově neutrální a současně brání budoucímu zhoršení jejich postavení.</w:t>
            </w:r>
          </w:p>
          <w:p w14:paraId="2D03F5BD" w14:textId="2E4838DF" w:rsidR="000B4BD4" w:rsidRPr="0035187E" w:rsidRDefault="000B4BD4" w:rsidP="0035187E">
            <w:pPr>
              <w:ind w:firstLine="708"/>
              <w:jc w:val="both"/>
              <w:rPr>
                <w:rFonts w:ascii="Times New Roman" w:hAnsi="Times New Roman" w:cs="Times New Roman"/>
                <w:sz w:val="20"/>
                <w:szCs w:val="20"/>
              </w:rPr>
            </w:pPr>
            <w:r w:rsidRPr="0035187E">
              <w:rPr>
                <w:rFonts w:ascii="Times New Roman" w:eastAsia="Calibri" w:hAnsi="Times New Roman" w:cs="Times New Roman"/>
                <w:b/>
                <w:bCs/>
                <w:i/>
                <w:sz w:val="20"/>
                <w:szCs w:val="20"/>
                <w:shd w:val="clear" w:color="auto" w:fill="FFFFFF"/>
                <w:lang w:eastAsia="en-US"/>
              </w:rPr>
              <w:t>Tato připomínka je zásadní.</w:t>
            </w:r>
          </w:p>
        </w:tc>
        <w:tc>
          <w:tcPr>
            <w:tcW w:w="1453" w:type="pct"/>
            <w:tcBorders>
              <w:top w:val="single" w:sz="4" w:space="0" w:color="auto"/>
              <w:left w:val="single" w:sz="4" w:space="0" w:color="auto"/>
              <w:right w:val="single" w:sz="4" w:space="0" w:color="auto"/>
            </w:tcBorders>
            <w:shd w:val="clear" w:color="auto" w:fill="auto"/>
          </w:tcPr>
          <w:p w14:paraId="5C1135E4"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Vyhověno jinak.</w:t>
            </w:r>
          </w:p>
          <w:p w14:paraId="1B2531C9"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Bude navrženo nové pravidlo, které zajistí, že veřejně prospěšný poplatník, který v průběhu zdaňovacího období přestane nebo začne splňovat podmínky pro veřejně prospěšného poplatníka s tzv. širokým základem daně, tedy základem daně určovaným podle § 18a odst. 5, bude postupovat podle původního režimu na počátku zdaňovacího období po celé zdaňovací období, ve kterém ke změně došlo. Ke přechodu na nový systém dojde až v následujícím zdaňovacím období. To pro poplatníky zajistí jednoduší přechod, neboť nebudou muset zpětně cokoliv měnit. V případě, že by poplatník např. získal oprávnění poskytovat </w:t>
            </w:r>
            <w:r w:rsidRPr="0035187E">
              <w:rPr>
                <w:rFonts w:ascii="Times New Roman" w:hAnsi="Times New Roman" w:cs="Times New Roman"/>
                <w:sz w:val="20"/>
                <w:szCs w:val="20"/>
              </w:rPr>
              <w:lastRenderedPageBreak/>
              <w:t>zdravotní služby ke konci roku, mohlo by být pro něj problematické zpětně opravovat evidenci.</w:t>
            </w:r>
          </w:p>
          <w:p w14:paraId="2C8A96A9" w14:textId="77777777" w:rsidR="007D3C73" w:rsidRPr="0035187E" w:rsidRDefault="007D3C73" w:rsidP="0035187E">
            <w:pPr>
              <w:jc w:val="both"/>
              <w:rPr>
                <w:rFonts w:ascii="Times New Roman" w:hAnsi="Times New Roman" w:cs="Times New Roman"/>
                <w:sz w:val="20"/>
                <w:szCs w:val="20"/>
              </w:rPr>
            </w:pPr>
          </w:p>
          <w:p w14:paraId="54550FB3" w14:textId="3EA3B5BA" w:rsidR="007D3C73" w:rsidRDefault="007D3C73"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Vyjádření připomínkového místa: Přílohou vypořádání není aktualizovaná verze materiálu, a tak nemůžeme připomínku považovat za vypořádanou. K variantě zvolené předkladatelem se vyjádříme po</w:t>
            </w:r>
            <w:r w:rsidR="00115454">
              <w:rPr>
                <w:rFonts w:ascii="Times New Roman" w:hAnsi="Times New Roman" w:cs="Times New Roman"/>
                <w:i/>
                <w:iCs/>
                <w:sz w:val="20"/>
                <w:szCs w:val="20"/>
              </w:rPr>
              <w:t xml:space="preserve"> zaslání legislativního řešení.</w:t>
            </w:r>
          </w:p>
          <w:p w14:paraId="297F87E6" w14:textId="1783C346" w:rsidR="00115454" w:rsidRDefault="00115454" w:rsidP="0035187E">
            <w:pPr>
              <w:jc w:val="both"/>
              <w:rPr>
                <w:rFonts w:ascii="Times New Roman" w:hAnsi="Times New Roman" w:cs="Times New Roman"/>
                <w:i/>
                <w:iCs/>
                <w:sz w:val="20"/>
                <w:szCs w:val="20"/>
              </w:rPr>
            </w:pPr>
          </w:p>
          <w:p w14:paraId="34E71398" w14:textId="02FDBD1E" w:rsidR="00115454" w:rsidRPr="0035187E" w:rsidRDefault="00115454" w:rsidP="0035187E">
            <w:pPr>
              <w:jc w:val="both"/>
              <w:rPr>
                <w:rFonts w:ascii="Times New Roman" w:hAnsi="Times New Roman" w:cs="Times New Roman"/>
                <w:i/>
                <w:iCs/>
                <w:sz w:val="20"/>
                <w:szCs w:val="20"/>
              </w:rPr>
            </w:pPr>
            <w:r w:rsidRPr="00BC63B2">
              <w:rPr>
                <w:rFonts w:ascii="Times New Roman" w:hAnsi="Times New Roman" w:cs="Times New Roman"/>
                <w:i/>
                <w:iCs/>
                <w:sz w:val="20"/>
                <w:szCs w:val="20"/>
              </w:rPr>
              <w:t>Připomínkové místo v dohodnutém termínu pro finální vyjádření, zda rozpor trvá, neposlalo žádnou reakci. Materiál je proto předložen bez rozporu.</w:t>
            </w:r>
          </w:p>
          <w:p w14:paraId="0BF71E38" w14:textId="1B4D4392" w:rsidR="007D3C73" w:rsidRPr="0035187E" w:rsidRDefault="007D3C73" w:rsidP="0035187E">
            <w:pPr>
              <w:jc w:val="both"/>
              <w:rPr>
                <w:rFonts w:ascii="Times New Roman" w:hAnsi="Times New Roman" w:cs="Times New Roman"/>
                <w:sz w:val="20"/>
                <w:szCs w:val="20"/>
              </w:rPr>
            </w:pPr>
          </w:p>
        </w:tc>
      </w:tr>
      <w:tr w:rsidR="0035187E" w:rsidRPr="0035187E" w14:paraId="040B66C1"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489E1704" w14:textId="3991D12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73.</w:t>
            </w:r>
          </w:p>
        </w:tc>
        <w:tc>
          <w:tcPr>
            <w:tcW w:w="583" w:type="pct"/>
            <w:tcBorders>
              <w:top w:val="single" w:sz="4" w:space="0" w:color="auto"/>
              <w:left w:val="single" w:sz="4" w:space="0" w:color="auto"/>
              <w:right w:val="single" w:sz="4" w:space="0" w:color="auto"/>
            </w:tcBorders>
            <w:shd w:val="clear" w:color="auto" w:fill="auto"/>
          </w:tcPr>
          <w:p w14:paraId="73E5E152" w14:textId="1457D79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Svaz měst a obcí ČR</w:t>
            </w:r>
          </w:p>
        </w:tc>
        <w:tc>
          <w:tcPr>
            <w:tcW w:w="168" w:type="pct"/>
            <w:tcBorders>
              <w:top w:val="single" w:sz="4" w:space="0" w:color="auto"/>
              <w:left w:val="single" w:sz="4" w:space="0" w:color="auto"/>
              <w:right w:val="single" w:sz="4" w:space="0" w:color="auto"/>
            </w:tcBorders>
            <w:shd w:val="clear" w:color="auto" w:fill="auto"/>
          </w:tcPr>
          <w:p w14:paraId="55020411" w14:textId="1E39B67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4962F4FD" w14:textId="271AF85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C172205" w14:textId="77777777" w:rsidR="000B4BD4" w:rsidRPr="0035187E" w:rsidRDefault="000B4BD4" w:rsidP="0035187E">
            <w:pPr>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Připomínka č. 1: Zaměstnanecké benefity – doprava</w:t>
            </w:r>
          </w:p>
          <w:p w14:paraId="1E810232" w14:textId="77777777" w:rsidR="000B4BD4" w:rsidRPr="0035187E" w:rsidRDefault="000B4BD4" w:rsidP="0035187E">
            <w:pPr>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Typ připomínky: zásadní</w:t>
            </w:r>
          </w:p>
          <w:p w14:paraId="563DECB0" w14:textId="77777777" w:rsidR="000B4BD4" w:rsidRPr="0035187E" w:rsidRDefault="000B4BD4" w:rsidP="0035187E">
            <w:pPr>
              <w:jc w:val="both"/>
              <w:rPr>
                <w:rFonts w:ascii="Times New Roman" w:eastAsia="Calibri" w:hAnsi="Times New Roman" w:cs="Times New Roman"/>
                <w:sz w:val="20"/>
                <w:szCs w:val="20"/>
                <w:lang w:eastAsia="en-US"/>
              </w:rPr>
            </w:pPr>
          </w:p>
          <w:p w14:paraId="20AE0271"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1) Navrhuje se doplnit nové osvobození pro nepeněžní plnění na úhradu jízdného ve veřejné dopravě. Osvobození se vztahuje na všechny formy jízdného, včetně integrovaných dopravních systémů.</w:t>
            </w:r>
          </w:p>
          <w:p w14:paraId="4EA06F1C" w14:textId="77777777" w:rsidR="000B4BD4" w:rsidRPr="0035187E" w:rsidRDefault="000B4BD4" w:rsidP="0035187E">
            <w:pPr>
              <w:jc w:val="both"/>
              <w:rPr>
                <w:rFonts w:ascii="Times New Roman" w:hAnsi="Times New Roman" w:cs="Times New Roman"/>
                <w:sz w:val="20"/>
                <w:szCs w:val="20"/>
              </w:rPr>
            </w:pPr>
          </w:p>
          <w:p w14:paraId="7BD358A3"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b/>
                <w:bCs/>
                <w:sz w:val="20"/>
                <w:szCs w:val="20"/>
              </w:rPr>
              <w:t>2) Navrhuje se, aby výdaje zaměstnavatele na tento benefit byly daňově uznatelné, obdobně jako jiné benefity poskytované v rámci péče o zaměstnance</w:t>
            </w:r>
            <w:r w:rsidRPr="0035187E">
              <w:rPr>
                <w:rFonts w:ascii="Times New Roman" w:hAnsi="Times New Roman" w:cs="Times New Roman"/>
                <w:sz w:val="20"/>
                <w:szCs w:val="20"/>
              </w:rPr>
              <w:t>.</w:t>
            </w:r>
          </w:p>
          <w:p w14:paraId="75FC72C0" w14:textId="77777777" w:rsidR="000B4BD4" w:rsidRPr="0035187E" w:rsidRDefault="000B4BD4" w:rsidP="0035187E">
            <w:pPr>
              <w:jc w:val="both"/>
              <w:rPr>
                <w:rFonts w:ascii="Times New Roman" w:hAnsi="Times New Roman" w:cs="Times New Roman"/>
                <w:b/>
                <w:bCs/>
                <w:sz w:val="20"/>
                <w:szCs w:val="20"/>
              </w:rPr>
            </w:pPr>
          </w:p>
          <w:p w14:paraId="70CB3498"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Návrh znění zákona:</w:t>
            </w:r>
          </w:p>
          <w:p w14:paraId="3EADAD5F"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Ad 1) Navrhujeme změnu § 6 odst. 9 z. č. 586/1992 Sb., o daních z příjmů:</w:t>
            </w:r>
          </w:p>
          <w:p w14:paraId="27E0DC9F"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V § 6 odst. 9 se za písmeno k) vkládá nové písmeno l), které zní: „l) nepeněžní plnění poskytované zaměstnavatelem zaměstnanci na úhradu jízdného ve veřejné hromadné dopravě osob, poskytované v souladu s prováděcím právním předpisem,“</w:t>
            </w:r>
          </w:p>
          <w:p w14:paraId="787C81B2"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Dosavadní písmena l) až t) se označují jako m) až u).</w:t>
            </w:r>
          </w:p>
          <w:p w14:paraId="5B8883DF" w14:textId="77777777" w:rsidR="000B4BD4" w:rsidRPr="0035187E" w:rsidRDefault="000B4BD4" w:rsidP="0035187E">
            <w:pPr>
              <w:jc w:val="both"/>
              <w:rPr>
                <w:rFonts w:ascii="Times New Roman" w:hAnsi="Times New Roman" w:cs="Times New Roman"/>
                <w:sz w:val="20"/>
                <w:szCs w:val="20"/>
              </w:rPr>
            </w:pPr>
          </w:p>
          <w:p w14:paraId="1F37E5BE"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Ad 2) Navrhujeme změnu § 24 odst. 2 z. č. 586/1992 Sb., o daních z příjmů:</w:t>
            </w:r>
          </w:p>
          <w:p w14:paraId="3E757ACC"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V § 24 odst. 2 písm. j) se za bod 4 vkládá nový bod 5, který zní: „5. výdaje (náklady) vynaložené zaměstnavatelem na nepeněžní plnění podle § 6 odst. 9 písm. l), pokud jsou poskytována za podmínek stanovených prováděcím právním předpisem,“.</w:t>
            </w:r>
          </w:p>
          <w:p w14:paraId="3BF4B69B" w14:textId="77777777" w:rsidR="000B4BD4" w:rsidRPr="0035187E" w:rsidRDefault="000B4BD4" w:rsidP="0035187E">
            <w:pPr>
              <w:jc w:val="both"/>
              <w:rPr>
                <w:rFonts w:ascii="Times New Roman" w:hAnsi="Times New Roman" w:cs="Times New Roman"/>
                <w:sz w:val="20"/>
                <w:szCs w:val="20"/>
              </w:rPr>
            </w:pPr>
          </w:p>
          <w:p w14:paraId="360E31A0"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Odůvodnění:</w:t>
            </w:r>
          </w:p>
          <w:p w14:paraId="59928E61"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1. Zhodnocení platného právního stavu</w:t>
            </w:r>
          </w:p>
          <w:p w14:paraId="666D1579"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Současná právní úprava umožňuje osvobození pouze vybraných nepeněžních benefitů (rekreace, sport, kultura, zdravotní služby, knihy). Úhrada jízdného ve veřejné dopravě mezi ně </w:t>
            </w:r>
            <w:r w:rsidRPr="0035187E">
              <w:rPr>
                <w:rFonts w:ascii="Times New Roman" w:hAnsi="Times New Roman" w:cs="Times New Roman"/>
                <w:b/>
                <w:bCs/>
                <w:sz w:val="20"/>
                <w:szCs w:val="20"/>
              </w:rPr>
              <w:t>nepatří</w:t>
            </w:r>
            <w:r w:rsidRPr="0035187E">
              <w:rPr>
                <w:rFonts w:ascii="Times New Roman" w:hAnsi="Times New Roman" w:cs="Times New Roman"/>
                <w:sz w:val="20"/>
                <w:szCs w:val="20"/>
              </w:rPr>
              <w:t>, a proto:</w:t>
            </w:r>
          </w:p>
          <w:p w14:paraId="01DDB4ED" w14:textId="77777777" w:rsidR="000B4BD4" w:rsidRPr="0035187E" w:rsidRDefault="000B4BD4" w:rsidP="0035187E">
            <w:pPr>
              <w:numPr>
                <w:ilvl w:val="0"/>
                <w:numId w:val="74"/>
              </w:numPr>
              <w:ind w:left="0" w:firstLine="4"/>
              <w:jc w:val="both"/>
              <w:rPr>
                <w:rFonts w:ascii="Times New Roman" w:hAnsi="Times New Roman" w:cs="Times New Roman"/>
                <w:sz w:val="20"/>
                <w:szCs w:val="20"/>
              </w:rPr>
            </w:pPr>
            <w:r w:rsidRPr="0035187E">
              <w:rPr>
                <w:rFonts w:ascii="Times New Roman" w:hAnsi="Times New Roman" w:cs="Times New Roman"/>
                <w:sz w:val="20"/>
                <w:szCs w:val="20"/>
              </w:rPr>
              <w:t>je na straně zaměstnance zdaněna,</w:t>
            </w:r>
          </w:p>
          <w:p w14:paraId="3172A624" w14:textId="77777777" w:rsidR="000B4BD4" w:rsidRPr="0035187E" w:rsidRDefault="000B4BD4" w:rsidP="0035187E">
            <w:pPr>
              <w:numPr>
                <w:ilvl w:val="0"/>
                <w:numId w:val="74"/>
              </w:numPr>
              <w:ind w:left="0" w:firstLine="4"/>
              <w:jc w:val="both"/>
              <w:rPr>
                <w:rFonts w:ascii="Times New Roman" w:hAnsi="Times New Roman" w:cs="Times New Roman"/>
                <w:sz w:val="20"/>
                <w:szCs w:val="20"/>
              </w:rPr>
            </w:pPr>
            <w:r w:rsidRPr="0035187E">
              <w:rPr>
                <w:rFonts w:ascii="Times New Roman" w:hAnsi="Times New Roman" w:cs="Times New Roman"/>
                <w:sz w:val="20"/>
                <w:szCs w:val="20"/>
              </w:rPr>
              <w:t>podléhá odvodům,</w:t>
            </w:r>
          </w:p>
          <w:p w14:paraId="165C75D8" w14:textId="77777777" w:rsidR="000B4BD4" w:rsidRPr="0035187E" w:rsidRDefault="000B4BD4" w:rsidP="0035187E">
            <w:pPr>
              <w:numPr>
                <w:ilvl w:val="0"/>
                <w:numId w:val="74"/>
              </w:numPr>
              <w:ind w:left="0" w:firstLine="4"/>
              <w:jc w:val="both"/>
              <w:rPr>
                <w:rFonts w:ascii="Times New Roman" w:hAnsi="Times New Roman" w:cs="Times New Roman"/>
                <w:sz w:val="20"/>
                <w:szCs w:val="20"/>
              </w:rPr>
            </w:pPr>
            <w:r w:rsidRPr="0035187E">
              <w:rPr>
                <w:rFonts w:ascii="Times New Roman" w:hAnsi="Times New Roman" w:cs="Times New Roman"/>
                <w:sz w:val="20"/>
                <w:szCs w:val="20"/>
              </w:rPr>
              <w:lastRenderedPageBreak/>
              <w:t>je na straně zaměstnavatele daňově neuznatelná.</w:t>
            </w:r>
          </w:p>
          <w:p w14:paraId="7421A3E0"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To omezuje motivaci zaměstnavatelů podporovat ekologickou mobilitu zaměstnanců.</w:t>
            </w:r>
          </w:p>
          <w:p w14:paraId="4998C25C"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2. Odůvodnění hlavních principů navrhované právní úpravy</w:t>
            </w:r>
          </w:p>
          <w:p w14:paraId="0465122D"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Cílem návrhu je:</w:t>
            </w:r>
          </w:p>
          <w:p w14:paraId="3476F827" w14:textId="77777777" w:rsidR="000B4BD4" w:rsidRPr="0035187E" w:rsidRDefault="000B4BD4" w:rsidP="0035187E">
            <w:pPr>
              <w:numPr>
                <w:ilvl w:val="0"/>
                <w:numId w:val="75"/>
              </w:numPr>
              <w:ind w:left="0" w:firstLine="4"/>
              <w:jc w:val="both"/>
              <w:rPr>
                <w:rFonts w:ascii="Times New Roman" w:hAnsi="Times New Roman" w:cs="Times New Roman"/>
                <w:sz w:val="20"/>
                <w:szCs w:val="20"/>
              </w:rPr>
            </w:pPr>
            <w:r w:rsidRPr="0035187E">
              <w:rPr>
                <w:rFonts w:ascii="Times New Roman" w:hAnsi="Times New Roman" w:cs="Times New Roman"/>
                <w:sz w:val="20"/>
                <w:szCs w:val="20"/>
              </w:rPr>
              <w:t>podpořit využívání veřejné dopravy,</w:t>
            </w:r>
          </w:p>
          <w:p w14:paraId="531AC5A9" w14:textId="77777777" w:rsidR="000B4BD4" w:rsidRPr="0035187E" w:rsidRDefault="000B4BD4" w:rsidP="0035187E">
            <w:pPr>
              <w:numPr>
                <w:ilvl w:val="0"/>
                <w:numId w:val="75"/>
              </w:numPr>
              <w:ind w:left="0" w:firstLine="4"/>
              <w:jc w:val="both"/>
              <w:rPr>
                <w:rFonts w:ascii="Times New Roman" w:hAnsi="Times New Roman" w:cs="Times New Roman"/>
                <w:sz w:val="20"/>
                <w:szCs w:val="20"/>
              </w:rPr>
            </w:pPr>
            <w:r w:rsidRPr="0035187E">
              <w:rPr>
                <w:rFonts w:ascii="Times New Roman" w:hAnsi="Times New Roman" w:cs="Times New Roman"/>
                <w:sz w:val="20"/>
                <w:szCs w:val="20"/>
              </w:rPr>
              <w:t>snížit dopravní zátěž měst,</w:t>
            </w:r>
          </w:p>
          <w:p w14:paraId="451DC7E6" w14:textId="77777777" w:rsidR="000B4BD4" w:rsidRPr="0035187E" w:rsidRDefault="000B4BD4" w:rsidP="0035187E">
            <w:pPr>
              <w:numPr>
                <w:ilvl w:val="0"/>
                <w:numId w:val="75"/>
              </w:numPr>
              <w:ind w:left="0" w:firstLine="4"/>
              <w:jc w:val="both"/>
              <w:rPr>
                <w:rFonts w:ascii="Times New Roman" w:hAnsi="Times New Roman" w:cs="Times New Roman"/>
                <w:sz w:val="20"/>
                <w:szCs w:val="20"/>
              </w:rPr>
            </w:pPr>
            <w:r w:rsidRPr="0035187E">
              <w:rPr>
                <w:rFonts w:ascii="Times New Roman" w:hAnsi="Times New Roman" w:cs="Times New Roman"/>
                <w:sz w:val="20"/>
                <w:szCs w:val="20"/>
              </w:rPr>
              <w:t>přiblížit českou úpravu standardům EU,</w:t>
            </w:r>
          </w:p>
          <w:p w14:paraId="228AA4CA" w14:textId="77777777" w:rsidR="000B4BD4" w:rsidRPr="0035187E" w:rsidRDefault="000B4BD4" w:rsidP="0035187E">
            <w:pPr>
              <w:numPr>
                <w:ilvl w:val="0"/>
                <w:numId w:val="75"/>
              </w:numPr>
              <w:ind w:left="0" w:firstLine="4"/>
              <w:jc w:val="both"/>
              <w:rPr>
                <w:rFonts w:ascii="Times New Roman" w:hAnsi="Times New Roman" w:cs="Times New Roman"/>
                <w:sz w:val="20"/>
                <w:szCs w:val="20"/>
              </w:rPr>
            </w:pPr>
            <w:r w:rsidRPr="0035187E">
              <w:rPr>
                <w:rFonts w:ascii="Times New Roman" w:hAnsi="Times New Roman" w:cs="Times New Roman"/>
                <w:sz w:val="20"/>
                <w:szCs w:val="20"/>
              </w:rPr>
              <w:t>umožnit zaměstnavatelům poskytovat moderní a ekologické benefity,</w:t>
            </w:r>
          </w:p>
          <w:p w14:paraId="3BE091E1" w14:textId="77777777" w:rsidR="000B4BD4" w:rsidRPr="0035187E" w:rsidRDefault="000B4BD4" w:rsidP="0035187E">
            <w:pPr>
              <w:numPr>
                <w:ilvl w:val="0"/>
                <w:numId w:val="75"/>
              </w:numPr>
              <w:ind w:left="0" w:firstLine="4"/>
              <w:jc w:val="both"/>
              <w:rPr>
                <w:rFonts w:ascii="Times New Roman" w:hAnsi="Times New Roman" w:cs="Times New Roman"/>
                <w:sz w:val="20"/>
                <w:szCs w:val="20"/>
              </w:rPr>
            </w:pPr>
            <w:r w:rsidRPr="0035187E">
              <w:rPr>
                <w:rFonts w:ascii="Times New Roman" w:hAnsi="Times New Roman" w:cs="Times New Roman"/>
                <w:sz w:val="20"/>
                <w:szCs w:val="20"/>
              </w:rPr>
              <w:t>zvýšit atraktivitu zaměstnaneckých benefitů bez zvýšení mzdových nákladů.</w:t>
            </w:r>
          </w:p>
          <w:p w14:paraId="31493CEE"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br w:type="page"/>
            </w:r>
          </w:p>
          <w:p w14:paraId="61B34848"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3. Dopady na státní rozpočet</w:t>
            </w:r>
          </w:p>
          <w:p w14:paraId="35E8D97C"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Krátkodobě lze očekávat mírné snížení příjmů z daní a pojistného. Dlouhodobě však:</w:t>
            </w:r>
          </w:p>
          <w:p w14:paraId="40EC3008" w14:textId="77777777" w:rsidR="000B4BD4" w:rsidRPr="0035187E" w:rsidRDefault="000B4BD4" w:rsidP="0035187E">
            <w:pPr>
              <w:numPr>
                <w:ilvl w:val="0"/>
                <w:numId w:val="76"/>
              </w:numPr>
              <w:ind w:left="0" w:firstLine="4"/>
              <w:jc w:val="both"/>
              <w:rPr>
                <w:rFonts w:ascii="Times New Roman" w:hAnsi="Times New Roman" w:cs="Times New Roman"/>
                <w:sz w:val="20"/>
                <w:szCs w:val="20"/>
              </w:rPr>
            </w:pPr>
            <w:r w:rsidRPr="0035187E">
              <w:rPr>
                <w:rFonts w:ascii="Times New Roman" w:hAnsi="Times New Roman" w:cs="Times New Roman"/>
                <w:sz w:val="20"/>
                <w:szCs w:val="20"/>
              </w:rPr>
              <w:t>snížení dopravní zátěže,</w:t>
            </w:r>
          </w:p>
          <w:p w14:paraId="3FFB6F69" w14:textId="77777777" w:rsidR="000B4BD4" w:rsidRPr="0035187E" w:rsidRDefault="000B4BD4" w:rsidP="0035187E">
            <w:pPr>
              <w:numPr>
                <w:ilvl w:val="0"/>
                <w:numId w:val="76"/>
              </w:numPr>
              <w:ind w:left="0" w:firstLine="4"/>
              <w:jc w:val="both"/>
              <w:rPr>
                <w:rFonts w:ascii="Times New Roman" w:hAnsi="Times New Roman" w:cs="Times New Roman"/>
                <w:sz w:val="20"/>
                <w:szCs w:val="20"/>
              </w:rPr>
            </w:pPr>
            <w:r w:rsidRPr="0035187E">
              <w:rPr>
                <w:rFonts w:ascii="Times New Roman" w:hAnsi="Times New Roman" w:cs="Times New Roman"/>
                <w:sz w:val="20"/>
                <w:szCs w:val="20"/>
              </w:rPr>
              <w:t>nižší náklady na infrastrukturu,</w:t>
            </w:r>
          </w:p>
          <w:p w14:paraId="2BEDD415" w14:textId="77777777" w:rsidR="000B4BD4" w:rsidRPr="0035187E" w:rsidRDefault="000B4BD4" w:rsidP="0035187E">
            <w:pPr>
              <w:numPr>
                <w:ilvl w:val="0"/>
                <w:numId w:val="76"/>
              </w:numPr>
              <w:ind w:left="0" w:firstLine="4"/>
              <w:jc w:val="both"/>
              <w:rPr>
                <w:rFonts w:ascii="Times New Roman" w:hAnsi="Times New Roman" w:cs="Times New Roman"/>
                <w:sz w:val="20"/>
                <w:szCs w:val="20"/>
              </w:rPr>
            </w:pPr>
            <w:r w:rsidRPr="0035187E">
              <w:rPr>
                <w:rFonts w:ascii="Times New Roman" w:hAnsi="Times New Roman" w:cs="Times New Roman"/>
                <w:sz w:val="20"/>
                <w:szCs w:val="20"/>
              </w:rPr>
              <w:t>vyšší zaměstnanost díky atraktivnějším benefitům,</w:t>
            </w:r>
          </w:p>
          <w:p w14:paraId="5DEDE14D" w14:textId="77777777" w:rsidR="000B4BD4" w:rsidRPr="0035187E" w:rsidRDefault="000B4BD4" w:rsidP="0035187E">
            <w:pPr>
              <w:numPr>
                <w:ilvl w:val="0"/>
                <w:numId w:val="76"/>
              </w:numPr>
              <w:ind w:left="0" w:firstLine="4"/>
              <w:jc w:val="both"/>
              <w:rPr>
                <w:rFonts w:ascii="Times New Roman" w:hAnsi="Times New Roman" w:cs="Times New Roman"/>
                <w:sz w:val="20"/>
                <w:szCs w:val="20"/>
              </w:rPr>
            </w:pPr>
            <w:r w:rsidRPr="0035187E">
              <w:rPr>
                <w:rFonts w:ascii="Times New Roman" w:hAnsi="Times New Roman" w:cs="Times New Roman"/>
                <w:sz w:val="20"/>
                <w:szCs w:val="20"/>
              </w:rPr>
              <w:t>pozitivní dopady na životní prostředí.</w:t>
            </w:r>
          </w:p>
          <w:p w14:paraId="09E91F3E"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4. Soulad s právem EU</w:t>
            </w:r>
          </w:p>
          <w:p w14:paraId="4F603FF3"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Návrh je v souladu s principy EU v oblasti:</w:t>
            </w:r>
          </w:p>
          <w:p w14:paraId="3A82307C" w14:textId="77777777" w:rsidR="000B4BD4" w:rsidRPr="0035187E" w:rsidRDefault="000B4BD4" w:rsidP="0035187E">
            <w:pPr>
              <w:numPr>
                <w:ilvl w:val="0"/>
                <w:numId w:val="77"/>
              </w:numPr>
              <w:ind w:left="0" w:firstLine="4"/>
              <w:jc w:val="both"/>
              <w:rPr>
                <w:rFonts w:ascii="Times New Roman" w:hAnsi="Times New Roman" w:cs="Times New Roman"/>
                <w:sz w:val="20"/>
                <w:szCs w:val="20"/>
              </w:rPr>
            </w:pPr>
            <w:r w:rsidRPr="0035187E">
              <w:rPr>
                <w:rFonts w:ascii="Times New Roman" w:hAnsi="Times New Roman" w:cs="Times New Roman"/>
                <w:sz w:val="20"/>
                <w:szCs w:val="20"/>
              </w:rPr>
              <w:t>udržitelné mobility,</w:t>
            </w:r>
          </w:p>
          <w:p w14:paraId="2F8ACB68" w14:textId="77777777" w:rsidR="000B4BD4" w:rsidRPr="0035187E" w:rsidRDefault="000B4BD4" w:rsidP="0035187E">
            <w:pPr>
              <w:numPr>
                <w:ilvl w:val="0"/>
                <w:numId w:val="77"/>
              </w:numPr>
              <w:ind w:left="0" w:firstLine="4"/>
              <w:jc w:val="both"/>
              <w:rPr>
                <w:rFonts w:ascii="Times New Roman" w:hAnsi="Times New Roman" w:cs="Times New Roman"/>
                <w:sz w:val="20"/>
                <w:szCs w:val="20"/>
              </w:rPr>
            </w:pPr>
            <w:r w:rsidRPr="0035187E">
              <w:rPr>
                <w:rFonts w:ascii="Times New Roman" w:hAnsi="Times New Roman" w:cs="Times New Roman"/>
                <w:sz w:val="20"/>
                <w:szCs w:val="20"/>
              </w:rPr>
              <w:t>snižování emisí,</w:t>
            </w:r>
          </w:p>
          <w:p w14:paraId="7AAA1DC2" w14:textId="77777777" w:rsidR="000B4BD4" w:rsidRPr="0035187E" w:rsidRDefault="000B4BD4" w:rsidP="0035187E">
            <w:pPr>
              <w:numPr>
                <w:ilvl w:val="0"/>
                <w:numId w:val="77"/>
              </w:numPr>
              <w:ind w:left="0" w:firstLine="4"/>
              <w:jc w:val="both"/>
              <w:rPr>
                <w:rFonts w:ascii="Times New Roman" w:hAnsi="Times New Roman" w:cs="Times New Roman"/>
                <w:sz w:val="20"/>
                <w:szCs w:val="20"/>
              </w:rPr>
            </w:pPr>
            <w:r w:rsidRPr="0035187E">
              <w:rPr>
                <w:rFonts w:ascii="Times New Roman" w:hAnsi="Times New Roman" w:cs="Times New Roman"/>
                <w:sz w:val="20"/>
                <w:szCs w:val="20"/>
              </w:rPr>
              <w:t>podpory veřejné dopravy.</w:t>
            </w:r>
          </w:p>
          <w:p w14:paraId="6B449888"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5. Srovnání s praxí v EU</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446"/>
              <w:gridCol w:w="2115"/>
              <w:gridCol w:w="1673"/>
              <w:gridCol w:w="1696"/>
            </w:tblGrid>
            <w:tr w:rsidR="000B4BD4" w:rsidRPr="0035187E" w14:paraId="359E0A98" w14:textId="77777777" w:rsidTr="00E84E3D">
              <w:trPr>
                <w:trHeight w:val="211"/>
                <w:tblHeader/>
                <w:tblCellSpacing w:w="15" w:type="dxa"/>
              </w:trPr>
              <w:tc>
                <w:tcPr>
                  <w:tcW w:w="1401" w:type="dxa"/>
                  <w:vAlign w:val="center"/>
                  <w:hideMark/>
                </w:tcPr>
                <w:p w14:paraId="419C7964"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Země</w:t>
                  </w:r>
                </w:p>
              </w:tc>
              <w:tc>
                <w:tcPr>
                  <w:tcW w:w="2085" w:type="dxa"/>
                  <w:vAlign w:val="center"/>
                  <w:hideMark/>
                </w:tcPr>
                <w:p w14:paraId="2AE9BF08"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Režim příspěvku na MHD</w:t>
                  </w:r>
                </w:p>
              </w:tc>
              <w:tc>
                <w:tcPr>
                  <w:tcW w:w="1643" w:type="dxa"/>
                  <w:vAlign w:val="center"/>
                  <w:hideMark/>
                </w:tcPr>
                <w:p w14:paraId="6452573E"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Daňové osvobození</w:t>
                  </w:r>
                </w:p>
              </w:tc>
              <w:tc>
                <w:tcPr>
                  <w:tcW w:w="1651" w:type="dxa"/>
                  <w:vAlign w:val="center"/>
                  <w:hideMark/>
                </w:tcPr>
                <w:p w14:paraId="45E9CE59"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Daňová uznatelnost</w:t>
                  </w:r>
                </w:p>
              </w:tc>
            </w:tr>
            <w:tr w:rsidR="000B4BD4" w:rsidRPr="0035187E" w14:paraId="1AAC4718" w14:textId="77777777" w:rsidTr="00E84E3D">
              <w:trPr>
                <w:trHeight w:val="225"/>
                <w:tblCellSpacing w:w="15" w:type="dxa"/>
              </w:trPr>
              <w:tc>
                <w:tcPr>
                  <w:tcW w:w="1401" w:type="dxa"/>
                  <w:vAlign w:val="center"/>
                  <w:hideMark/>
                </w:tcPr>
                <w:p w14:paraId="0B093008"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b/>
                      <w:bCs/>
                      <w:sz w:val="20"/>
                      <w:szCs w:val="20"/>
                    </w:rPr>
                    <w:t>Německo</w:t>
                  </w:r>
                </w:p>
              </w:tc>
              <w:tc>
                <w:tcPr>
                  <w:tcW w:w="2085" w:type="dxa"/>
                  <w:vAlign w:val="center"/>
                  <w:hideMark/>
                </w:tcPr>
                <w:p w14:paraId="7A8448F7" w14:textId="77777777" w:rsidR="000B4BD4" w:rsidRPr="0035187E" w:rsidRDefault="000B4BD4" w:rsidP="0035187E">
                  <w:pPr>
                    <w:jc w:val="both"/>
                    <w:rPr>
                      <w:rFonts w:ascii="Times New Roman" w:hAnsi="Times New Roman" w:cs="Times New Roman"/>
                      <w:sz w:val="20"/>
                      <w:szCs w:val="20"/>
                    </w:rPr>
                  </w:pPr>
                  <w:proofErr w:type="spellStart"/>
                  <w:r w:rsidRPr="0035187E">
                    <w:rPr>
                      <w:rFonts w:ascii="Times New Roman" w:hAnsi="Times New Roman" w:cs="Times New Roman"/>
                      <w:sz w:val="20"/>
                      <w:szCs w:val="20"/>
                    </w:rPr>
                    <w:t>Deutschlandticket</w:t>
                  </w:r>
                  <w:proofErr w:type="spellEnd"/>
                </w:p>
              </w:tc>
              <w:tc>
                <w:tcPr>
                  <w:tcW w:w="1643" w:type="dxa"/>
                  <w:vAlign w:val="center"/>
                  <w:hideMark/>
                </w:tcPr>
                <w:p w14:paraId="3FF0366C"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Ano</w:t>
                  </w:r>
                </w:p>
              </w:tc>
              <w:tc>
                <w:tcPr>
                  <w:tcW w:w="1651" w:type="dxa"/>
                  <w:vAlign w:val="center"/>
                  <w:hideMark/>
                </w:tcPr>
                <w:p w14:paraId="7D64AF76"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Ano</w:t>
                  </w:r>
                </w:p>
              </w:tc>
            </w:tr>
            <w:tr w:rsidR="000B4BD4" w:rsidRPr="0035187E" w14:paraId="099E6916" w14:textId="77777777" w:rsidTr="00E84E3D">
              <w:trPr>
                <w:trHeight w:val="211"/>
                <w:tblCellSpacing w:w="15" w:type="dxa"/>
              </w:trPr>
              <w:tc>
                <w:tcPr>
                  <w:tcW w:w="1401" w:type="dxa"/>
                  <w:vAlign w:val="center"/>
                  <w:hideMark/>
                </w:tcPr>
                <w:p w14:paraId="5E3015B2"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b/>
                      <w:bCs/>
                      <w:sz w:val="20"/>
                      <w:szCs w:val="20"/>
                    </w:rPr>
                    <w:t>Rakousko</w:t>
                  </w:r>
                </w:p>
              </w:tc>
              <w:tc>
                <w:tcPr>
                  <w:tcW w:w="2085" w:type="dxa"/>
                  <w:vAlign w:val="center"/>
                  <w:hideMark/>
                </w:tcPr>
                <w:p w14:paraId="75BD2D6B" w14:textId="77777777" w:rsidR="000B4BD4" w:rsidRPr="0035187E" w:rsidRDefault="000B4BD4" w:rsidP="0035187E">
                  <w:pPr>
                    <w:jc w:val="both"/>
                    <w:rPr>
                      <w:rFonts w:ascii="Times New Roman" w:hAnsi="Times New Roman" w:cs="Times New Roman"/>
                      <w:sz w:val="20"/>
                      <w:szCs w:val="20"/>
                    </w:rPr>
                  </w:pPr>
                  <w:proofErr w:type="spellStart"/>
                  <w:r w:rsidRPr="0035187E">
                    <w:rPr>
                      <w:rFonts w:ascii="Times New Roman" w:hAnsi="Times New Roman" w:cs="Times New Roman"/>
                      <w:sz w:val="20"/>
                      <w:szCs w:val="20"/>
                    </w:rPr>
                    <w:t>Jobticket</w:t>
                  </w:r>
                  <w:proofErr w:type="spellEnd"/>
                </w:p>
              </w:tc>
              <w:tc>
                <w:tcPr>
                  <w:tcW w:w="1643" w:type="dxa"/>
                  <w:vAlign w:val="center"/>
                  <w:hideMark/>
                </w:tcPr>
                <w:p w14:paraId="75846751"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Ano</w:t>
                  </w:r>
                </w:p>
              </w:tc>
              <w:tc>
                <w:tcPr>
                  <w:tcW w:w="1651" w:type="dxa"/>
                  <w:vAlign w:val="center"/>
                  <w:hideMark/>
                </w:tcPr>
                <w:p w14:paraId="737C7B98"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Ano</w:t>
                  </w:r>
                </w:p>
              </w:tc>
            </w:tr>
            <w:tr w:rsidR="000B4BD4" w:rsidRPr="0035187E" w14:paraId="3CF53903" w14:textId="77777777" w:rsidTr="00E84E3D">
              <w:trPr>
                <w:trHeight w:val="211"/>
                <w:tblCellSpacing w:w="15" w:type="dxa"/>
              </w:trPr>
              <w:tc>
                <w:tcPr>
                  <w:tcW w:w="1401" w:type="dxa"/>
                  <w:vAlign w:val="center"/>
                  <w:hideMark/>
                </w:tcPr>
                <w:p w14:paraId="1D323601"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b/>
                      <w:bCs/>
                      <w:sz w:val="20"/>
                      <w:szCs w:val="20"/>
                    </w:rPr>
                    <w:t>Belgie</w:t>
                  </w:r>
                </w:p>
              </w:tc>
              <w:tc>
                <w:tcPr>
                  <w:tcW w:w="2085" w:type="dxa"/>
                  <w:vAlign w:val="center"/>
                  <w:hideMark/>
                </w:tcPr>
                <w:p w14:paraId="2A4E8301"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Povinný příspěvek</w:t>
                  </w:r>
                </w:p>
              </w:tc>
              <w:tc>
                <w:tcPr>
                  <w:tcW w:w="1643" w:type="dxa"/>
                  <w:vAlign w:val="center"/>
                  <w:hideMark/>
                </w:tcPr>
                <w:p w14:paraId="21049183"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Ano</w:t>
                  </w:r>
                </w:p>
              </w:tc>
              <w:tc>
                <w:tcPr>
                  <w:tcW w:w="1651" w:type="dxa"/>
                  <w:vAlign w:val="center"/>
                  <w:hideMark/>
                </w:tcPr>
                <w:p w14:paraId="474F0164"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Ano</w:t>
                  </w:r>
                </w:p>
              </w:tc>
            </w:tr>
            <w:tr w:rsidR="000B4BD4" w:rsidRPr="0035187E" w14:paraId="1F524A85" w14:textId="77777777" w:rsidTr="00E84E3D">
              <w:trPr>
                <w:trHeight w:val="225"/>
                <w:tblCellSpacing w:w="15" w:type="dxa"/>
              </w:trPr>
              <w:tc>
                <w:tcPr>
                  <w:tcW w:w="1401" w:type="dxa"/>
                  <w:vAlign w:val="center"/>
                  <w:hideMark/>
                </w:tcPr>
                <w:p w14:paraId="26990035"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b/>
                      <w:bCs/>
                      <w:sz w:val="20"/>
                      <w:szCs w:val="20"/>
                    </w:rPr>
                    <w:t>Nizozemsko</w:t>
                  </w:r>
                </w:p>
              </w:tc>
              <w:tc>
                <w:tcPr>
                  <w:tcW w:w="2085" w:type="dxa"/>
                  <w:vAlign w:val="center"/>
                  <w:hideMark/>
                </w:tcPr>
                <w:p w14:paraId="56A9BC1B"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100% úhrada MHD</w:t>
                  </w:r>
                </w:p>
              </w:tc>
              <w:tc>
                <w:tcPr>
                  <w:tcW w:w="1643" w:type="dxa"/>
                  <w:vAlign w:val="center"/>
                  <w:hideMark/>
                </w:tcPr>
                <w:p w14:paraId="48A24341"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Ano</w:t>
                  </w:r>
                </w:p>
              </w:tc>
              <w:tc>
                <w:tcPr>
                  <w:tcW w:w="1651" w:type="dxa"/>
                  <w:vAlign w:val="center"/>
                  <w:hideMark/>
                </w:tcPr>
                <w:p w14:paraId="13FB0097"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Ano</w:t>
                  </w:r>
                </w:p>
              </w:tc>
            </w:tr>
            <w:tr w:rsidR="000B4BD4" w:rsidRPr="0035187E" w14:paraId="2CF436F4" w14:textId="77777777" w:rsidTr="00E84E3D">
              <w:trPr>
                <w:trHeight w:val="211"/>
                <w:tblCellSpacing w:w="15" w:type="dxa"/>
              </w:trPr>
              <w:tc>
                <w:tcPr>
                  <w:tcW w:w="1401" w:type="dxa"/>
                  <w:vAlign w:val="center"/>
                  <w:hideMark/>
                </w:tcPr>
                <w:p w14:paraId="3301837E"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b/>
                      <w:bCs/>
                      <w:sz w:val="20"/>
                      <w:szCs w:val="20"/>
                    </w:rPr>
                    <w:t>Francie</w:t>
                  </w:r>
                </w:p>
              </w:tc>
              <w:tc>
                <w:tcPr>
                  <w:tcW w:w="2085" w:type="dxa"/>
                  <w:vAlign w:val="center"/>
                  <w:hideMark/>
                </w:tcPr>
                <w:p w14:paraId="5C1E54EF"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Povinných 50 %</w:t>
                  </w:r>
                </w:p>
              </w:tc>
              <w:tc>
                <w:tcPr>
                  <w:tcW w:w="1643" w:type="dxa"/>
                  <w:vAlign w:val="center"/>
                  <w:hideMark/>
                </w:tcPr>
                <w:p w14:paraId="12AD3EB3"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Ano</w:t>
                  </w:r>
                </w:p>
              </w:tc>
              <w:tc>
                <w:tcPr>
                  <w:tcW w:w="1651" w:type="dxa"/>
                  <w:vAlign w:val="center"/>
                  <w:hideMark/>
                </w:tcPr>
                <w:p w14:paraId="1B4B25C2"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Ano</w:t>
                  </w:r>
                </w:p>
              </w:tc>
            </w:tr>
            <w:tr w:rsidR="000B4BD4" w:rsidRPr="0035187E" w14:paraId="21A604E6" w14:textId="77777777" w:rsidTr="00E84E3D">
              <w:trPr>
                <w:trHeight w:val="211"/>
                <w:tblCellSpacing w:w="15" w:type="dxa"/>
              </w:trPr>
              <w:tc>
                <w:tcPr>
                  <w:tcW w:w="1401" w:type="dxa"/>
                  <w:vAlign w:val="center"/>
                  <w:hideMark/>
                </w:tcPr>
                <w:p w14:paraId="2FED0050"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b/>
                      <w:bCs/>
                      <w:sz w:val="20"/>
                      <w:szCs w:val="20"/>
                    </w:rPr>
                    <w:t>ČR (navrhované)</w:t>
                  </w:r>
                </w:p>
              </w:tc>
              <w:tc>
                <w:tcPr>
                  <w:tcW w:w="2085" w:type="dxa"/>
                  <w:vAlign w:val="center"/>
                  <w:hideMark/>
                </w:tcPr>
                <w:p w14:paraId="3231D674"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Dobrovolný benefit</w:t>
                  </w:r>
                </w:p>
              </w:tc>
              <w:tc>
                <w:tcPr>
                  <w:tcW w:w="1643" w:type="dxa"/>
                  <w:vAlign w:val="center"/>
                  <w:hideMark/>
                </w:tcPr>
                <w:p w14:paraId="3CFCEE5E"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Ano</w:t>
                  </w:r>
                </w:p>
              </w:tc>
              <w:tc>
                <w:tcPr>
                  <w:tcW w:w="1651" w:type="dxa"/>
                  <w:vAlign w:val="center"/>
                  <w:hideMark/>
                </w:tcPr>
                <w:p w14:paraId="4E5157E7"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Ano</w:t>
                  </w:r>
                </w:p>
              </w:tc>
            </w:tr>
          </w:tbl>
          <w:p w14:paraId="7916A612"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Česká republika je jednou z mála zemí, kde příspěvek na MHD </w:t>
            </w:r>
            <w:r w:rsidRPr="0035187E">
              <w:rPr>
                <w:rFonts w:ascii="Times New Roman" w:hAnsi="Times New Roman" w:cs="Times New Roman"/>
                <w:b/>
                <w:bCs/>
                <w:sz w:val="20"/>
                <w:szCs w:val="20"/>
              </w:rPr>
              <w:t>není</w:t>
            </w:r>
            <w:r w:rsidRPr="0035187E">
              <w:rPr>
                <w:rFonts w:ascii="Times New Roman" w:hAnsi="Times New Roman" w:cs="Times New Roman"/>
                <w:sz w:val="20"/>
                <w:szCs w:val="20"/>
              </w:rPr>
              <w:t xml:space="preserve"> daňově zvýhodněn.</w:t>
            </w:r>
          </w:p>
          <w:p w14:paraId="097A09E5" w14:textId="77777777" w:rsidR="000B4BD4" w:rsidRPr="0035187E" w:rsidRDefault="000B4BD4" w:rsidP="0035187E">
            <w:pPr>
              <w:jc w:val="both"/>
              <w:rPr>
                <w:rFonts w:ascii="Times New Roman" w:hAnsi="Times New Roman" w:cs="Times New Roman"/>
                <w:b/>
                <w:bCs/>
                <w:sz w:val="20"/>
                <w:szCs w:val="20"/>
              </w:rPr>
            </w:pPr>
          </w:p>
          <w:p w14:paraId="29DA50C9" w14:textId="77777777" w:rsidR="000B4BD4" w:rsidRPr="0035187E" w:rsidRDefault="000B4BD4" w:rsidP="0035187E">
            <w:pPr>
              <w:jc w:val="center"/>
              <w:rPr>
                <w:rFonts w:ascii="Times New Roman" w:hAnsi="Times New Roman" w:cs="Times New Roman"/>
                <w:b/>
                <w:bCs/>
                <w:sz w:val="20"/>
                <w:szCs w:val="20"/>
              </w:rPr>
            </w:pPr>
            <w:r w:rsidRPr="0035187E">
              <w:rPr>
                <w:rFonts w:ascii="Times New Roman" w:hAnsi="Times New Roman" w:cs="Times New Roman"/>
                <w:b/>
                <w:bCs/>
                <w:sz w:val="20"/>
                <w:szCs w:val="20"/>
              </w:rPr>
              <w:t>NÁVRH PROVÁDĚCÍ VYHLÁŠKY MINISTERSTVA FINANCÍ</w:t>
            </w:r>
          </w:p>
          <w:p w14:paraId="375A0A82" w14:textId="7777777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i/>
                <w:iCs/>
                <w:sz w:val="20"/>
                <w:szCs w:val="20"/>
              </w:rPr>
              <w:t>(stručný návrh)</w:t>
            </w:r>
          </w:p>
          <w:p w14:paraId="1451EEC0" w14:textId="77777777" w:rsidR="000B4BD4" w:rsidRPr="0035187E" w:rsidRDefault="000B4BD4" w:rsidP="0035187E">
            <w:pPr>
              <w:jc w:val="center"/>
              <w:rPr>
                <w:rFonts w:ascii="Times New Roman" w:hAnsi="Times New Roman" w:cs="Times New Roman"/>
                <w:b/>
                <w:bCs/>
                <w:sz w:val="20"/>
                <w:szCs w:val="20"/>
              </w:rPr>
            </w:pPr>
            <w:r w:rsidRPr="0035187E">
              <w:rPr>
                <w:rFonts w:ascii="Times New Roman" w:hAnsi="Times New Roman" w:cs="Times New Roman"/>
                <w:b/>
                <w:bCs/>
                <w:sz w:val="20"/>
                <w:szCs w:val="20"/>
              </w:rPr>
              <w:t>Vyhláška Ministerstva financí</w:t>
            </w:r>
          </w:p>
          <w:p w14:paraId="26410734" w14:textId="7777777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o podmínkách poskytování nepeněžního plnění na úhradu jízdného ve veřejné hromadné dopravě osob</w:t>
            </w:r>
          </w:p>
          <w:p w14:paraId="27BE2C5C" w14:textId="77777777" w:rsidR="000B4BD4" w:rsidRPr="0035187E" w:rsidRDefault="000B4BD4" w:rsidP="0035187E">
            <w:pPr>
              <w:jc w:val="center"/>
              <w:rPr>
                <w:rFonts w:ascii="Times New Roman" w:hAnsi="Times New Roman" w:cs="Times New Roman"/>
                <w:b/>
                <w:bCs/>
                <w:sz w:val="20"/>
                <w:szCs w:val="20"/>
              </w:rPr>
            </w:pPr>
            <w:r w:rsidRPr="0035187E">
              <w:rPr>
                <w:rFonts w:ascii="Times New Roman" w:hAnsi="Times New Roman" w:cs="Times New Roman"/>
                <w:b/>
                <w:bCs/>
                <w:sz w:val="20"/>
                <w:szCs w:val="20"/>
              </w:rPr>
              <w:t>§ 1</w:t>
            </w:r>
          </w:p>
          <w:p w14:paraId="45B8906D" w14:textId="7777777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b/>
                <w:bCs/>
                <w:sz w:val="20"/>
                <w:szCs w:val="20"/>
              </w:rPr>
              <w:t>Předmět úpravy</w:t>
            </w:r>
          </w:p>
          <w:p w14:paraId="5489789E" w14:textId="7777777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Tato vyhláška stanoví podmínky poskytování nepeněžního plnění podle § 6 odst. 9 písm. l) zákona o daních z příjmů.</w:t>
            </w:r>
          </w:p>
          <w:p w14:paraId="38E52921" w14:textId="77777777" w:rsidR="000B4BD4" w:rsidRPr="0035187E" w:rsidRDefault="000B4BD4" w:rsidP="0035187E">
            <w:pPr>
              <w:jc w:val="center"/>
              <w:rPr>
                <w:rFonts w:ascii="Times New Roman" w:hAnsi="Times New Roman" w:cs="Times New Roman"/>
                <w:b/>
                <w:bCs/>
                <w:sz w:val="20"/>
                <w:szCs w:val="20"/>
              </w:rPr>
            </w:pPr>
            <w:r w:rsidRPr="0035187E">
              <w:rPr>
                <w:rFonts w:ascii="Times New Roman" w:hAnsi="Times New Roman" w:cs="Times New Roman"/>
                <w:b/>
                <w:bCs/>
                <w:sz w:val="20"/>
                <w:szCs w:val="20"/>
              </w:rPr>
              <w:t>§ 2</w:t>
            </w:r>
          </w:p>
          <w:p w14:paraId="4A67A7C3" w14:textId="7777777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b/>
                <w:bCs/>
                <w:sz w:val="20"/>
                <w:szCs w:val="20"/>
              </w:rPr>
              <w:t>Rozsah a forma plnění</w:t>
            </w:r>
          </w:p>
          <w:p w14:paraId="059BB657"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(1) Nepeněžní plnění lze poskytnout formou: </w:t>
            </w:r>
          </w:p>
          <w:p w14:paraId="41AEDA8F"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a) úhrady předplatného jízdného (měsíčního, čtvrtletního, ročního), </w:t>
            </w:r>
          </w:p>
          <w:p w14:paraId="6C036734"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b) úhrady elektronických kuponů, </w:t>
            </w:r>
          </w:p>
          <w:p w14:paraId="599B2C20"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c) úhrady jednotlivých jízdních dokladů,</w:t>
            </w:r>
          </w:p>
          <w:p w14:paraId="30F8B9BE"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d) úhrady integrovaných dopravních systémů.</w:t>
            </w:r>
          </w:p>
          <w:p w14:paraId="50FA7A00"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(2) Plnění se poskytuje bezhotovostně prostřednictvím zaměstnavatele nebo poskytovatele benefitních služeb.</w:t>
            </w:r>
          </w:p>
          <w:p w14:paraId="342732E2" w14:textId="77777777" w:rsidR="000B4BD4" w:rsidRPr="0035187E" w:rsidRDefault="000B4BD4" w:rsidP="0035187E">
            <w:pPr>
              <w:jc w:val="center"/>
              <w:rPr>
                <w:rFonts w:ascii="Times New Roman" w:hAnsi="Times New Roman" w:cs="Times New Roman"/>
                <w:b/>
                <w:bCs/>
                <w:sz w:val="20"/>
                <w:szCs w:val="20"/>
              </w:rPr>
            </w:pPr>
            <w:r w:rsidRPr="0035187E">
              <w:rPr>
                <w:rFonts w:ascii="Times New Roman" w:hAnsi="Times New Roman" w:cs="Times New Roman"/>
                <w:b/>
                <w:bCs/>
                <w:sz w:val="20"/>
                <w:szCs w:val="20"/>
              </w:rPr>
              <w:t>§ 3</w:t>
            </w:r>
          </w:p>
          <w:p w14:paraId="5ED7DC9E" w14:textId="7777777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b/>
                <w:bCs/>
                <w:sz w:val="20"/>
                <w:szCs w:val="20"/>
              </w:rPr>
              <w:t>Dokladování</w:t>
            </w:r>
          </w:p>
          <w:p w14:paraId="1A379568"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Zaměstnanec je povinen doložit zaměstnavateli doklad o úhradě jízdného, pokud není úhrada provedena přímo zaměstnavatelem.</w:t>
            </w:r>
          </w:p>
          <w:p w14:paraId="616B81DC" w14:textId="77777777" w:rsidR="000B4BD4" w:rsidRPr="0035187E" w:rsidRDefault="000B4BD4" w:rsidP="0035187E">
            <w:pPr>
              <w:jc w:val="center"/>
              <w:rPr>
                <w:rFonts w:ascii="Times New Roman" w:hAnsi="Times New Roman" w:cs="Times New Roman"/>
                <w:b/>
                <w:bCs/>
                <w:sz w:val="20"/>
                <w:szCs w:val="20"/>
              </w:rPr>
            </w:pPr>
            <w:r w:rsidRPr="0035187E">
              <w:rPr>
                <w:rFonts w:ascii="Times New Roman" w:hAnsi="Times New Roman" w:cs="Times New Roman"/>
                <w:b/>
                <w:bCs/>
                <w:sz w:val="20"/>
                <w:szCs w:val="20"/>
              </w:rPr>
              <w:t>§ 4</w:t>
            </w:r>
          </w:p>
          <w:p w14:paraId="7461AEE8" w14:textId="7777777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b/>
                <w:bCs/>
                <w:sz w:val="20"/>
                <w:szCs w:val="20"/>
              </w:rPr>
              <w:t>Účinnost</w:t>
            </w:r>
          </w:p>
          <w:p w14:paraId="745D6E91" w14:textId="00861FA4" w:rsidR="000B4BD4" w:rsidRPr="0035187E" w:rsidRDefault="000B4BD4" w:rsidP="0035187E">
            <w:pPr>
              <w:jc w:val="both"/>
              <w:rPr>
                <w:rFonts w:ascii="Times New Roman" w:eastAsia="Calibri" w:hAnsi="Times New Roman" w:cs="Times New Roman"/>
                <w:i/>
                <w:iCs/>
                <w:kern w:val="2"/>
                <w:sz w:val="20"/>
                <w:szCs w:val="20"/>
                <w:lang w:eastAsia="en-US"/>
              </w:rPr>
            </w:pPr>
            <w:r w:rsidRPr="0035187E">
              <w:rPr>
                <w:rFonts w:ascii="Times New Roman" w:hAnsi="Times New Roman" w:cs="Times New Roman"/>
                <w:sz w:val="20"/>
                <w:szCs w:val="20"/>
              </w:rPr>
              <w:t>Tato vyhláška nabývá účinnosti dnem nabytí účinnosti zákona.</w:t>
            </w:r>
          </w:p>
        </w:tc>
        <w:tc>
          <w:tcPr>
            <w:tcW w:w="1453" w:type="pct"/>
            <w:tcBorders>
              <w:top w:val="single" w:sz="4" w:space="0" w:color="auto"/>
              <w:left w:val="single" w:sz="4" w:space="0" w:color="auto"/>
              <w:right w:val="single" w:sz="4" w:space="0" w:color="auto"/>
            </w:tcBorders>
            <w:shd w:val="clear" w:color="auto" w:fill="auto"/>
          </w:tcPr>
          <w:p w14:paraId="57358241"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Nevyhověno.</w:t>
            </w:r>
          </w:p>
          <w:p w14:paraId="46832C40" w14:textId="7DD7CC2D"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Podnět přesahuje rámec navrhované úpravy zákona o evidenci tržeb. </w:t>
            </w:r>
          </w:p>
          <w:p w14:paraId="4EEFC31B" w14:textId="5AC2CA4D"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Ve vztahu k dani z příjmů ze závislé činnosti nelze souhlasit s navrženým rozšířením osvobození ve formě nepeněžního plnění poskytovaného zaměstnavatelem zaměstnanci na úhradu jízdného ve veřejné hromadné dopravě osob, poskytovaného v souladu s prováděcím právním předpisem. </w:t>
            </w:r>
          </w:p>
          <w:p w14:paraId="6CB49B84" w14:textId="49339408"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Stávající konstrukce zákona o daních z příjmů vychází z jasného a dlouhodobě ustáleného principu, řeší daňové posouzení cestovních náhrad na straně zaměstnance i na straně zaměstnavatele v § 6 odst. 7 písm. a) ZDP, kde se za příjmy fyzických osob ze závislé činnosti nepovažují a předmětem daně nejsou náhrady cestovních výdajů poskytované zaměstnancům v souvislosti s výkonem závislé činnosti do výše stanovené zákoníkem práce pro nepodnikatelskou sféru. Oproti tomu cestu z bydliště zaměstnance do zaměstnání nelze považovat za pracovní cestu, a proto jestliže zaměstnavatel výdaj zaměstnanci proplatí, bude tato částka pro zaměstnance představovat zdanitelný příjem ze závislé činnosti podle § 6 ZDP a samozřejmě takovýto příspěvek bude také součástí vyměřovacího základu povinných odvodů zdravotního a sociálního pojištění. Jestliže budou naplněny podmínky ustanovení § 24 odst. 2 písm. j) bod 4 ZDP, není problém s posouzením předmětných výdajů na straně zaměstnavatele jako daňově účinných nákladů. </w:t>
            </w:r>
            <w:r w:rsidRPr="0035187E">
              <w:rPr>
                <w:rFonts w:ascii="Times New Roman" w:hAnsi="Times New Roman" w:cs="Times New Roman"/>
                <w:sz w:val="20"/>
                <w:szCs w:val="20"/>
              </w:rPr>
              <w:lastRenderedPageBreak/>
              <w:t xml:space="preserve">Navrhovaná změna by tento princip narušila a vedla by k nepřehlednosti a snížení transparentnosti zdanění. </w:t>
            </w:r>
          </w:p>
          <w:p w14:paraId="289A8EB2" w14:textId="4AA2235D"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Zavedení nového osvobození a současně daňové uznatelnosti by představovalo zásadní změnu koncepce zaměstnaneckých benefitů, přinášelo by dodatečnou administrativní zátěž pro zaměstnavatele i správce daně a mohlo by vést k nerovnostem mezi zaměstnanci v závislosti na možnostech jednotlivých zaměstnavatelů benefit poskytovat.</w:t>
            </w:r>
          </w:p>
          <w:p w14:paraId="4C61183B"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Nelze rovněž opomenout, že navrhované opatření by mělo nepříznivý dopad na veřejné rozpočty. </w:t>
            </w:r>
          </w:p>
          <w:p w14:paraId="2A10139A" w14:textId="77777777" w:rsidR="00915365" w:rsidRPr="0035187E" w:rsidRDefault="00915365" w:rsidP="0035187E">
            <w:pPr>
              <w:jc w:val="both"/>
              <w:rPr>
                <w:rFonts w:ascii="Times New Roman" w:hAnsi="Times New Roman" w:cs="Times New Roman"/>
                <w:sz w:val="20"/>
                <w:szCs w:val="20"/>
              </w:rPr>
            </w:pPr>
          </w:p>
          <w:p w14:paraId="617145D8" w14:textId="7F9DADBE" w:rsidR="00915365" w:rsidRPr="0035187E" w:rsidRDefault="00E743CB"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 xml:space="preserve">Připomínkové místo nezaslalo reakci k písemnému vypořádání.  </w:t>
            </w:r>
          </w:p>
          <w:p w14:paraId="3F6796A7" w14:textId="5F5EE9A0" w:rsidR="000B4BD4" w:rsidRPr="0035187E" w:rsidRDefault="000B4BD4" w:rsidP="0035187E">
            <w:pPr>
              <w:jc w:val="both"/>
              <w:rPr>
                <w:rFonts w:ascii="Times New Roman" w:hAnsi="Times New Roman" w:cs="Times New Roman"/>
                <w:sz w:val="20"/>
                <w:szCs w:val="20"/>
              </w:rPr>
            </w:pPr>
          </w:p>
        </w:tc>
      </w:tr>
      <w:tr w:rsidR="0035187E" w:rsidRPr="0035187E" w14:paraId="4F378184"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B709688" w14:textId="2D66C18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73.</w:t>
            </w:r>
          </w:p>
        </w:tc>
        <w:tc>
          <w:tcPr>
            <w:tcW w:w="583" w:type="pct"/>
            <w:tcBorders>
              <w:top w:val="single" w:sz="4" w:space="0" w:color="auto"/>
              <w:left w:val="single" w:sz="4" w:space="0" w:color="auto"/>
              <w:right w:val="single" w:sz="4" w:space="0" w:color="auto"/>
            </w:tcBorders>
            <w:shd w:val="clear" w:color="auto" w:fill="auto"/>
          </w:tcPr>
          <w:p w14:paraId="494BAC48" w14:textId="5A1C332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Svaz měst a obcí ČR</w:t>
            </w:r>
          </w:p>
        </w:tc>
        <w:tc>
          <w:tcPr>
            <w:tcW w:w="168" w:type="pct"/>
            <w:tcBorders>
              <w:top w:val="single" w:sz="4" w:space="0" w:color="auto"/>
              <w:left w:val="single" w:sz="4" w:space="0" w:color="auto"/>
              <w:right w:val="single" w:sz="4" w:space="0" w:color="auto"/>
            </w:tcBorders>
            <w:shd w:val="clear" w:color="auto" w:fill="auto"/>
          </w:tcPr>
          <w:p w14:paraId="771D2DEE" w14:textId="0E39C97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w:t>
            </w:r>
          </w:p>
        </w:tc>
        <w:tc>
          <w:tcPr>
            <w:tcW w:w="169" w:type="pct"/>
            <w:tcBorders>
              <w:top w:val="single" w:sz="4" w:space="0" w:color="auto"/>
              <w:left w:val="single" w:sz="4" w:space="0" w:color="auto"/>
              <w:right w:val="single" w:sz="4" w:space="0" w:color="auto"/>
            </w:tcBorders>
            <w:shd w:val="clear" w:color="auto" w:fill="auto"/>
          </w:tcPr>
          <w:p w14:paraId="3577F341" w14:textId="59F189A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90FDA35" w14:textId="77777777" w:rsidR="000B4BD4" w:rsidRPr="0035187E" w:rsidRDefault="000B4BD4" w:rsidP="0035187E">
            <w:pPr>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Připomínka č. 2: Zaměstnanecké benefity – zdravotní</w:t>
            </w:r>
          </w:p>
          <w:p w14:paraId="50331824" w14:textId="77777777" w:rsidR="000B4BD4" w:rsidRPr="0035187E" w:rsidRDefault="000B4BD4" w:rsidP="0035187E">
            <w:pPr>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Typ připomínky: doporučující</w:t>
            </w:r>
          </w:p>
          <w:p w14:paraId="533204B4" w14:textId="77777777" w:rsidR="000B4BD4" w:rsidRPr="0035187E" w:rsidRDefault="000B4BD4" w:rsidP="0035187E">
            <w:pPr>
              <w:jc w:val="both"/>
              <w:rPr>
                <w:rFonts w:ascii="Times New Roman" w:eastAsia="Calibri" w:hAnsi="Times New Roman" w:cs="Times New Roman"/>
                <w:sz w:val="20"/>
                <w:szCs w:val="20"/>
                <w:lang w:eastAsia="en-US"/>
              </w:rPr>
            </w:pPr>
          </w:p>
          <w:p w14:paraId="40EB4F3F"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Navrhujeme v navrhovaném znění § 6 odst. 9 písm. d) z. č. 586/1992 Sb., o daních z příjmů </w:t>
            </w:r>
            <w:r w:rsidRPr="0035187E">
              <w:rPr>
                <w:rFonts w:ascii="Times New Roman" w:eastAsia="Calibri" w:hAnsi="Times New Roman" w:cs="Times New Roman"/>
                <w:b/>
                <w:bCs/>
                <w:sz w:val="20"/>
                <w:szCs w:val="20"/>
                <w:lang w:eastAsia="en-US"/>
              </w:rPr>
              <w:t>vypustit část věty za středníkem</w:t>
            </w:r>
            <w:r w:rsidRPr="0035187E">
              <w:rPr>
                <w:rFonts w:ascii="Times New Roman" w:eastAsia="Calibri" w:hAnsi="Times New Roman" w:cs="Times New Roman"/>
                <w:sz w:val="20"/>
                <w:szCs w:val="20"/>
                <w:lang w:eastAsia="en-US"/>
              </w:rPr>
              <w:t>:</w:t>
            </w:r>
          </w:p>
          <w:p w14:paraId="1E4C0645"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w:t>
            </w:r>
            <w:r w:rsidRPr="0035187E">
              <w:rPr>
                <w:rFonts w:ascii="Times New Roman" w:eastAsia="Calibri" w:hAnsi="Times New Roman" w:cs="Times New Roman"/>
                <w:b/>
                <w:bCs/>
                <w:sz w:val="20"/>
                <w:szCs w:val="20"/>
                <w:lang w:eastAsia="en-US"/>
              </w:rPr>
              <w:t>tato plnění jsou osvobozena v úhrnu do výše průměrné mzdy za zdaňovací období</w:t>
            </w:r>
            <w:r w:rsidRPr="0035187E">
              <w:rPr>
                <w:rFonts w:ascii="Times New Roman" w:eastAsia="Calibri" w:hAnsi="Times New Roman" w:cs="Times New Roman"/>
                <w:sz w:val="20"/>
                <w:szCs w:val="20"/>
                <w:lang w:eastAsia="en-US"/>
              </w:rPr>
              <w:t>“.</w:t>
            </w:r>
          </w:p>
          <w:p w14:paraId="65994B7F"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Text ustanovení se navrhuje upravit tak, aby plnění uvedená v bodě 1 nebyla limitována výší průměrné mzdy.</w:t>
            </w:r>
          </w:p>
          <w:p w14:paraId="44F23D73" w14:textId="77777777" w:rsidR="000B4BD4" w:rsidRPr="0035187E" w:rsidRDefault="000B4BD4" w:rsidP="0035187E">
            <w:pPr>
              <w:jc w:val="both"/>
              <w:rPr>
                <w:rFonts w:ascii="Times New Roman" w:eastAsia="Calibri" w:hAnsi="Times New Roman" w:cs="Times New Roman"/>
                <w:sz w:val="20"/>
                <w:szCs w:val="20"/>
                <w:lang w:eastAsia="en-US"/>
              </w:rPr>
            </w:pPr>
          </w:p>
          <w:p w14:paraId="1C2C375A" w14:textId="77777777" w:rsidR="000B4BD4" w:rsidRPr="0035187E" w:rsidRDefault="000B4BD4" w:rsidP="0035187E">
            <w:pPr>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Odůvodnění:</w:t>
            </w:r>
          </w:p>
          <w:p w14:paraId="6754319D"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Navrhované omezení osvobození nepeněžních plnění poskytovaných zaměstnavatelem na zdravotní benefity do výše průměrné mzdy je z věcného i systémového hlediska problematické.</w:t>
            </w:r>
          </w:p>
          <w:p w14:paraId="24003D89" w14:textId="77777777" w:rsidR="000B4BD4" w:rsidRPr="0035187E" w:rsidRDefault="000B4BD4" w:rsidP="0035187E">
            <w:pPr>
              <w:numPr>
                <w:ilvl w:val="0"/>
                <w:numId w:val="78"/>
              </w:numPr>
              <w:ind w:left="0" w:firstLine="0"/>
              <w:jc w:val="both"/>
              <w:rPr>
                <w:rFonts w:ascii="Times New Roman" w:eastAsia="Calibri" w:hAnsi="Times New Roman" w:cs="Times New Roman"/>
                <w:sz w:val="20"/>
                <w:szCs w:val="20"/>
                <w:lang w:eastAsia="en-US"/>
              </w:rPr>
            </w:pPr>
            <w:r w:rsidRPr="0035187E">
              <w:rPr>
                <w:rFonts w:ascii="Times New Roman" w:eastAsia="Calibri" w:hAnsi="Times New Roman" w:cs="Times New Roman"/>
                <w:b/>
                <w:bCs/>
                <w:sz w:val="20"/>
                <w:szCs w:val="20"/>
                <w:lang w:eastAsia="en-US"/>
              </w:rPr>
              <w:t>Nesystémovost navrhované úpravy</w:t>
            </w:r>
          </w:p>
          <w:p w14:paraId="38458105"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Navržené omezení vytváří neodůvodněný rozdíl mezi jednotlivými typy zaměstnaneckých benefitů. Zatímco u plnění v oblasti kultury, sportu nebo rekreace zákon žádný obdobný limit nestanoví, u zdravotních benefitů se ponechává kvantitativní omezení. Takové rozlišení postrádá racionální důvod, neboť zdravotní benefity sledují minimálně stejně významný veřejný zájem jako benefity kulturní či sportovní.</w:t>
            </w:r>
          </w:p>
          <w:p w14:paraId="5D7364E5"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Z pohledu systematiky právní úpravy zaměstnaneckých benefitů v § 6 odst. 9 zákona o daních z příjmů je proto limit pouze pro jeden typ plnění nesouladné a narušuje koncepci tohoto ustanovení.</w:t>
            </w:r>
          </w:p>
          <w:p w14:paraId="2EF29B5B" w14:textId="77777777" w:rsidR="000B4BD4" w:rsidRPr="0035187E" w:rsidRDefault="000B4BD4" w:rsidP="0035187E">
            <w:pPr>
              <w:numPr>
                <w:ilvl w:val="0"/>
                <w:numId w:val="79"/>
              </w:numPr>
              <w:ind w:left="0" w:firstLine="4"/>
              <w:jc w:val="both"/>
              <w:rPr>
                <w:rFonts w:ascii="Times New Roman" w:eastAsia="Calibri" w:hAnsi="Times New Roman" w:cs="Times New Roman"/>
                <w:sz w:val="20"/>
                <w:szCs w:val="20"/>
                <w:lang w:eastAsia="en-US"/>
              </w:rPr>
            </w:pPr>
            <w:r w:rsidRPr="0035187E">
              <w:rPr>
                <w:rFonts w:ascii="Times New Roman" w:eastAsia="Calibri" w:hAnsi="Times New Roman" w:cs="Times New Roman"/>
                <w:b/>
                <w:bCs/>
                <w:sz w:val="20"/>
                <w:szCs w:val="20"/>
                <w:lang w:eastAsia="en-US"/>
              </w:rPr>
              <w:t>Rozpor s deklarovaným cílem podpory prevence a péče o zdraví</w:t>
            </w:r>
          </w:p>
          <w:p w14:paraId="2C3EB6B2"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Zdravotní benefity představují významný nástroj podpory prevence, péče o zdraví zaměstnanců a snižování pracovní neschopnosti. Daňová podpora těchto plnění je v souladu s </w:t>
            </w:r>
            <w:r w:rsidRPr="0035187E">
              <w:rPr>
                <w:rFonts w:ascii="Times New Roman" w:eastAsia="Calibri" w:hAnsi="Times New Roman" w:cs="Times New Roman"/>
                <w:sz w:val="20"/>
                <w:szCs w:val="20"/>
                <w:lang w:eastAsia="en-US"/>
              </w:rPr>
              <w:lastRenderedPageBreak/>
              <w:t>dlouhodobým veřejným zájmem na zlepšování zdravotního stavu populace a prevenci civilizačních onemocnění.</w:t>
            </w:r>
          </w:p>
          <w:p w14:paraId="7CF38CD3"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Limit pro osvobození těchto plnění může vést ke snížení motivace zaměstnavatelů poskytovat širší spektrum zdravotních programů a preventivních služeb, a tím oslabit pozitivní dopady těchto benefitů na pracovní schopnost zaměstnanců.</w:t>
            </w:r>
          </w:p>
          <w:p w14:paraId="266E6367"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br w:type="page"/>
            </w:r>
          </w:p>
          <w:p w14:paraId="73E83DDB" w14:textId="77777777" w:rsidR="000B4BD4" w:rsidRPr="0035187E" w:rsidRDefault="000B4BD4" w:rsidP="0035187E">
            <w:pPr>
              <w:numPr>
                <w:ilvl w:val="0"/>
                <w:numId w:val="80"/>
              </w:numPr>
              <w:ind w:left="0" w:firstLine="4"/>
              <w:jc w:val="both"/>
              <w:rPr>
                <w:rFonts w:ascii="Times New Roman" w:eastAsia="Calibri" w:hAnsi="Times New Roman" w:cs="Times New Roman"/>
                <w:sz w:val="20"/>
                <w:szCs w:val="20"/>
                <w:lang w:eastAsia="en-US"/>
              </w:rPr>
            </w:pPr>
            <w:r w:rsidRPr="0035187E">
              <w:rPr>
                <w:rFonts w:ascii="Times New Roman" w:eastAsia="Calibri" w:hAnsi="Times New Roman" w:cs="Times New Roman"/>
                <w:b/>
                <w:bCs/>
                <w:sz w:val="20"/>
                <w:szCs w:val="20"/>
                <w:lang w:eastAsia="en-US"/>
              </w:rPr>
              <w:t>Absence reálného přínosu pro administrativní zjednodušení</w:t>
            </w:r>
          </w:p>
          <w:p w14:paraId="2F99F9CA"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Ponechání limitu osvobození do výše průměrné mzdy nepovede ke snížení administrativní náročnosti ani na straně zaměstnavatelů, ani na straně správců daně. Zaměstnavatelé budou i nadále povinni evidovat a dokládat jednotlivá plnění poskytovaná zaměstnancům, aby bylo možné ověřit splnění podmínek osvobození.</w:t>
            </w:r>
          </w:p>
          <w:p w14:paraId="41107E58"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Naopak ponechání limitu vyvolá další administrativní povinnost spočívající v průběžném sledování čerpání těchto benefitů u každého zaměstnance a v případném zdanění částky přesahující stanovený limit.</w:t>
            </w:r>
          </w:p>
          <w:p w14:paraId="30CBC625" w14:textId="77777777" w:rsidR="000B4BD4" w:rsidRPr="0035187E" w:rsidRDefault="000B4BD4" w:rsidP="0035187E">
            <w:pPr>
              <w:numPr>
                <w:ilvl w:val="0"/>
                <w:numId w:val="81"/>
              </w:numPr>
              <w:ind w:left="0" w:firstLine="4"/>
              <w:jc w:val="both"/>
              <w:rPr>
                <w:rFonts w:ascii="Times New Roman" w:eastAsia="Calibri" w:hAnsi="Times New Roman" w:cs="Times New Roman"/>
                <w:sz w:val="20"/>
                <w:szCs w:val="20"/>
                <w:lang w:eastAsia="en-US"/>
              </w:rPr>
            </w:pPr>
            <w:r w:rsidRPr="0035187E">
              <w:rPr>
                <w:rFonts w:ascii="Times New Roman" w:eastAsia="Calibri" w:hAnsi="Times New Roman" w:cs="Times New Roman"/>
                <w:b/>
                <w:bCs/>
                <w:sz w:val="20"/>
                <w:szCs w:val="20"/>
                <w:lang w:eastAsia="en-US"/>
              </w:rPr>
              <w:t>Nízký fiskální přínos ve vztahu k negativním dopadům</w:t>
            </w:r>
          </w:p>
          <w:p w14:paraId="147D3A8F"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Případný fiskální přínos z neomezení osvobození zdravotních benefitů lze očekávat pouze v omezeném dopadu na státní rozpočet, neboť většina zaměstnavatelů poskytuje tyto benefity v relativně nízkých částkách. Zrušení limitu proto pravděpodobně nepovede k významnému snížení daňových příjmů, avšak může negativně ovlivnit rozsah poskytovaných zaměstnaneckých programů zaměřených na prevenci a zdravotní péči.</w:t>
            </w:r>
          </w:p>
          <w:p w14:paraId="233C2D82" w14:textId="77777777" w:rsidR="000B4BD4" w:rsidRPr="0035187E" w:rsidRDefault="000B4BD4" w:rsidP="0035187E">
            <w:pPr>
              <w:numPr>
                <w:ilvl w:val="0"/>
                <w:numId w:val="82"/>
              </w:numPr>
              <w:ind w:left="0" w:firstLine="0"/>
              <w:jc w:val="both"/>
              <w:rPr>
                <w:rFonts w:ascii="Times New Roman" w:eastAsia="Calibri" w:hAnsi="Times New Roman" w:cs="Times New Roman"/>
                <w:sz w:val="20"/>
                <w:szCs w:val="20"/>
                <w:lang w:eastAsia="en-US"/>
              </w:rPr>
            </w:pPr>
            <w:r w:rsidRPr="0035187E">
              <w:rPr>
                <w:rFonts w:ascii="Times New Roman" w:eastAsia="Calibri" w:hAnsi="Times New Roman" w:cs="Times New Roman"/>
                <w:b/>
                <w:bCs/>
                <w:sz w:val="20"/>
                <w:szCs w:val="20"/>
                <w:lang w:eastAsia="en-US"/>
              </w:rPr>
              <w:t>Narušení principu neutrality zaměstnaneckých benefitů</w:t>
            </w:r>
          </w:p>
          <w:p w14:paraId="56AA987C"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Ponechání limitu pouze u zdravotních benefitů dochází k deformaci neutrality mezi jednotlivými druhy zaměstnaneckých plnění. Zaměstnavatelé mohou být motivováni přesouvat benefity do jiných kategorií plnění, která nejsou obdobně limitována, což může vést k neefektivní struktuře poskytovaných benefitů.</w:t>
            </w:r>
          </w:p>
          <w:p w14:paraId="69A8B917" w14:textId="77777777" w:rsidR="000B4BD4" w:rsidRPr="0035187E" w:rsidRDefault="000B4BD4" w:rsidP="0035187E">
            <w:pPr>
              <w:jc w:val="both"/>
              <w:rPr>
                <w:rFonts w:ascii="Times New Roman" w:eastAsia="Calibri" w:hAnsi="Times New Roman" w:cs="Times New Roman"/>
                <w:sz w:val="20"/>
                <w:szCs w:val="20"/>
                <w:lang w:eastAsia="en-US"/>
              </w:rPr>
            </w:pPr>
          </w:p>
          <w:p w14:paraId="08D1A4B7" w14:textId="77777777" w:rsidR="000B4BD4" w:rsidRPr="0035187E" w:rsidRDefault="000B4BD4" w:rsidP="0035187E">
            <w:pPr>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Shrnutí: </w:t>
            </w:r>
            <w:r w:rsidRPr="0035187E">
              <w:rPr>
                <w:rFonts w:ascii="Times New Roman" w:eastAsia="Calibri" w:hAnsi="Times New Roman" w:cs="Times New Roman"/>
                <w:sz w:val="20"/>
                <w:szCs w:val="20"/>
                <w:lang w:eastAsia="en-US"/>
              </w:rPr>
              <w:t xml:space="preserve">Z výše uvedených důvodů se navrhuje </w:t>
            </w:r>
            <w:r w:rsidRPr="0035187E">
              <w:rPr>
                <w:rFonts w:ascii="Times New Roman" w:eastAsia="Calibri" w:hAnsi="Times New Roman" w:cs="Times New Roman"/>
                <w:b/>
                <w:bCs/>
                <w:sz w:val="20"/>
                <w:szCs w:val="20"/>
                <w:lang w:eastAsia="en-US"/>
              </w:rPr>
              <w:t>zavést princip osvobození zdravotních benefitů bez limitace jejich výše</w:t>
            </w:r>
            <w:r w:rsidRPr="0035187E">
              <w:rPr>
                <w:rFonts w:ascii="Times New Roman" w:eastAsia="Calibri" w:hAnsi="Times New Roman" w:cs="Times New Roman"/>
                <w:sz w:val="20"/>
                <w:szCs w:val="20"/>
                <w:lang w:eastAsia="en-US"/>
              </w:rPr>
              <w:t>, obdobně jako je tomu u dalších zaměstnaneckých benefitů upravených v § 6 odst. 9 zákona o daních z příjmů.</w:t>
            </w:r>
          </w:p>
          <w:p w14:paraId="55BBDEC0" w14:textId="536B8B5E" w:rsidR="000B4BD4" w:rsidRPr="0035187E" w:rsidRDefault="000B4BD4" w:rsidP="0035187E">
            <w:pPr>
              <w:jc w:val="both"/>
              <w:rPr>
                <w:rFonts w:ascii="Times New Roman" w:eastAsia="Calibri" w:hAnsi="Times New Roman" w:cs="Times New Roman"/>
                <w:i/>
                <w:iCs/>
                <w:kern w:val="2"/>
                <w:sz w:val="20"/>
                <w:szCs w:val="20"/>
                <w:lang w:eastAsia="en-US"/>
              </w:rPr>
            </w:pPr>
            <w:r w:rsidRPr="0035187E">
              <w:rPr>
                <w:rFonts w:ascii="Times New Roman" w:eastAsia="Calibri" w:hAnsi="Times New Roman" w:cs="Times New Roman"/>
                <w:sz w:val="20"/>
                <w:szCs w:val="20"/>
                <w:lang w:eastAsia="en-US"/>
              </w:rPr>
              <w:t>Navržené vypuštění části věty přispěje k zachování systematičnosti právní úpravy, snížení administrativní zátěže a podpoře preventivní péče o zdraví zaměstnanců.</w:t>
            </w:r>
          </w:p>
        </w:tc>
        <w:tc>
          <w:tcPr>
            <w:tcW w:w="1453" w:type="pct"/>
            <w:tcBorders>
              <w:top w:val="single" w:sz="4" w:space="0" w:color="auto"/>
              <w:left w:val="single" w:sz="4" w:space="0" w:color="auto"/>
              <w:right w:val="single" w:sz="4" w:space="0" w:color="auto"/>
            </w:tcBorders>
            <w:shd w:val="clear" w:color="auto" w:fill="auto"/>
          </w:tcPr>
          <w:p w14:paraId="1BAEAF72" w14:textId="77777777" w:rsidR="00D167F0" w:rsidRPr="0035187E" w:rsidRDefault="00D167F0"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Nevyhověno.</w:t>
            </w:r>
          </w:p>
          <w:p w14:paraId="178D766B" w14:textId="77777777" w:rsidR="00D167F0" w:rsidRPr="0035187E" w:rsidRDefault="00D167F0"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Podnět přesahuje rámec navrhované úpravy zákona o evidenci tržeb. </w:t>
            </w:r>
          </w:p>
          <w:p w14:paraId="29049DB8" w14:textId="77777777" w:rsidR="00D167F0" w:rsidRPr="0035187E" w:rsidRDefault="00D167F0" w:rsidP="0035187E">
            <w:pPr>
              <w:jc w:val="both"/>
              <w:rPr>
                <w:rFonts w:ascii="Times New Roman" w:hAnsi="Times New Roman" w:cs="Times New Roman"/>
                <w:sz w:val="20"/>
                <w:szCs w:val="20"/>
              </w:rPr>
            </w:pPr>
            <w:r w:rsidRPr="0035187E">
              <w:rPr>
                <w:rFonts w:ascii="Times New Roman" w:hAnsi="Times New Roman" w:cs="Times New Roman"/>
                <w:sz w:val="20"/>
                <w:szCs w:val="20"/>
              </w:rPr>
              <w:t>Zachování limitu pro zdravotní benefity je věcně opodstatněné. Zatímco volnočasové benefity mají převážně společenský či relaxační charakter a jejich hodnotové limity nemají přímý vliv na prevenci nemocí ani na udržení pracovní schopnosti, zdravotní benefity přímo podporují zdraví zaměstnanců, prevenci nemocí a přispívají k dlouhodobé pracovní výkonnosti.</w:t>
            </w:r>
          </w:p>
          <w:p w14:paraId="3123742F" w14:textId="77777777" w:rsidR="00D167F0" w:rsidRPr="0035187E" w:rsidRDefault="00D167F0" w:rsidP="0035187E">
            <w:pPr>
              <w:jc w:val="both"/>
              <w:rPr>
                <w:rFonts w:ascii="Times New Roman" w:hAnsi="Times New Roman" w:cs="Times New Roman"/>
                <w:sz w:val="20"/>
                <w:szCs w:val="20"/>
              </w:rPr>
            </w:pPr>
            <w:r w:rsidRPr="0035187E">
              <w:rPr>
                <w:rFonts w:ascii="Times New Roman" w:hAnsi="Times New Roman" w:cs="Times New Roman"/>
                <w:sz w:val="20"/>
                <w:szCs w:val="20"/>
              </w:rPr>
              <w:t>Zrušení limitu by mohlo vést ke zneužívání daňového režimu, kdy by výhody přesahující skutečné zdravotní potřeby zaměstnanců byly osvobozeny od daně, aniž by přinášely reálný zdravotní přínos. Zachování limitu proto umožňuje cílené a efektivní využití těchto benefitů s pozitivním dopadem jak pro zaměstnance, tak pro veřejný zdravotní systém.</w:t>
            </w:r>
          </w:p>
          <w:p w14:paraId="235D594C" w14:textId="382D0ED5" w:rsidR="000B4BD4" w:rsidRPr="0035187E" w:rsidRDefault="00D167F0" w:rsidP="0035187E">
            <w:pPr>
              <w:jc w:val="both"/>
              <w:rPr>
                <w:rFonts w:ascii="Times New Roman" w:hAnsi="Times New Roman" w:cs="Times New Roman"/>
                <w:sz w:val="20"/>
                <w:szCs w:val="20"/>
              </w:rPr>
            </w:pPr>
            <w:r w:rsidRPr="0035187E">
              <w:rPr>
                <w:rFonts w:ascii="Times New Roman" w:hAnsi="Times New Roman" w:cs="Times New Roman"/>
                <w:sz w:val="20"/>
                <w:szCs w:val="20"/>
              </w:rPr>
              <w:t>Odlišné zacházení s volnočasovými a zdravotními benefity odpovídá jejich rozdílné společenské a ekonomické hodnotě a účelu, který sledují, a zachovává princip systematičnosti právní úpravy, přičemž minimalizuje riziko zneužití a podporuje dlouhodobou prevenci a péči o zdraví zaměstnanců.</w:t>
            </w:r>
          </w:p>
        </w:tc>
      </w:tr>
      <w:tr w:rsidR="0035187E" w:rsidRPr="0035187E" w14:paraId="346CD2A9"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7513F44" w14:textId="2A12540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74.</w:t>
            </w:r>
          </w:p>
        </w:tc>
        <w:tc>
          <w:tcPr>
            <w:tcW w:w="583" w:type="pct"/>
            <w:tcBorders>
              <w:top w:val="single" w:sz="4" w:space="0" w:color="auto"/>
              <w:left w:val="single" w:sz="4" w:space="0" w:color="auto"/>
              <w:right w:val="single" w:sz="4" w:space="0" w:color="auto"/>
            </w:tcBorders>
            <w:shd w:val="clear" w:color="auto" w:fill="auto"/>
          </w:tcPr>
          <w:p w14:paraId="62F4EE5D" w14:textId="08F782C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Svaz průmyslu a dopravy České republiky</w:t>
            </w:r>
          </w:p>
        </w:tc>
        <w:tc>
          <w:tcPr>
            <w:tcW w:w="168" w:type="pct"/>
            <w:tcBorders>
              <w:top w:val="single" w:sz="4" w:space="0" w:color="auto"/>
              <w:left w:val="single" w:sz="4" w:space="0" w:color="auto"/>
              <w:right w:val="single" w:sz="4" w:space="0" w:color="auto"/>
            </w:tcBorders>
            <w:shd w:val="clear" w:color="auto" w:fill="auto"/>
          </w:tcPr>
          <w:p w14:paraId="69695DBE" w14:textId="027DF06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0A3E3AD0" w14:textId="1AFA483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AA1D4CE" w14:textId="1F42B882" w:rsidR="000B4BD4" w:rsidRPr="0035187E" w:rsidRDefault="000B4BD4" w:rsidP="0035187E">
            <w:pPr>
              <w:ind w:left="-27"/>
              <w:contextualSpacing/>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OBECNÉ PŘIPOMÍNKY</w:t>
            </w:r>
          </w:p>
          <w:p w14:paraId="5DAD0A4C" w14:textId="77777777" w:rsidR="000B4BD4" w:rsidRPr="0035187E" w:rsidRDefault="000B4BD4" w:rsidP="0035187E">
            <w:pPr>
              <w:ind w:left="-27"/>
              <w:contextualSpacing/>
              <w:jc w:val="both"/>
              <w:rPr>
                <w:rFonts w:ascii="Times New Roman" w:eastAsia="Calibri" w:hAnsi="Times New Roman" w:cs="Times New Roman"/>
                <w:b/>
                <w:bCs/>
                <w:sz w:val="20"/>
                <w:szCs w:val="20"/>
                <w:lang w:eastAsia="en-US"/>
              </w:rPr>
            </w:pPr>
          </w:p>
          <w:p w14:paraId="5DC7068C" w14:textId="731B553C" w:rsidR="000B4BD4" w:rsidRPr="0035187E" w:rsidRDefault="000B4BD4" w:rsidP="0035187E">
            <w:pPr>
              <w:numPr>
                <w:ilvl w:val="0"/>
                <w:numId w:val="59"/>
              </w:numPr>
              <w:ind w:left="0" w:hanging="27"/>
              <w:contextualSpacing/>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Rámcově k novému EET 2.0</w:t>
            </w:r>
          </w:p>
          <w:p w14:paraId="37531C2D" w14:textId="77777777" w:rsidR="000B4BD4" w:rsidRPr="0035187E" w:rsidRDefault="000B4BD4" w:rsidP="0035187E">
            <w:pPr>
              <w:jc w:val="both"/>
              <w:rPr>
                <w:rFonts w:ascii="Times New Roman" w:eastAsia="Calibri" w:hAnsi="Times New Roman" w:cs="Times New Roman"/>
                <w:sz w:val="20"/>
                <w:szCs w:val="20"/>
                <w:highlight w:val="yellow"/>
                <w:lang w:eastAsia="en-US"/>
              </w:rPr>
            </w:pPr>
            <w:r w:rsidRPr="0035187E">
              <w:rPr>
                <w:rFonts w:ascii="Times New Roman" w:eastAsia="Calibri" w:hAnsi="Times New Roman" w:cs="Times New Roman"/>
                <w:sz w:val="20"/>
                <w:szCs w:val="20"/>
                <w:lang w:eastAsia="en-US"/>
              </w:rPr>
              <w:t xml:space="preserve">Jménem Svazu průmyslu a dopravy ČR dlouhodobě podporujeme elektronickou evidenci tržeb jako nástroj digitalizace a zajištění rovného přístupu ke všem podnikatelům. Oceňujeme také úpravu nastavení a snahu o nižší administrativní zátěž, jako jsou například nepovinné účtenky, racionalizace kontrol či výjimka pro nejmenší podnikatele (v rámci režimu EET OFF dáváme na zvážení analyzovat ze strany Ministerstva financí dopady nastavení hranice ve výši 1 milionu Kč a ponechat možnost flexibilně hranici upravit. Při minulém zavádění systému se objevovaly kontroverze – jako například technické potíže či někdy příliš striktní kontroly a sankce, které k dobré pověsti systému příliš nepřispěly. </w:t>
            </w:r>
            <w:r w:rsidRPr="0035187E">
              <w:rPr>
                <w:rFonts w:ascii="Times New Roman" w:eastAsia="Calibri" w:hAnsi="Times New Roman" w:cs="Times New Roman"/>
                <w:sz w:val="20"/>
                <w:szCs w:val="20"/>
                <w:lang w:eastAsia="en-US"/>
              </w:rPr>
              <w:lastRenderedPageBreak/>
              <w:t xml:space="preserve">Věříme tedy, že nová EET bude uživatelsky přívětivější a jednodušší, k čemuž by mohly přispět i naše připomínky. </w:t>
            </w:r>
          </w:p>
          <w:p w14:paraId="52218EF4" w14:textId="77777777" w:rsidR="000B4BD4" w:rsidRPr="0035187E" w:rsidRDefault="000B4BD4" w:rsidP="0035187E">
            <w:pPr>
              <w:jc w:val="both"/>
              <w:rPr>
                <w:rFonts w:ascii="Times New Roman" w:eastAsia="Calibri" w:hAnsi="Times New Roman" w:cs="Times New Roman"/>
                <w:sz w:val="20"/>
                <w:szCs w:val="20"/>
                <w:lang w:eastAsia="en-US"/>
              </w:rPr>
            </w:pPr>
          </w:p>
          <w:p w14:paraId="0A6CB2BB" w14:textId="5270F2DB"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Za pozitivní krok považujeme také doprovodná </w:t>
            </w:r>
            <w:proofErr w:type="spellStart"/>
            <w:r w:rsidRPr="0035187E">
              <w:rPr>
                <w:rFonts w:ascii="Times New Roman" w:eastAsia="Calibri" w:hAnsi="Times New Roman" w:cs="Times New Roman"/>
                <w:sz w:val="20"/>
                <w:szCs w:val="20"/>
                <w:lang w:eastAsia="en-US"/>
              </w:rPr>
              <w:t>propodnikatelská</w:t>
            </w:r>
            <w:proofErr w:type="spellEnd"/>
            <w:r w:rsidRPr="0035187E">
              <w:rPr>
                <w:rFonts w:ascii="Times New Roman" w:eastAsia="Calibri" w:hAnsi="Times New Roman" w:cs="Times New Roman"/>
                <w:sz w:val="20"/>
                <w:szCs w:val="20"/>
                <w:lang w:eastAsia="en-US"/>
              </w:rPr>
              <w:t xml:space="preserve"> opatření. Vítáme například záměr snížit DPH u části nealkoholických nápojů (byť máme v tomto dílčí připomínku) nebo zrušení limitu daňového osvobození u části zaměstnaneckých benefitů (dodatečné připomínky též uvedeny níže). Nedávné zavedení maximálního ročního limitu osvobozeného příjmu na straně zaměstnance u vyjmenovaných benefitů vedlo k minimálním daňovým výnosům státního rozpočtu, nicméně pro firmy představovalo další administrativní zátěž a nejistoty spojené s jejich uznáváním. Opětovné zjednodušení poskytování benefitů tedy považujeme za pozitivní krok. </w:t>
            </w:r>
          </w:p>
          <w:p w14:paraId="06F1955E" w14:textId="77777777" w:rsidR="000B4BD4" w:rsidRPr="0035187E" w:rsidRDefault="000B4BD4" w:rsidP="0035187E">
            <w:pPr>
              <w:jc w:val="both"/>
              <w:rPr>
                <w:rFonts w:ascii="Times New Roman" w:eastAsia="Calibri" w:hAnsi="Times New Roman" w:cs="Times New Roman"/>
                <w:sz w:val="20"/>
                <w:szCs w:val="20"/>
                <w:lang w:eastAsia="en-US"/>
              </w:rPr>
            </w:pPr>
          </w:p>
          <w:p w14:paraId="0711753F" w14:textId="6C7606D9"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V neposlední řadě bychom chtěli zdůraznit, že připravovaná legislativa o EET by měla být zaváděna v kontextu s připravovanou povinností digitálního výkaznictví v rámci EU (VAT in Digital Age), konkrétně směřovat EET ke sladění s evropským typem formátování či k umožnění automatického generování e-faktur nebo jiné formy digitalizace evidencí a inkasa tržeb či autentizace (za předpokladu dostatečné doby pro implementaci v rámci firem). </w:t>
            </w:r>
          </w:p>
          <w:p w14:paraId="1062E98C" w14:textId="5EC9449E" w:rsidR="000B4BD4" w:rsidRPr="0035187E" w:rsidRDefault="000B4BD4" w:rsidP="0035187E">
            <w:pPr>
              <w:jc w:val="both"/>
              <w:rPr>
                <w:rFonts w:ascii="Times New Roman" w:hAnsi="Times New Roman" w:cs="Times New Roman"/>
                <w:sz w:val="20"/>
                <w:szCs w:val="20"/>
              </w:rPr>
            </w:pPr>
            <w:r w:rsidRPr="0035187E">
              <w:rPr>
                <w:rFonts w:ascii="Times New Roman" w:eastAsia="Calibri" w:hAnsi="Times New Roman" w:cs="Times New Roman"/>
                <w:b/>
                <w:bCs/>
                <w:sz w:val="20"/>
                <w:szCs w:val="20"/>
                <w:lang w:eastAsia="en-US"/>
              </w:rPr>
              <w:t xml:space="preserve">Tato připomínka je zásadní. </w:t>
            </w:r>
          </w:p>
        </w:tc>
        <w:tc>
          <w:tcPr>
            <w:tcW w:w="1453" w:type="pct"/>
            <w:tcBorders>
              <w:top w:val="single" w:sz="4" w:space="0" w:color="auto"/>
              <w:left w:val="single" w:sz="4" w:space="0" w:color="auto"/>
              <w:right w:val="single" w:sz="4" w:space="0" w:color="auto"/>
            </w:tcBorders>
            <w:shd w:val="clear" w:color="auto" w:fill="auto"/>
          </w:tcPr>
          <w:p w14:paraId="4AB299F5" w14:textId="2979C52F"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Bere se na vědomí.</w:t>
            </w:r>
          </w:p>
          <w:p w14:paraId="3F8E6248" w14:textId="780D4C60"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Nejde o samostatnou připomínku, ale úvodní deklaraci k navazujícím připomínkám.</w:t>
            </w:r>
          </w:p>
          <w:p w14:paraId="3EF48875" w14:textId="77777777" w:rsidR="001A327E" w:rsidRPr="0035187E" w:rsidRDefault="001A327E" w:rsidP="0035187E">
            <w:pPr>
              <w:jc w:val="both"/>
              <w:rPr>
                <w:rFonts w:ascii="Times New Roman" w:hAnsi="Times New Roman" w:cs="Times New Roman"/>
                <w:sz w:val="20"/>
                <w:szCs w:val="20"/>
              </w:rPr>
            </w:pPr>
          </w:p>
          <w:p w14:paraId="66D6FAF9" w14:textId="0E0B4CF0" w:rsidR="001A327E" w:rsidRPr="0035187E" w:rsidRDefault="001A327E"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Připomínkové místo nesouhlasí s vypořádáním u některých bodů a požaduje hlubší diskuz</w:t>
            </w:r>
            <w:r w:rsidR="00F175F2" w:rsidRPr="0035187E">
              <w:rPr>
                <w:rFonts w:ascii="Times New Roman" w:hAnsi="Times New Roman" w:cs="Times New Roman"/>
                <w:i/>
                <w:iCs/>
                <w:sz w:val="20"/>
                <w:szCs w:val="20"/>
              </w:rPr>
              <w:t>i (viz jednotlivé body dále).</w:t>
            </w:r>
          </w:p>
          <w:p w14:paraId="3DA66B3D" w14:textId="108147F7" w:rsidR="000B4BD4" w:rsidRPr="0035187E" w:rsidRDefault="000B4BD4" w:rsidP="0035187E">
            <w:pPr>
              <w:jc w:val="both"/>
              <w:rPr>
                <w:rFonts w:ascii="Times New Roman" w:hAnsi="Times New Roman" w:cs="Times New Roman"/>
                <w:sz w:val="20"/>
                <w:szCs w:val="20"/>
              </w:rPr>
            </w:pPr>
          </w:p>
        </w:tc>
      </w:tr>
      <w:tr w:rsidR="0035187E" w:rsidRPr="0035187E" w14:paraId="16312F0A"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B1BD17C" w14:textId="4CACC28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74.</w:t>
            </w:r>
          </w:p>
        </w:tc>
        <w:tc>
          <w:tcPr>
            <w:tcW w:w="583" w:type="pct"/>
            <w:tcBorders>
              <w:top w:val="single" w:sz="4" w:space="0" w:color="auto"/>
              <w:left w:val="single" w:sz="4" w:space="0" w:color="auto"/>
              <w:right w:val="single" w:sz="4" w:space="0" w:color="auto"/>
            </w:tcBorders>
            <w:shd w:val="clear" w:color="auto" w:fill="auto"/>
          </w:tcPr>
          <w:p w14:paraId="75408192" w14:textId="1AB0045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Svaz průmyslu a dopravy České republiky</w:t>
            </w:r>
          </w:p>
        </w:tc>
        <w:tc>
          <w:tcPr>
            <w:tcW w:w="168" w:type="pct"/>
            <w:tcBorders>
              <w:top w:val="single" w:sz="4" w:space="0" w:color="auto"/>
              <w:left w:val="single" w:sz="4" w:space="0" w:color="auto"/>
              <w:right w:val="single" w:sz="4" w:space="0" w:color="auto"/>
            </w:tcBorders>
            <w:shd w:val="clear" w:color="auto" w:fill="auto"/>
          </w:tcPr>
          <w:p w14:paraId="46B7C43C" w14:textId="7F14ADF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w:t>
            </w:r>
          </w:p>
        </w:tc>
        <w:tc>
          <w:tcPr>
            <w:tcW w:w="169" w:type="pct"/>
            <w:tcBorders>
              <w:top w:val="single" w:sz="4" w:space="0" w:color="auto"/>
              <w:left w:val="single" w:sz="4" w:space="0" w:color="auto"/>
              <w:right w:val="single" w:sz="4" w:space="0" w:color="auto"/>
            </w:tcBorders>
            <w:shd w:val="clear" w:color="auto" w:fill="auto"/>
          </w:tcPr>
          <w:p w14:paraId="12F017ED" w14:textId="57095B9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B794B1B" w14:textId="77777777" w:rsidR="000B4BD4" w:rsidRPr="0035187E" w:rsidRDefault="000B4BD4" w:rsidP="0035187E">
            <w:pPr>
              <w:numPr>
                <w:ilvl w:val="0"/>
                <w:numId w:val="59"/>
              </w:numPr>
              <w:ind w:left="0" w:firstLine="0"/>
              <w:contextualSpacing/>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Nutnost dostatečného času na implementaci</w:t>
            </w:r>
          </w:p>
          <w:p w14:paraId="57432AA4" w14:textId="289DC666"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Žádáme, aby mezi zveřejněním finální technické specifikace a povinným zahájením ostrého provozu byla stanovena dostatečně dlouhá lhůta, minimálně 12 měsíců pro vývoj, implementaci a testování, a také určitá lhůta pro pilotní provoz v dobrovolném režimu. S tím souvisí i včasné zveřejnění metodologie. </w:t>
            </w:r>
          </w:p>
          <w:p w14:paraId="47D0ED3A" w14:textId="77777777" w:rsidR="000B4BD4" w:rsidRPr="0035187E" w:rsidRDefault="000B4BD4" w:rsidP="0035187E">
            <w:pPr>
              <w:jc w:val="both"/>
              <w:rPr>
                <w:rFonts w:ascii="Times New Roman" w:eastAsia="Calibri" w:hAnsi="Times New Roman" w:cs="Times New Roman"/>
                <w:sz w:val="20"/>
                <w:szCs w:val="20"/>
                <w:lang w:eastAsia="en-US"/>
              </w:rPr>
            </w:pPr>
          </w:p>
          <w:p w14:paraId="46C7BBA1" w14:textId="77777777" w:rsidR="000B4BD4" w:rsidRPr="0035187E" w:rsidRDefault="000B4BD4" w:rsidP="0035187E">
            <w:pPr>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Odůvodnění:</w:t>
            </w:r>
          </w:p>
          <w:p w14:paraId="7775F876" w14:textId="3665B9D1"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Z návrhu i z dokumentace RIA vyplývá, že EET bude založeno na novém technickém řešení. To má dopad nejen na podnikatele v gastronomii, ale i na jejich systémové dodavatele (např. výrobce nápojů a potravin či distributory). Žádáme proto, aby mezi zveřejněním finální technické specifikace a povinným zahájením ostrého provozu byla stanovena dostatečně dlouhá </w:t>
            </w:r>
            <w:proofErr w:type="gramStart"/>
            <w:r w:rsidRPr="0035187E">
              <w:rPr>
                <w:rFonts w:ascii="Times New Roman" w:eastAsia="Calibri" w:hAnsi="Times New Roman" w:cs="Times New Roman"/>
                <w:sz w:val="20"/>
                <w:szCs w:val="20"/>
                <w:lang w:eastAsia="en-US"/>
              </w:rPr>
              <w:t>lhůta</w:t>
            </w:r>
            <w:proofErr w:type="gramEnd"/>
            <w:r w:rsidRPr="0035187E">
              <w:rPr>
                <w:rFonts w:ascii="Times New Roman" w:eastAsia="Calibri" w:hAnsi="Times New Roman" w:cs="Times New Roman"/>
                <w:sz w:val="20"/>
                <w:szCs w:val="20"/>
                <w:lang w:eastAsia="en-US"/>
              </w:rPr>
              <w:t xml:space="preserve"> a to včetně lhůty pro pilotní provoz v dobrovolném režimu. Tento čas je nezbytný pro úpravy softwaru, napojení na datové struktury a ověření kompatibility napříč celým trhem. Bez toho nelze garantovat plynulý provoz ani hladké zavedení nové povinnosti v tisících provozoven.</w:t>
            </w:r>
          </w:p>
          <w:p w14:paraId="1FD2A8AE" w14:textId="1B1AE69E" w:rsidR="000B4BD4" w:rsidRPr="0035187E" w:rsidRDefault="000B4BD4" w:rsidP="0035187E">
            <w:pPr>
              <w:jc w:val="both"/>
              <w:rPr>
                <w:rFonts w:ascii="Times New Roman" w:hAnsi="Times New Roman" w:cs="Times New Roman"/>
                <w:sz w:val="20"/>
                <w:szCs w:val="20"/>
              </w:rPr>
            </w:pPr>
            <w:r w:rsidRPr="0035187E">
              <w:rPr>
                <w:rFonts w:ascii="Times New Roman" w:eastAsia="Calibri" w:hAnsi="Times New Roman" w:cs="Times New Roman"/>
                <w:b/>
                <w:bCs/>
                <w:sz w:val="20"/>
                <w:szCs w:val="20"/>
                <w:lang w:eastAsia="en-US"/>
              </w:rPr>
              <w:t xml:space="preserve">Tato připomínka je zásadní. </w:t>
            </w:r>
          </w:p>
        </w:tc>
        <w:tc>
          <w:tcPr>
            <w:tcW w:w="1453" w:type="pct"/>
            <w:tcBorders>
              <w:top w:val="single" w:sz="4" w:space="0" w:color="auto"/>
              <w:left w:val="single" w:sz="4" w:space="0" w:color="auto"/>
              <w:right w:val="single" w:sz="4" w:space="0" w:color="auto"/>
            </w:tcBorders>
            <w:shd w:val="clear" w:color="auto" w:fill="auto"/>
          </w:tcPr>
          <w:p w14:paraId="33ECF6FB" w14:textId="77777777"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1FCDDF4F"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Včasná účinnost regulace zavádějící evidenci tržeb je ze strany vlády dlouhodobě deklarována a návrh zákona proto při nastavení účinnosti vychází </w:t>
            </w:r>
            <w:proofErr w:type="gramStart"/>
            <w:r w:rsidRPr="0035187E">
              <w:rPr>
                <w:rFonts w:ascii="Times New Roman" w:hAnsi="Times New Roman" w:cs="Times New Roman"/>
                <w:sz w:val="20"/>
                <w:szCs w:val="20"/>
              </w:rPr>
              <w:t>z</w:t>
            </w:r>
            <w:proofErr w:type="gramEnd"/>
            <w:r w:rsidRPr="0035187E">
              <w:rPr>
                <w:rFonts w:ascii="Times New Roman" w:hAnsi="Times New Roman" w:cs="Times New Roman"/>
                <w:sz w:val="20"/>
                <w:szCs w:val="20"/>
              </w:rPr>
              <w:t> vládou určeného data 1. ledna 2027.</w:t>
            </w:r>
          </w:p>
          <w:p w14:paraId="0AA84113"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Nicméně s včasným zveřejněním technické specifikace obsahující podrobný popis a související metodikou se počítá. Na červenec roku 2026 se připravuje spuštění tzv. </w:t>
            </w:r>
            <w:proofErr w:type="spellStart"/>
            <w:r w:rsidRPr="0035187E">
              <w:rPr>
                <w:rFonts w:ascii="Times New Roman" w:hAnsi="Times New Roman" w:cs="Times New Roman"/>
                <w:sz w:val="20"/>
                <w:szCs w:val="20"/>
              </w:rPr>
              <w:t>playground</w:t>
            </w:r>
            <w:proofErr w:type="spellEnd"/>
            <w:r w:rsidRPr="0035187E">
              <w:rPr>
                <w:rFonts w:ascii="Times New Roman" w:hAnsi="Times New Roman" w:cs="Times New Roman"/>
                <w:sz w:val="20"/>
                <w:szCs w:val="20"/>
              </w:rPr>
              <w:t xml:space="preserve"> jako nástroje pro otestování integrace na EET 2.0. Tomuto spuštění by mělo s dostatečným předstihem předcházet zveřejnění technické specifikace EET 2.0. Počítá se i s postupným zpřístupňováním komplexní metodiky zpracovávané v součinnosti s potřebami aplikační praxe, a to včetně řešení specifických obchodních modelů apod. Je předpokládán též pilotní provoz, v </w:t>
            </w:r>
            <w:proofErr w:type="gramStart"/>
            <w:r w:rsidRPr="0035187E">
              <w:rPr>
                <w:rFonts w:ascii="Times New Roman" w:hAnsi="Times New Roman" w:cs="Times New Roman"/>
                <w:sz w:val="20"/>
                <w:szCs w:val="20"/>
              </w:rPr>
              <w:t>rámci</w:t>
            </w:r>
            <w:proofErr w:type="gramEnd"/>
            <w:r w:rsidRPr="0035187E">
              <w:rPr>
                <w:rFonts w:ascii="Times New Roman" w:hAnsi="Times New Roman" w:cs="Times New Roman"/>
                <w:sz w:val="20"/>
                <w:szCs w:val="20"/>
              </w:rPr>
              <w:t xml:space="preserve"> něhož v počátcích účinnosti regulace bude ze strany finanční správy upřednostněna edukace a podpora před kontrolní činností.</w:t>
            </w:r>
          </w:p>
          <w:p w14:paraId="53004727" w14:textId="77777777" w:rsidR="00F175F2" w:rsidRPr="0035187E" w:rsidRDefault="00F175F2" w:rsidP="0035187E">
            <w:pPr>
              <w:jc w:val="both"/>
              <w:rPr>
                <w:rFonts w:ascii="Times New Roman" w:hAnsi="Times New Roman" w:cs="Times New Roman"/>
                <w:sz w:val="20"/>
                <w:szCs w:val="20"/>
              </w:rPr>
            </w:pPr>
          </w:p>
          <w:p w14:paraId="3ADB3DA9" w14:textId="77777777" w:rsidR="00F175F2" w:rsidRPr="0035187E" w:rsidRDefault="00F175F2"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Vyjádření připomínkového místa: Implementace předchozí EET nebyla pro řadu subjektů jednoduchá. Navrhujeme tedy alespoň posunutí „ostrého pro</w:t>
            </w:r>
            <w:r w:rsidRPr="0035187E">
              <w:rPr>
                <w:rFonts w:ascii="Times New Roman" w:hAnsi="Times New Roman" w:cs="Times New Roman"/>
                <w:i/>
                <w:iCs/>
                <w:sz w:val="20"/>
                <w:szCs w:val="20"/>
              </w:rPr>
              <w:lastRenderedPageBreak/>
              <w:t>vozu“ EET a stanovení závazku k určité době pilotního provozu, aby bylo možno reagovat na technické problémy či nedokonalosti.</w:t>
            </w:r>
          </w:p>
          <w:p w14:paraId="36F3974C" w14:textId="77777777" w:rsidR="00FA153B" w:rsidRPr="0035187E" w:rsidRDefault="00FA153B" w:rsidP="0035187E">
            <w:pPr>
              <w:jc w:val="both"/>
              <w:rPr>
                <w:rFonts w:ascii="Times New Roman" w:hAnsi="Times New Roman" w:cs="Times New Roman"/>
                <w:i/>
                <w:iCs/>
                <w:sz w:val="20"/>
                <w:szCs w:val="20"/>
              </w:rPr>
            </w:pPr>
          </w:p>
          <w:p w14:paraId="6F9DDCEC" w14:textId="47C62A37" w:rsidR="00FA153B" w:rsidRPr="0035187E" w:rsidRDefault="00FA153B"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Vyjádření připomínkového místa po jednání dne 8.</w:t>
            </w:r>
            <w:r w:rsidR="00BE5C21" w:rsidRPr="0035187E">
              <w:rPr>
                <w:rFonts w:ascii="Times New Roman" w:hAnsi="Times New Roman" w:cs="Times New Roman"/>
                <w:i/>
                <w:iCs/>
                <w:sz w:val="20"/>
                <w:szCs w:val="20"/>
              </w:rPr>
              <w:t> </w:t>
            </w:r>
            <w:r w:rsidRPr="0035187E">
              <w:rPr>
                <w:rFonts w:ascii="Times New Roman" w:hAnsi="Times New Roman" w:cs="Times New Roman"/>
                <w:i/>
                <w:iCs/>
                <w:sz w:val="20"/>
                <w:szCs w:val="20"/>
              </w:rPr>
              <w:t>dubna 2026: souhlasí s vypořádáním za podmínky alespoň krátkého pilotního provozu a nepostihováním drobných technických chyb v první fázi implementace.</w:t>
            </w:r>
          </w:p>
        </w:tc>
      </w:tr>
      <w:tr w:rsidR="0035187E" w:rsidRPr="0035187E" w14:paraId="3A8EC65F"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4155D50" w14:textId="6DA47AF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74.</w:t>
            </w:r>
          </w:p>
        </w:tc>
        <w:tc>
          <w:tcPr>
            <w:tcW w:w="583" w:type="pct"/>
            <w:tcBorders>
              <w:top w:val="single" w:sz="4" w:space="0" w:color="auto"/>
              <w:left w:val="single" w:sz="4" w:space="0" w:color="auto"/>
              <w:right w:val="single" w:sz="4" w:space="0" w:color="auto"/>
            </w:tcBorders>
            <w:shd w:val="clear" w:color="auto" w:fill="auto"/>
          </w:tcPr>
          <w:p w14:paraId="12A972A6" w14:textId="5A0F2AE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Svaz průmyslu a dopravy České republiky</w:t>
            </w:r>
          </w:p>
        </w:tc>
        <w:tc>
          <w:tcPr>
            <w:tcW w:w="168" w:type="pct"/>
            <w:tcBorders>
              <w:top w:val="single" w:sz="4" w:space="0" w:color="auto"/>
              <w:left w:val="single" w:sz="4" w:space="0" w:color="auto"/>
              <w:right w:val="single" w:sz="4" w:space="0" w:color="auto"/>
            </w:tcBorders>
            <w:shd w:val="clear" w:color="auto" w:fill="auto"/>
          </w:tcPr>
          <w:p w14:paraId="09A000B5" w14:textId="31D23EA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3.</w:t>
            </w:r>
          </w:p>
        </w:tc>
        <w:tc>
          <w:tcPr>
            <w:tcW w:w="169" w:type="pct"/>
            <w:tcBorders>
              <w:top w:val="single" w:sz="4" w:space="0" w:color="auto"/>
              <w:left w:val="single" w:sz="4" w:space="0" w:color="auto"/>
              <w:right w:val="single" w:sz="4" w:space="0" w:color="auto"/>
            </w:tcBorders>
            <w:shd w:val="clear" w:color="auto" w:fill="auto"/>
          </w:tcPr>
          <w:p w14:paraId="5A47CE48" w14:textId="3C43EFB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5B22635" w14:textId="77777777" w:rsidR="000B4BD4" w:rsidRPr="0035187E" w:rsidRDefault="000B4BD4" w:rsidP="0035187E">
            <w:pPr>
              <w:numPr>
                <w:ilvl w:val="0"/>
                <w:numId w:val="59"/>
              </w:numPr>
              <w:ind w:left="0" w:firstLine="0"/>
              <w:contextualSpacing/>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Nezvyšování administrativní zátěže, provozní návaznosti v distribučním řetězci</w:t>
            </w:r>
          </w:p>
          <w:p w14:paraId="7E70BBB5"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Návrh deklaruje snížení administrativní zátěže oproti původní EET, nicméně v praxi je zásadní, aby:</w:t>
            </w:r>
          </w:p>
          <w:p w14:paraId="45DE03A4" w14:textId="77777777" w:rsidR="000B4BD4" w:rsidRPr="0035187E" w:rsidRDefault="000B4BD4" w:rsidP="0035187E">
            <w:pPr>
              <w:numPr>
                <w:ilvl w:val="0"/>
                <w:numId w:val="60"/>
              </w:numPr>
              <w:ind w:left="0" w:firstLine="0"/>
              <w:contextualSpacing/>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nové řešení nevyžadovalo úpravy již fungujících systémů, které dnes používají jak dodavatelé (např. ERP systémy a mobilní objednávkové platformy), tak odběratelé (gastronomické provozy a jejich pokladny),</w:t>
            </w:r>
          </w:p>
          <w:p w14:paraId="713E9234" w14:textId="77777777" w:rsidR="000B4BD4" w:rsidRPr="0035187E" w:rsidRDefault="000B4BD4" w:rsidP="0035187E">
            <w:pPr>
              <w:numPr>
                <w:ilvl w:val="0"/>
                <w:numId w:val="60"/>
              </w:numPr>
              <w:ind w:left="0" w:firstLine="0"/>
              <w:contextualSpacing/>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nebylo nutné provádět dodatečné investice do pokladního hardwaru nebo konektivity, zejména u malých či venkovských provozoven, čímž bude zachován princip proporcionality a ochrany drobných podnikatelů.</w:t>
            </w:r>
          </w:p>
          <w:p w14:paraId="087BB6C0" w14:textId="77777777" w:rsidR="000B4BD4" w:rsidRPr="0035187E" w:rsidRDefault="000B4BD4" w:rsidP="0035187E">
            <w:pPr>
              <w:numPr>
                <w:ilvl w:val="0"/>
                <w:numId w:val="60"/>
              </w:numPr>
              <w:ind w:left="0" w:firstLine="0"/>
              <w:contextualSpacing/>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evidenční povinnost byla formulována jednoduše, jednoznačně a bez nutnosti odborného posuzování jednotlivých situací.</w:t>
            </w:r>
          </w:p>
          <w:p w14:paraId="0D1E9FEC" w14:textId="77777777" w:rsidR="000B4BD4" w:rsidRPr="0035187E" w:rsidRDefault="000B4BD4" w:rsidP="0035187E">
            <w:pPr>
              <w:numPr>
                <w:ilvl w:val="0"/>
                <w:numId w:val="60"/>
              </w:numPr>
              <w:ind w:left="0" w:firstLine="0"/>
              <w:contextualSpacing/>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zákon garantoval přísnou datovou minimalizaci, aby nebylo možné dodatečně rozšiřovat datovou povinnost např. pouze technickým předpisem</w:t>
            </w:r>
          </w:p>
          <w:p w14:paraId="1088CE18" w14:textId="77777777" w:rsidR="000B4BD4" w:rsidRPr="0035187E" w:rsidRDefault="000B4BD4" w:rsidP="0035187E">
            <w:pPr>
              <w:jc w:val="both"/>
              <w:rPr>
                <w:rFonts w:ascii="Times New Roman" w:eastAsia="Calibri" w:hAnsi="Times New Roman" w:cs="Times New Roman"/>
                <w:sz w:val="20"/>
                <w:szCs w:val="20"/>
                <w:lang w:eastAsia="en-US"/>
              </w:rPr>
            </w:pPr>
          </w:p>
          <w:p w14:paraId="6AE9CEBD" w14:textId="6B571BE6"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Zejména v sektoru gastronomie hrají roli desítky různých typů pokladních a skladových systémů — každá dodatečná úprava znamená náklady, které se přenášejí celým dodavatelským řetězcem.</w:t>
            </w:r>
          </w:p>
          <w:p w14:paraId="07D634B4" w14:textId="77777777" w:rsidR="000B4BD4" w:rsidRPr="0035187E" w:rsidRDefault="000B4BD4" w:rsidP="0035187E">
            <w:pPr>
              <w:jc w:val="both"/>
              <w:rPr>
                <w:rFonts w:ascii="Times New Roman" w:eastAsia="Calibri" w:hAnsi="Times New Roman" w:cs="Times New Roman"/>
                <w:sz w:val="20"/>
                <w:szCs w:val="20"/>
                <w:lang w:eastAsia="en-US"/>
              </w:rPr>
            </w:pPr>
          </w:p>
          <w:p w14:paraId="26AD16BB"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Zároveň apelujeme na to, aby nové EET nevytvářelo nepřímé povinnosti, které by znamenaly úpravy interních systémů výrobců a distributorů, jež původně nejsou cílovou skupinou zákona. Jakákoliv změna na straně koncových odběratelů se totiž promítá do způsobu fakturace, administrace vratných obalů či do mobilních aplikací a technologií pro objednávky a inventury.</w:t>
            </w:r>
          </w:p>
          <w:p w14:paraId="0FC198A5" w14:textId="33AA069B" w:rsidR="000B4BD4" w:rsidRPr="0035187E" w:rsidRDefault="000B4BD4" w:rsidP="0035187E">
            <w:pPr>
              <w:jc w:val="both"/>
              <w:rPr>
                <w:rFonts w:ascii="Times New Roman" w:hAnsi="Times New Roman" w:cs="Times New Roman"/>
                <w:sz w:val="20"/>
                <w:szCs w:val="20"/>
              </w:rPr>
            </w:pPr>
            <w:r w:rsidRPr="0035187E">
              <w:rPr>
                <w:rFonts w:ascii="Times New Roman" w:eastAsia="Calibri" w:hAnsi="Times New Roman" w:cs="Times New Roman"/>
                <w:b/>
                <w:bCs/>
                <w:sz w:val="20"/>
                <w:szCs w:val="20"/>
                <w:lang w:eastAsia="en-US"/>
              </w:rPr>
              <w:t xml:space="preserve">Tato připomínka je zásadní. </w:t>
            </w:r>
          </w:p>
        </w:tc>
        <w:tc>
          <w:tcPr>
            <w:tcW w:w="1453" w:type="pct"/>
            <w:tcBorders>
              <w:top w:val="single" w:sz="4" w:space="0" w:color="auto"/>
              <w:left w:val="single" w:sz="4" w:space="0" w:color="auto"/>
              <w:right w:val="single" w:sz="4" w:space="0" w:color="auto"/>
            </w:tcBorders>
            <w:shd w:val="clear" w:color="auto" w:fill="auto"/>
          </w:tcPr>
          <w:p w14:paraId="2F811CD1" w14:textId="77777777"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t>Bere se na vědomí.</w:t>
            </w:r>
          </w:p>
          <w:p w14:paraId="64C04E98"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Předkladatel vychází z obdobných předpokladů, které jsou zmíněny v textu připomínky. Obecně však platí, že jednotlivá východiska nelze naplnit vždy v maximální míře, neboť by došlo k jejich vzájemnému popření. Je proto nutné vždy hledat rovnováhu mezi jednotlivými hodnotami.</w:t>
            </w:r>
          </w:p>
          <w:p w14:paraId="1109A86B" w14:textId="32EDBB9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Např. garance zachování původního řešení nemůže vést k rezignaci na modernizaci a zjednodušení systému.</w:t>
            </w:r>
          </w:p>
        </w:tc>
      </w:tr>
      <w:tr w:rsidR="0035187E" w:rsidRPr="0035187E" w14:paraId="0E64FCA2"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25CF884" w14:textId="12ECD40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74.</w:t>
            </w:r>
          </w:p>
        </w:tc>
        <w:tc>
          <w:tcPr>
            <w:tcW w:w="583" w:type="pct"/>
            <w:tcBorders>
              <w:top w:val="single" w:sz="4" w:space="0" w:color="auto"/>
              <w:left w:val="single" w:sz="4" w:space="0" w:color="auto"/>
              <w:right w:val="single" w:sz="4" w:space="0" w:color="auto"/>
            </w:tcBorders>
            <w:shd w:val="clear" w:color="auto" w:fill="auto"/>
          </w:tcPr>
          <w:p w14:paraId="13B696CE" w14:textId="228EE5A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Svaz průmyslu a dopravy České republiky</w:t>
            </w:r>
          </w:p>
        </w:tc>
        <w:tc>
          <w:tcPr>
            <w:tcW w:w="168" w:type="pct"/>
            <w:tcBorders>
              <w:top w:val="single" w:sz="4" w:space="0" w:color="auto"/>
              <w:left w:val="single" w:sz="4" w:space="0" w:color="auto"/>
              <w:right w:val="single" w:sz="4" w:space="0" w:color="auto"/>
            </w:tcBorders>
            <w:shd w:val="clear" w:color="auto" w:fill="auto"/>
          </w:tcPr>
          <w:p w14:paraId="5EC40ED0" w14:textId="69BB81F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w:t>
            </w:r>
          </w:p>
        </w:tc>
        <w:tc>
          <w:tcPr>
            <w:tcW w:w="169" w:type="pct"/>
            <w:tcBorders>
              <w:top w:val="single" w:sz="4" w:space="0" w:color="auto"/>
              <w:left w:val="single" w:sz="4" w:space="0" w:color="auto"/>
              <w:right w:val="single" w:sz="4" w:space="0" w:color="auto"/>
            </w:tcBorders>
            <w:shd w:val="clear" w:color="auto" w:fill="auto"/>
          </w:tcPr>
          <w:p w14:paraId="22792153" w14:textId="155048C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3920F93" w14:textId="77777777" w:rsidR="000B4BD4" w:rsidRPr="0035187E" w:rsidRDefault="000B4BD4" w:rsidP="0035187E">
            <w:pPr>
              <w:numPr>
                <w:ilvl w:val="0"/>
                <w:numId w:val="59"/>
              </w:numPr>
              <w:ind w:left="0" w:firstLine="0"/>
              <w:contextualSpacing/>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K integraci pokladních systémů a platebních terminálů</w:t>
            </w:r>
          </w:p>
          <w:p w14:paraId="556C6553" w14:textId="3FA33AA3"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Je důležité, aby EET 2.0 maximálně využilo potenciál digitálních plateb a umožnilo automatickou evidenci transakcí bez dodatečných administrativních kroků ze strany obchodníků. Integrace pokladních systémů a platebních terminálů navíc umožňuje, aby byl typ transakce generován automaticky, nikoli zadáván manuálně obchodníkem. </w:t>
            </w:r>
          </w:p>
          <w:p w14:paraId="740D602B" w14:textId="77777777" w:rsidR="000B4BD4" w:rsidRPr="0035187E" w:rsidRDefault="000B4BD4" w:rsidP="0035187E">
            <w:pPr>
              <w:jc w:val="both"/>
              <w:rPr>
                <w:rFonts w:ascii="Times New Roman" w:eastAsia="Calibri" w:hAnsi="Times New Roman" w:cs="Times New Roman"/>
                <w:sz w:val="20"/>
                <w:szCs w:val="20"/>
                <w:lang w:eastAsia="en-US"/>
              </w:rPr>
            </w:pPr>
          </w:p>
          <w:p w14:paraId="3A7802B6"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Podporujeme zejména:</w:t>
            </w:r>
          </w:p>
          <w:p w14:paraId="290CC6A0" w14:textId="77777777" w:rsidR="000B4BD4" w:rsidRPr="0035187E" w:rsidRDefault="000B4BD4" w:rsidP="0035187E">
            <w:pPr>
              <w:numPr>
                <w:ilvl w:val="0"/>
                <w:numId w:val="61"/>
              </w:numPr>
              <w:ind w:left="0" w:firstLine="0"/>
              <w:contextualSpacing/>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Plnou automatizaci evidence karetních transakcí – bez administrativních dopadů na podnikatele.</w:t>
            </w:r>
          </w:p>
          <w:p w14:paraId="6A2CBF0A" w14:textId="77777777" w:rsidR="000B4BD4" w:rsidRPr="0035187E" w:rsidRDefault="000B4BD4" w:rsidP="0035187E">
            <w:pPr>
              <w:numPr>
                <w:ilvl w:val="0"/>
                <w:numId w:val="61"/>
              </w:numPr>
              <w:ind w:left="0" w:firstLine="0"/>
              <w:contextualSpacing/>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lastRenderedPageBreak/>
              <w:t>Diferenciaci podle rizika: regulované platební metody (karty) jako nízkorizikové.</w:t>
            </w:r>
          </w:p>
          <w:p w14:paraId="51A9D772" w14:textId="77777777" w:rsidR="000B4BD4" w:rsidRPr="0035187E" w:rsidRDefault="000B4BD4" w:rsidP="0035187E">
            <w:pPr>
              <w:numPr>
                <w:ilvl w:val="0"/>
                <w:numId w:val="61"/>
              </w:numPr>
              <w:ind w:left="0" w:firstLine="0"/>
              <w:contextualSpacing/>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Propojení EET s platební infrastrukturou přes API.</w:t>
            </w:r>
          </w:p>
          <w:p w14:paraId="1232BDAC" w14:textId="77777777" w:rsidR="000B4BD4" w:rsidRPr="0035187E" w:rsidRDefault="000B4BD4" w:rsidP="0035187E">
            <w:pPr>
              <w:jc w:val="both"/>
              <w:rPr>
                <w:rFonts w:ascii="Times New Roman" w:eastAsia="Calibri" w:hAnsi="Times New Roman" w:cs="Times New Roman"/>
                <w:b/>
                <w:bCs/>
                <w:sz w:val="20"/>
                <w:szCs w:val="20"/>
                <w:lang w:eastAsia="en-US"/>
              </w:rPr>
            </w:pPr>
          </w:p>
          <w:p w14:paraId="7BBB1111" w14:textId="73BC19B2" w:rsidR="000B4BD4" w:rsidRPr="0035187E" w:rsidRDefault="000B4BD4" w:rsidP="0035187E">
            <w:pPr>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 xml:space="preserve">Odůvodnění: </w:t>
            </w:r>
          </w:p>
          <w:p w14:paraId="528AC584"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Cílem systému evidence tržeb by nemělo být pouze shromažďování dat, ale zajištění spolehlivé evidence při minimální zátěži pro podnikatele. Digitální platební infrastruktura již dnes vytváří velké množství relevantních dat o transakcích. Efektivní regulace by měla využít existující data současné platební infrastruktury o transakcích a vyhnout se duplicitnímu reportingu.</w:t>
            </w:r>
          </w:p>
          <w:p w14:paraId="1C0025E0" w14:textId="096D13EB" w:rsidR="000B4BD4" w:rsidRPr="0035187E" w:rsidRDefault="000B4BD4" w:rsidP="0035187E">
            <w:pPr>
              <w:jc w:val="both"/>
              <w:rPr>
                <w:rFonts w:ascii="Times New Roman" w:hAnsi="Times New Roman" w:cs="Times New Roman"/>
                <w:sz w:val="20"/>
                <w:szCs w:val="20"/>
              </w:rPr>
            </w:pPr>
            <w:r w:rsidRPr="0035187E">
              <w:rPr>
                <w:rFonts w:ascii="Times New Roman" w:eastAsia="Calibri" w:hAnsi="Times New Roman" w:cs="Times New Roman"/>
                <w:b/>
                <w:bCs/>
                <w:sz w:val="20"/>
                <w:szCs w:val="20"/>
                <w:lang w:eastAsia="en-US"/>
              </w:rPr>
              <w:t xml:space="preserve">Tato připomínka je zásadní. </w:t>
            </w:r>
          </w:p>
        </w:tc>
        <w:tc>
          <w:tcPr>
            <w:tcW w:w="1453" w:type="pct"/>
            <w:tcBorders>
              <w:top w:val="single" w:sz="4" w:space="0" w:color="auto"/>
              <w:left w:val="single" w:sz="4" w:space="0" w:color="auto"/>
              <w:right w:val="single" w:sz="4" w:space="0" w:color="auto"/>
            </w:tcBorders>
            <w:shd w:val="clear" w:color="auto" w:fill="auto"/>
          </w:tcPr>
          <w:p w14:paraId="6CE683A6" w14:textId="06827943"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Vysvětleno.</w:t>
            </w:r>
          </w:p>
          <w:p w14:paraId="625561A0" w14:textId="477A4F75"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Ambicí návrhu není vytvářet speciální pravidla pro určité formy plateb. Ambicí je naopak maximální technologická neutralita. Jaké konkrétní technické řešení (a výhody s tím spojené) poplatník využije, bude záviset především na něm.</w:t>
            </w:r>
          </w:p>
          <w:p w14:paraId="4CB9C91B" w14:textId="012B76B7" w:rsidR="000B4BD4" w:rsidRPr="0035187E" w:rsidRDefault="000B4BD4" w:rsidP="0035187E">
            <w:pPr>
              <w:jc w:val="both"/>
              <w:rPr>
                <w:rFonts w:ascii="Times New Roman" w:hAnsi="Times New Roman" w:cs="Times New Roman"/>
                <w:sz w:val="20"/>
                <w:szCs w:val="20"/>
              </w:rPr>
            </w:pPr>
          </w:p>
        </w:tc>
      </w:tr>
      <w:tr w:rsidR="0035187E" w:rsidRPr="0035187E" w14:paraId="569E755C"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452C491" w14:textId="5F0D6B6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74.</w:t>
            </w:r>
          </w:p>
        </w:tc>
        <w:tc>
          <w:tcPr>
            <w:tcW w:w="583" w:type="pct"/>
            <w:tcBorders>
              <w:top w:val="single" w:sz="4" w:space="0" w:color="auto"/>
              <w:left w:val="single" w:sz="4" w:space="0" w:color="auto"/>
              <w:right w:val="single" w:sz="4" w:space="0" w:color="auto"/>
            </w:tcBorders>
            <w:shd w:val="clear" w:color="auto" w:fill="auto"/>
          </w:tcPr>
          <w:p w14:paraId="264BD64E" w14:textId="20DEDEB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Svaz průmyslu a dopravy České republiky</w:t>
            </w:r>
          </w:p>
        </w:tc>
        <w:tc>
          <w:tcPr>
            <w:tcW w:w="168" w:type="pct"/>
            <w:tcBorders>
              <w:top w:val="single" w:sz="4" w:space="0" w:color="auto"/>
              <w:left w:val="single" w:sz="4" w:space="0" w:color="auto"/>
              <w:right w:val="single" w:sz="4" w:space="0" w:color="auto"/>
            </w:tcBorders>
            <w:shd w:val="clear" w:color="auto" w:fill="auto"/>
          </w:tcPr>
          <w:p w14:paraId="466929E7" w14:textId="597591A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5.</w:t>
            </w:r>
          </w:p>
        </w:tc>
        <w:tc>
          <w:tcPr>
            <w:tcW w:w="169" w:type="pct"/>
            <w:tcBorders>
              <w:top w:val="single" w:sz="4" w:space="0" w:color="auto"/>
              <w:left w:val="single" w:sz="4" w:space="0" w:color="auto"/>
              <w:right w:val="single" w:sz="4" w:space="0" w:color="auto"/>
            </w:tcBorders>
            <w:shd w:val="clear" w:color="auto" w:fill="auto"/>
          </w:tcPr>
          <w:p w14:paraId="4B796C44" w14:textId="4403BE9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3DD8BBD" w14:textId="77777777" w:rsidR="000B4BD4" w:rsidRPr="0035187E" w:rsidRDefault="000B4BD4" w:rsidP="0035187E">
            <w:pPr>
              <w:numPr>
                <w:ilvl w:val="0"/>
                <w:numId w:val="59"/>
              </w:numPr>
              <w:ind w:left="0" w:firstLine="0"/>
              <w:contextualSpacing/>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Zjednodušená evidence v případě výpadku infrastruktury</w:t>
            </w:r>
          </w:p>
          <w:p w14:paraId="1546BAA3" w14:textId="3A3C607C"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Navrhujeme definovat rozšířený </w:t>
            </w:r>
            <w:proofErr w:type="spellStart"/>
            <w:r w:rsidRPr="0035187E">
              <w:rPr>
                <w:rFonts w:ascii="Times New Roman" w:eastAsia="Calibri" w:hAnsi="Times New Roman" w:cs="Times New Roman"/>
                <w:sz w:val="20"/>
                <w:szCs w:val="20"/>
                <w:lang w:eastAsia="en-US"/>
              </w:rPr>
              <w:t>offline</w:t>
            </w:r>
            <w:proofErr w:type="spellEnd"/>
            <w:r w:rsidRPr="0035187E">
              <w:rPr>
                <w:rFonts w:ascii="Times New Roman" w:eastAsia="Calibri" w:hAnsi="Times New Roman" w:cs="Times New Roman"/>
                <w:sz w:val="20"/>
                <w:szCs w:val="20"/>
                <w:lang w:eastAsia="en-US"/>
              </w:rPr>
              <w:t xml:space="preserve"> režim až v délce 72 hodin a povolit hromadné zaslání transakcí po obnovení spojení.</w:t>
            </w:r>
          </w:p>
          <w:p w14:paraId="394E3C61" w14:textId="77777777" w:rsidR="000B4BD4" w:rsidRPr="0035187E" w:rsidRDefault="000B4BD4" w:rsidP="0035187E">
            <w:pPr>
              <w:jc w:val="both"/>
              <w:rPr>
                <w:rFonts w:ascii="Times New Roman" w:eastAsia="Calibri" w:hAnsi="Times New Roman" w:cs="Times New Roman"/>
                <w:sz w:val="20"/>
                <w:szCs w:val="20"/>
                <w:lang w:eastAsia="en-US"/>
              </w:rPr>
            </w:pPr>
          </w:p>
          <w:p w14:paraId="5572C51F" w14:textId="77777777" w:rsidR="000B4BD4" w:rsidRPr="0035187E" w:rsidRDefault="000B4BD4" w:rsidP="0035187E">
            <w:pPr>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 xml:space="preserve">Odůvodnění: </w:t>
            </w:r>
          </w:p>
          <w:p w14:paraId="2F012229"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Velké sítě mohou mít lokální výpadky internetu, výpadky WAN či může dojít k upgrade pokladního software. Takovéto případy by mělo být možné plně pokrýt </w:t>
            </w:r>
            <w:proofErr w:type="spellStart"/>
            <w:r w:rsidRPr="0035187E">
              <w:rPr>
                <w:rFonts w:ascii="Times New Roman" w:eastAsia="Calibri" w:hAnsi="Times New Roman" w:cs="Times New Roman"/>
                <w:sz w:val="20"/>
                <w:szCs w:val="20"/>
                <w:lang w:eastAsia="en-US"/>
              </w:rPr>
              <w:t>offline</w:t>
            </w:r>
            <w:proofErr w:type="spellEnd"/>
            <w:r w:rsidRPr="0035187E">
              <w:rPr>
                <w:rFonts w:ascii="Times New Roman" w:eastAsia="Calibri" w:hAnsi="Times New Roman" w:cs="Times New Roman"/>
                <w:sz w:val="20"/>
                <w:szCs w:val="20"/>
                <w:lang w:eastAsia="en-US"/>
              </w:rPr>
              <w:t xml:space="preserve"> režimem. </w:t>
            </w:r>
          </w:p>
          <w:p w14:paraId="0C3B5562" w14:textId="7DDFA921" w:rsidR="000B4BD4" w:rsidRPr="0035187E" w:rsidRDefault="000B4BD4" w:rsidP="0035187E">
            <w:pPr>
              <w:jc w:val="both"/>
              <w:rPr>
                <w:rFonts w:ascii="Times New Roman" w:hAnsi="Times New Roman" w:cs="Times New Roman"/>
                <w:sz w:val="20"/>
                <w:szCs w:val="20"/>
              </w:rPr>
            </w:pPr>
            <w:r w:rsidRPr="0035187E">
              <w:rPr>
                <w:rFonts w:ascii="Times New Roman" w:eastAsia="Calibri" w:hAnsi="Times New Roman" w:cs="Times New Roman"/>
                <w:b/>
                <w:bCs/>
                <w:sz w:val="20"/>
                <w:szCs w:val="20"/>
                <w:lang w:eastAsia="en-US"/>
              </w:rPr>
              <w:t xml:space="preserve">Tato připomínka je zásadní. </w:t>
            </w:r>
          </w:p>
        </w:tc>
        <w:tc>
          <w:tcPr>
            <w:tcW w:w="1453" w:type="pct"/>
            <w:tcBorders>
              <w:top w:val="single" w:sz="4" w:space="0" w:color="auto"/>
              <w:left w:val="single" w:sz="4" w:space="0" w:color="auto"/>
              <w:right w:val="single" w:sz="4" w:space="0" w:color="auto"/>
            </w:tcBorders>
            <w:shd w:val="clear" w:color="auto" w:fill="auto"/>
          </w:tcPr>
          <w:p w14:paraId="3A5553A4" w14:textId="77777777"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t>Nevyhověno.</w:t>
            </w:r>
          </w:p>
          <w:p w14:paraId="5B473A8F" w14:textId="2C6C7D71"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Návrh zřejmě cílí na prodloužení lhůty pro dodatečné zaslání datové zprávy ze 48 hodin na 72 hodin. Předkladatel je toho názoru, že v zákoně navržená lhůta je dostačující. Mimořádné události, které by znamenaly dlouhodobý výpadek objektivně znemožňující evidování tržeb, zpravidla naplní podmínky pro liberaci z případné sankce (její neuložení). </w:t>
            </w:r>
          </w:p>
        </w:tc>
      </w:tr>
      <w:tr w:rsidR="0035187E" w:rsidRPr="0035187E" w14:paraId="6671DE91"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8093C77" w14:textId="2112A2B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74.</w:t>
            </w:r>
          </w:p>
        </w:tc>
        <w:tc>
          <w:tcPr>
            <w:tcW w:w="583" w:type="pct"/>
            <w:tcBorders>
              <w:top w:val="single" w:sz="4" w:space="0" w:color="auto"/>
              <w:left w:val="single" w:sz="4" w:space="0" w:color="auto"/>
              <w:right w:val="single" w:sz="4" w:space="0" w:color="auto"/>
            </w:tcBorders>
            <w:shd w:val="clear" w:color="auto" w:fill="auto"/>
          </w:tcPr>
          <w:p w14:paraId="3561663E" w14:textId="62FA167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Svaz průmyslu a dopravy České republiky</w:t>
            </w:r>
          </w:p>
        </w:tc>
        <w:tc>
          <w:tcPr>
            <w:tcW w:w="168" w:type="pct"/>
            <w:tcBorders>
              <w:top w:val="single" w:sz="4" w:space="0" w:color="auto"/>
              <w:left w:val="single" w:sz="4" w:space="0" w:color="auto"/>
              <w:right w:val="single" w:sz="4" w:space="0" w:color="auto"/>
            </w:tcBorders>
            <w:shd w:val="clear" w:color="auto" w:fill="auto"/>
          </w:tcPr>
          <w:p w14:paraId="749C1729" w14:textId="0E61CB5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6.</w:t>
            </w:r>
          </w:p>
        </w:tc>
        <w:tc>
          <w:tcPr>
            <w:tcW w:w="169" w:type="pct"/>
            <w:tcBorders>
              <w:top w:val="single" w:sz="4" w:space="0" w:color="auto"/>
              <w:left w:val="single" w:sz="4" w:space="0" w:color="auto"/>
              <w:right w:val="single" w:sz="4" w:space="0" w:color="auto"/>
            </w:tcBorders>
            <w:shd w:val="clear" w:color="auto" w:fill="auto"/>
          </w:tcPr>
          <w:p w14:paraId="23317A68" w14:textId="5EB3CD0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C4C8102" w14:textId="77777777" w:rsidR="000B4BD4" w:rsidRPr="0035187E" w:rsidRDefault="000B4BD4" w:rsidP="0035187E">
            <w:pPr>
              <w:numPr>
                <w:ilvl w:val="0"/>
                <w:numId w:val="59"/>
              </w:numPr>
              <w:ind w:left="0" w:firstLine="0"/>
              <w:contextualSpacing/>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Jasná a včasná komunikace změn</w:t>
            </w:r>
          </w:p>
          <w:p w14:paraId="6DFDE9DD"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Pro efektivní zavedení systému bude zcela zásadní zejména včasné zveřejnění metodik a technických standardů, jednoznačné vymezení povinností u specifických transakcí běžných v gastronomii (vratné obaly, zálohy, konsignační sklady, bonusové mechanismy, akce v místě prodeje apod.) bez nutností hledání specifikací ve větším množství delegovaných právních aktů.</w:t>
            </w:r>
          </w:p>
          <w:p w14:paraId="3C319AA8" w14:textId="14A0D397" w:rsidR="000B4BD4" w:rsidRPr="0035187E" w:rsidRDefault="000B4BD4" w:rsidP="0035187E">
            <w:pPr>
              <w:jc w:val="both"/>
              <w:rPr>
                <w:rFonts w:ascii="Times New Roman" w:hAnsi="Times New Roman" w:cs="Times New Roman"/>
                <w:sz w:val="20"/>
                <w:szCs w:val="20"/>
              </w:rPr>
            </w:pPr>
            <w:r w:rsidRPr="0035187E">
              <w:rPr>
                <w:rFonts w:ascii="Times New Roman" w:eastAsia="Calibri" w:hAnsi="Times New Roman" w:cs="Times New Roman"/>
                <w:b/>
                <w:bCs/>
                <w:sz w:val="20"/>
                <w:szCs w:val="20"/>
                <w:lang w:eastAsia="en-US"/>
              </w:rPr>
              <w:t xml:space="preserve">Tato připomínka je zásadní. </w:t>
            </w:r>
          </w:p>
        </w:tc>
        <w:tc>
          <w:tcPr>
            <w:tcW w:w="1453" w:type="pct"/>
            <w:tcBorders>
              <w:top w:val="single" w:sz="4" w:space="0" w:color="auto"/>
              <w:left w:val="single" w:sz="4" w:space="0" w:color="auto"/>
              <w:right w:val="single" w:sz="4" w:space="0" w:color="auto"/>
            </w:tcBorders>
            <w:shd w:val="clear" w:color="auto" w:fill="auto"/>
          </w:tcPr>
          <w:p w14:paraId="6C000DF0" w14:textId="38F3B7A8"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t>Bere se na vědomí, resp. vysvětleno.</w:t>
            </w:r>
          </w:p>
          <w:p w14:paraId="5923A5E6" w14:textId="027E2CDB"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Ohledně potřeby adekvátní komunikace lze souhlasit s uvedenými východisky.</w:t>
            </w:r>
          </w:p>
          <w:p w14:paraId="76171050" w14:textId="1223DEB3" w:rsidR="000B4BD4" w:rsidRPr="0035187E" w:rsidRDefault="000B4BD4"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 xml:space="preserve">S včasným zveřejněním technické specifikace s podrobným popisem a související metodikou se počítá. Na červenec roku 2026 se připravuje spuštění tzv. </w:t>
            </w:r>
            <w:proofErr w:type="spellStart"/>
            <w:r w:rsidRPr="0035187E">
              <w:rPr>
                <w:rFonts w:ascii="Times New Roman" w:hAnsi="Times New Roman" w:cs="Times New Roman"/>
                <w:bCs/>
                <w:sz w:val="20"/>
                <w:szCs w:val="20"/>
              </w:rPr>
              <w:t>playground</w:t>
            </w:r>
            <w:proofErr w:type="spellEnd"/>
            <w:r w:rsidRPr="0035187E">
              <w:rPr>
                <w:rFonts w:ascii="Times New Roman" w:hAnsi="Times New Roman" w:cs="Times New Roman"/>
                <w:bCs/>
                <w:sz w:val="20"/>
                <w:szCs w:val="20"/>
              </w:rPr>
              <w:t xml:space="preserve"> jako nástroje pro otestování integrace na EET 2.0. Tomuto spuštění by měla s dostatečným předstihem předcházet zveřejnění technické specifikace EET 2.0. Počítá se i s komplexní metodikou, a to včetně řešení specifických obchodních modelů apod.</w:t>
            </w:r>
          </w:p>
          <w:p w14:paraId="560705AF" w14:textId="6C30D691"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Změny formou podzákonného právního předpisu návrh zákona nepředpokládá a ztotožňuje se v tomto ohledu s postojem připomínkového místa. K vydání vyhlášky by bylo nutné výslovné zmocnění zákona. Pro nařízení vlády pak platí limity, které ve svém nálezu vytýčil Ústavní soud (viz </w:t>
            </w:r>
            <w:proofErr w:type="spellStart"/>
            <w:r w:rsidRPr="0035187E">
              <w:rPr>
                <w:rFonts w:ascii="Times New Roman" w:hAnsi="Times New Roman" w:cs="Times New Roman"/>
                <w:sz w:val="20"/>
                <w:szCs w:val="20"/>
              </w:rPr>
              <w:t>Pl</w:t>
            </w:r>
            <w:proofErr w:type="spellEnd"/>
            <w:r w:rsidRPr="0035187E">
              <w:rPr>
                <w:rFonts w:ascii="Times New Roman" w:hAnsi="Times New Roman" w:cs="Times New Roman"/>
                <w:sz w:val="20"/>
                <w:szCs w:val="20"/>
              </w:rPr>
              <w:t>. ÚS 26/16).</w:t>
            </w:r>
          </w:p>
        </w:tc>
      </w:tr>
      <w:tr w:rsidR="0035187E" w:rsidRPr="0035187E" w14:paraId="36FDF02D"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9745245" w14:textId="2F3C72A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74.</w:t>
            </w:r>
          </w:p>
        </w:tc>
        <w:tc>
          <w:tcPr>
            <w:tcW w:w="583" w:type="pct"/>
            <w:tcBorders>
              <w:top w:val="single" w:sz="4" w:space="0" w:color="auto"/>
              <w:left w:val="single" w:sz="4" w:space="0" w:color="auto"/>
              <w:right w:val="single" w:sz="4" w:space="0" w:color="auto"/>
            </w:tcBorders>
            <w:shd w:val="clear" w:color="auto" w:fill="auto"/>
          </w:tcPr>
          <w:p w14:paraId="3E84E2A1" w14:textId="3D06421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Svaz průmyslu a dopravy České republiky</w:t>
            </w:r>
          </w:p>
        </w:tc>
        <w:tc>
          <w:tcPr>
            <w:tcW w:w="168" w:type="pct"/>
            <w:tcBorders>
              <w:top w:val="single" w:sz="4" w:space="0" w:color="auto"/>
              <w:left w:val="single" w:sz="4" w:space="0" w:color="auto"/>
              <w:right w:val="single" w:sz="4" w:space="0" w:color="auto"/>
            </w:tcBorders>
            <w:shd w:val="clear" w:color="auto" w:fill="auto"/>
          </w:tcPr>
          <w:p w14:paraId="0AF711DC" w14:textId="58C1FB3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7.</w:t>
            </w:r>
          </w:p>
        </w:tc>
        <w:tc>
          <w:tcPr>
            <w:tcW w:w="169" w:type="pct"/>
            <w:tcBorders>
              <w:top w:val="single" w:sz="4" w:space="0" w:color="auto"/>
              <w:left w:val="single" w:sz="4" w:space="0" w:color="auto"/>
              <w:right w:val="single" w:sz="4" w:space="0" w:color="auto"/>
            </w:tcBorders>
            <w:shd w:val="clear" w:color="auto" w:fill="auto"/>
          </w:tcPr>
          <w:p w14:paraId="4374D075" w14:textId="32CE1A8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38FFA018" w14:textId="261FED86" w:rsidR="000B4BD4" w:rsidRPr="0035187E" w:rsidRDefault="000B4BD4" w:rsidP="0035187E">
            <w:pPr>
              <w:ind w:left="-27"/>
              <w:contextualSpacing/>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KONKRÉTNÍ PŘIPOMÍNKY</w:t>
            </w:r>
          </w:p>
          <w:p w14:paraId="3BF03D35" w14:textId="77777777" w:rsidR="000B4BD4" w:rsidRPr="0035187E" w:rsidRDefault="000B4BD4" w:rsidP="0035187E">
            <w:pPr>
              <w:ind w:left="-27"/>
              <w:contextualSpacing/>
              <w:jc w:val="both"/>
              <w:rPr>
                <w:rFonts w:ascii="Times New Roman" w:eastAsia="Calibri" w:hAnsi="Times New Roman" w:cs="Times New Roman"/>
                <w:b/>
                <w:bCs/>
                <w:sz w:val="20"/>
                <w:szCs w:val="20"/>
                <w:lang w:eastAsia="en-US"/>
              </w:rPr>
            </w:pPr>
          </w:p>
          <w:p w14:paraId="1F5E7549" w14:textId="72E0E6B5" w:rsidR="000B4BD4" w:rsidRPr="0035187E" w:rsidRDefault="000B4BD4" w:rsidP="0035187E">
            <w:pPr>
              <w:numPr>
                <w:ilvl w:val="0"/>
                <w:numId w:val="59"/>
              </w:numPr>
              <w:ind w:left="0" w:hanging="27"/>
              <w:contextualSpacing/>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K § 4 návrhu zákona o evidenci tržeb – vymezení evidenčních jednotek</w:t>
            </w:r>
          </w:p>
          <w:p w14:paraId="05C6217A" w14:textId="2A37FE3E"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Navrhujeme, aby povinnost registrace byla omezena pouze na relevantní evidenční jednotky, ve kterých skutečně dochází ke kontaktním platbám. </w:t>
            </w:r>
          </w:p>
          <w:p w14:paraId="41216C16" w14:textId="77777777" w:rsidR="000B4BD4" w:rsidRPr="0035187E" w:rsidRDefault="000B4BD4" w:rsidP="0035187E">
            <w:pPr>
              <w:jc w:val="both"/>
              <w:rPr>
                <w:rFonts w:ascii="Times New Roman" w:eastAsia="Calibri" w:hAnsi="Times New Roman" w:cs="Times New Roman"/>
                <w:sz w:val="20"/>
                <w:szCs w:val="20"/>
                <w:lang w:eastAsia="en-US"/>
              </w:rPr>
            </w:pPr>
          </w:p>
          <w:p w14:paraId="1CFF0264" w14:textId="77777777" w:rsidR="000B4BD4" w:rsidRPr="0035187E" w:rsidRDefault="000B4BD4" w:rsidP="0035187E">
            <w:pPr>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Odůvodnění:</w:t>
            </w:r>
          </w:p>
          <w:p w14:paraId="7E0B6B39"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lastRenderedPageBreak/>
              <w:t>Navrhovaná úprava v § 4 ukládá poplatníkům povinnost registrace všech evidenčních jednotek bez ohledu na to, zda v nich fakticky dochází ke kontaktním platbám. To vede k neadekvátnímu vynakládání administrativního úsilí a finančních prostředků, a to jak při prvotní registraci, tak při následné správě těchto evidenčních jednotek (zejména nové registrace a rušení registrací). Informace o provozovnách ve smyslu živnostenského zákona jsou přitom zjistitelné z veřejně dostupných zdrojů. Současně upozorňujeme, že se jedná o rozšíření povinností oproti původní právní úpravě zákona o evidenci tržeb.</w:t>
            </w:r>
          </w:p>
          <w:p w14:paraId="736DE06F" w14:textId="6D7FE71F" w:rsidR="000B4BD4" w:rsidRPr="0035187E" w:rsidRDefault="000B4BD4" w:rsidP="0035187E">
            <w:pPr>
              <w:jc w:val="both"/>
              <w:rPr>
                <w:rFonts w:ascii="Times New Roman" w:hAnsi="Times New Roman" w:cs="Times New Roman"/>
                <w:sz w:val="20"/>
                <w:szCs w:val="20"/>
              </w:rPr>
            </w:pPr>
            <w:r w:rsidRPr="0035187E">
              <w:rPr>
                <w:rFonts w:ascii="Times New Roman" w:eastAsia="Calibri" w:hAnsi="Times New Roman" w:cs="Times New Roman"/>
                <w:b/>
                <w:bCs/>
                <w:sz w:val="20"/>
                <w:szCs w:val="20"/>
                <w:lang w:eastAsia="en-US"/>
              </w:rPr>
              <w:t xml:space="preserve">Tato připomínka je zásadní. </w:t>
            </w:r>
          </w:p>
        </w:tc>
        <w:tc>
          <w:tcPr>
            <w:tcW w:w="1453" w:type="pct"/>
            <w:tcBorders>
              <w:top w:val="single" w:sz="4" w:space="0" w:color="auto"/>
              <w:left w:val="single" w:sz="4" w:space="0" w:color="auto"/>
              <w:right w:val="single" w:sz="4" w:space="0" w:color="auto"/>
            </w:tcBorders>
            <w:shd w:val="clear" w:color="auto" w:fill="auto"/>
          </w:tcPr>
          <w:p w14:paraId="40EECD4E" w14:textId="77777777"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Vysvětleno.</w:t>
            </w:r>
          </w:p>
          <w:p w14:paraId="1DBE0D08" w14:textId="26DFE881"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Ustanovení § 4 neupravuje žádnou registrační (ani oznamovací) povinnost. Smyslem daného ustanovení je vymezit pojem, se kterými pracují další ustanovení zákona. Vymezení z povahy věci musí být nezávislé na tom, zda tržby dosažené prostřednictvím dané evidenční jednotky budou evidované, či nikoliv.</w:t>
            </w:r>
          </w:p>
          <w:p w14:paraId="6AF777DF" w14:textId="3EE54429"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lastRenderedPageBreak/>
              <w:t>Oznamovací povinnost ve vztahu k evidenčním jednotkám je upravena v § 16 návrhu. V tomto ohledu byla doplněna důvodová zpráva, která podrobněji vysvětluje důvody pro takto široce koncipovanou oznamovací povinnost, a to následovně:</w:t>
            </w:r>
          </w:p>
          <w:p w14:paraId="74BAF36C" w14:textId="3DE1B5A5" w:rsidR="000B4BD4" w:rsidRPr="0035187E" w:rsidRDefault="000B4BD4" w:rsidP="0035187E">
            <w:pPr>
              <w:jc w:val="both"/>
              <w:rPr>
                <w:rFonts w:ascii="Times New Roman" w:hAnsi="Times New Roman" w:cs="Times New Roman"/>
                <w:i/>
                <w:sz w:val="20"/>
                <w:szCs w:val="20"/>
              </w:rPr>
            </w:pPr>
            <w:r w:rsidRPr="0035187E">
              <w:rPr>
                <w:rFonts w:ascii="Times New Roman" w:hAnsi="Times New Roman" w:cs="Times New Roman"/>
                <w:i/>
                <w:sz w:val="20"/>
                <w:szCs w:val="20"/>
              </w:rPr>
              <w:t>„Poplatník u každé evidenční jednotky určí, zda se na danou jednotku vztahuje povinnost evidovat tržby či nikoliv. Požadavek ohledně uvádění evidenčních jednotek, na které se nevztahuje evidenční povinnost, za předpokladu, že poplatník má jinou evidenční jednotku, prostřednictvím které eviduje tržby, vychází z potřeby zmapování komplexních činností poplatníka.</w:t>
            </w:r>
          </w:p>
          <w:p w14:paraId="43197DB4" w14:textId="77777777" w:rsidR="000B4BD4" w:rsidRPr="0035187E" w:rsidRDefault="000B4BD4" w:rsidP="0035187E">
            <w:pPr>
              <w:jc w:val="both"/>
              <w:rPr>
                <w:rFonts w:ascii="Times New Roman" w:hAnsi="Times New Roman" w:cs="Times New Roman"/>
                <w:i/>
                <w:sz w:val="20"/>
                <w:szCs w:val="20"/>
              </w:rPr>
            </w:pPr>
            <w:r w:rsidRPr="0035187E">
              <w:rPr>
                <w:rFonts w:ascii="Times New Roman" w:hAnsi="Times New Roman" w:cs="Times New Roman"/>
                <w:i/>
                <w:sz w:val="20"/>
                <w:szCs w:val="20"/>
              </w:rPr>
              <w:t>Povinnost evidovat tržby se nevztahuje na e-shopy a ostatní platformy, kde platba za zboží či služby bude probíhat bezkontaktně. Skutečnost, že poplatník přijímá tržby také tímto způsobem, není správci daně známá a současně ji nemůže dohledat bez toho, aby vyzval samotného poplatníka. Zavedení plošné oznamovací povinnosti se tak jeví šetrnější oproti ad hoc sběru těchto informací formou výzev.</w:t>
            </w:r>
          </w:p>
          <w:p w14:paraId="43F84BD1" w14:textId="77777777" w:rsidR="000B4BD4" w:rsidRPr="0035187E" w:rsidRDefault="000B4BD4" w:rsidP="0035187E">
            <w:pPr>
              <w:jc w:val="both"/>
              <w:rPr>
                <w:rFonts w:ascii="Times New Roman" w:hAnsi="Times New Roman" w:cs="Times New Roman"/>
                <w:i/>
                <w:sz w:val="20"/>
                <w:szCs w:val="20"/>
              </w:rPr>
            </w:pPr>
            <w:r w:rsidRPr="0035187E">
              <w:rPr>
                <w:rFonts w:ascii="Times New Roman" w:hAnsi="Times New Roman" w:cs="Times New Roman"/>
                <w:i/>
                <w:sz w:val="20"/>
                <w:szCs w:val="20"/>
              </w:rPr>
              <w:t>Poskytnutí údajů o dalších evidenčních jednotkách poskytne správci daně také údaje o prodejních automatech, kterým v souladu s § 14 odst. 2 svědčí vynětí z evidence tržeb. Tyto automaty by sice měly být součástí rejstříků vedených živnostenskými úřady, resp. Ministerstvem průmyslu a obchodu, avšak je žádoucí, aby data oznámená správci daně a jejich aktualizace zachycovaly aktuální stav. To platí i s ohledem na možnost správce daně vyžádat si informaci o plnění záznamní povinnosti týkající se plateb přijímaných v hotovosti podle § 97 daňového řádu.</w:t>
            </w:r>
          </w:p>
          <w:p w14:paraId="5947EA8C" w14:textId="50A71A5C" w:rsidR="000B4BD4" w:rsidRPr="0035187E" w:rsidRDefault="000B4BD4" w:rsidP="0035187E">
            <w:pPr>
              <w:jc w:val="both"/>
              <w:rPr>
                <w:rFonts w:ascii="Times New Roman" w:hAnsi="Times New Roman" w:cs="Times New Roman"/>
                <w:i/>
                <w:sz w:val="20"/>
                <w:szCs w:val="20"/>
              </w:rPr>
            </w:pPr>
            <w:r w:rsidRPr="0035187E">
              <w:rPr>
                <w:rFonts w:ascii="Times New Roman" w:hAnsi="Times New Roman" w:cs="Times New Roman"/>
                <w:i/>
                <w:sz w:val="20"/>
                <w:szCs w:val="20"/>
              </w:rPr>
              <w:t>Uvedením všech provozoven, kde dochází k tržbám, zajistí správci daně rámcové komplexní informace o veškerých segmentech podnikatelské činnosti poplatníka, které vzhledem k jejich možné rozmanitosti není zpravidla možné získat z jiných dostupných zdrojů. Jejich plošné získávání se jeví jako šetrnější, než jejich ad hoc sběr pomocí individuálních nástrojů vyhledávací a kontrolní činnosti. Použité informace tak v konečném důsledku budou moci být použity pro dosažení lepších výsledků pro srovnávací analýzy a k efektivnějšímu a současně šetrnějšímu zacílení případných kontrol.“</w:t>
            </w:r>
            <w:r w:rsidR="00F34E04" w:rsidRPr="0035187E">
              <w:rPr>
                <w:rFonts w:ascii="Times New Roman" w:hAnsi="Times New Roman" w:cs="Times New Roman"/>
                <w:iCs/>
                <w:sz w:val="20"/>
                <w:szCs w:val="20"/>
              </w:rPr>
              <w:t>.</w:t>
            </w:r>
          </w:p>
        </w:tc>
      </w:tr>
      <w:tr w:rsidR="0035187E" w:rsidRPr="0035187E" w14:paraId="559EFAB4"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46F3B6BA" w14:textId="3422174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74.</w:t>
            </w:r>
          </w:p>
        </w:tc>
        <w:tc>
          <w:tcPr>
            <w:tcW w:w="583" w:type="pct"/>
            <w:tcBorders>
              <w:top w:val="single" w:sz="4" w:space="0" w:color="auto"/>
              <w:left w:val="single" w:sz="4" w:space="0" w:color="auto"/>
              <w:right w:val="single" w:sz="4" w:space="0" w:color="auto"/>
            </w:tcBorders>
            <w:shd w:val="clear" w:color="auto" w:fill="auto"/>
          </w:tcPr>
          <w:p w14:paraId="0EB5E93F" w14:textId="1AE44EC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Svaz průmyslu a dopravy České republiky</w:t>
            </w:r>
          </w:p>
        </w:tc>
        <w:tc>
          <w:tcPr>
            <w:tcW w:w="168" w:type="pct"/>
            <w:tcBorders>
              <w:top w:val="single" w:sz="4" w:space="0" w:color="auto"/>
              <w:left w:val="single" w:sz="4" w:space="0" w:color="auto"/>
              <w:right w:val="single" w:sz="4" w:space="0" w:color="auto"/>
            </w:tcBorders>
            <w:shd w:val="clear" w:color="auto" w:fill="auto"/>
          </w:tcPr>
          <w:p w14:paraId="73C1CA09" w14:textId="24CEE1B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8.</w:t>
            </w:r>
          </w:p>
        </w:tc>
        <w:tc>
          <w:tcPr>
            <w:tcW w:w="169" w:type="pct"/>
            <w:tcBorders>
              <w:top w:val="single" w:sz="4" w:space="0" w:color="auto"/>
              <w:left w:val="single" w:sz="4" w:space="0" w:color="auto"/>
              <w:right w:val="single" w:sz="4" w:space="0" w:color="auto"/>
            </w:tcBorders>
            <w:shd w:val="clear" w:color="auto" w:fill="auto"/>
          </w:tcPr>
          <w:p w14:paraId="6C70A54A" w14:textId="27DD813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3F6662C" w14:textId="77777777" w:rsidR="000B4BD4" w:rsidRPr="0035187E" w:rsidRDefault="000B4BD4" w:rsidP="0035187E">
            <w:pPr>
              <w:numPr>
                <w:ilvl w:val="0"/>
                <w:numId w:val="59"/>
              </w:numPr>
              <w:ind w:left="0" w:firstLine="0"/>
              <w:contextualSpacing/>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K § 4 písm. a) návrhu zákona o evidenci tržeb – vymezení evidenční jednotky v rámci jedné provozovny</w:t>
            </w:r>
          </w:p>
          <w:p w14:paraId="2EBA7975" w14:textId="096990E9"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Navrhujeme upřesnit postup v případech, kdy je v prostoru jedné provozovny ve smyslu živnostenského zákona (přičemž tento prostor může představovat rozsáhlý průmyslový komplex) provozováno více různých živností, při kterých dochází k přijímání kontaktních plateb. </w:t>
            </w:r>
          </w:p>
          <w:p w14:paraId="31E8FD42" w14:textId="77777777" w:rsidR="000B4BD4" w:rsidRPr="0035187E" w:rsidRDefault="000B4BD4" w:rsidP="0035187E">
            <w:pPr>
              <w:jc w:val="both"/>
              <w:rPr>
                <w:rFonts w:ascii="Times New Roman" w:eastAsia="Calibri" w:hAnsi="Times New Roman" w:cs="Times New Roman"/>
                <w:sz w:val="20"/>
                <w:szCs w:val="20"/>
                <w:lang w:eastAsia="en-US"/>
              </w:rPr>
            </w:pPr>
          </w:p>
          <w:p w14:paraId="42D23E51" w14:textId="77777777" w:rsidR="000B4BD4" w:rsidRPr="0035187E" w:rsidRDefault="000B4BD4" w:rsidP="0035187E">
            <w:pPr>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Odůvodnění:</w:t>
            </w:r>
          </w:p>
          <w:p w14:paraId="16AD87D7"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V praxi se může jednat o situace, kdy jsou jednotlivá místa přijímání kontaktních plateb v rámci jedné provozovny prostorově oddělena/vzdálena, platby probíhají různými způsoby a jsou realizovány prostřednictvím odlišných platebních terminálů. Není zřejmé, zda mají být jednotlivá místa přijímání kontaktních plateb v takovém případě evidována jako samostatné evidenční jednotky, nebo zda má být jako jedna evidenční jednotka evidována provozovna jako celek, a to v souladu se zápisem v živnostenském rejstříku.</w:t>
            </w:r>
          </w:p>
          <w:p w14:paraId="388208FC" w14:textId="264DFFB7" w:rsidR="000B4BD4" w:rsidRPr="0035187E" w:rsidRDefault="000B4BD4" w:rsidP="0035187E">
            <w:pPr>
              <w:jc w:val="both"/>
              <w:rPr>
                <w:rFonts w:ascii="Times New Roman" w:hAnsi="Times New Roman" w:cs="Times New Roman"/>
                <w:sz w:val="20"/>
                <w:szCs w:val="20"/>
              </w:rPr>
            </w:pPr>
            <w:r w:rsidRPr="0035187E">
              <w:rPr>
                <w:rFonts w:ascii="Times New Roman" w:eastAsia="Calibri" w:hAnsi="Times New Roman" w:cs="Times New Roman"/>
                <w:b/>
                <w:bCs/>
                <w:sz w:val="20"/>
                <w:szCs w:val="20"/>
                <w:lang w:eastAsia="en-US"/>
              </w:rPr>
              <w:t xml:space="preserve">Tato připomínka je zásadní. </w:t>
            </w:r>
          </w:p>
        </w:tc>
        <w:tc>
          <w:tcPr>
            <w:tcW w:w="1453" w:type="pct"/>
            <w:tcBorders>
              <w:top w:val="single" w:sz="4" w:space="0" w:color="auto"/>
              <w:left w:val="single" w:sz="4" w:space="0" w:color="auto"/>
              <w:right w:val="single" w:sz="4" w:space="0" w:color="auto"/>
            </w:tcBorders>
            <w:shd w:val="clear" w:color="auto" w:fill="auto"/>
          </w:tcPr>
          <w:p w14:paraId="57B65B44" w14:textId="77777777"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t>Vyhověno.</w:t>
            </w:r>
          </w:p>
          <w:p w14:paraId="6F9F842F" w14:textId="1B27554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 ve prospěch doplnění slov „popřípadě jejich samostatná funkční část“.</w:t>
            </w:r>
          </w:p>
        </w:tc>
      </w:tr>
      <w:tr w:rsidR="0035187E" w:rsidRPr="0035187E" w14:paraId="19059ED3"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6AF533C" w14:textId="43AFA49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74.</w:t>
            </w:r>
          </w:p>
        </w:tc>
        <w:tc>
          <w:tcPr>
            <w:tcW w:w="583" w:type="pct"/>
            <w:tcBorders>
              <w:top w:val="single" w:sz="4" w:space="0" w:color="auto"/>
              <w:left w:val="single" w:sz="4" w:space="0" w:color="auto"/>
              <w:right w:val="single" w:sz="4" w:space="0" w:color="auto"/>
            </w:tcBorders>
            <w:shd w:val="clear" w:color="auto" w:fill="auto"/>
          </w:tcPr>
          <w:p w14:paraId="0F18D042" w14:textId="44498BA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Svaz průmyslu a dopravy České republiky</w:t>
            </w:r>
          </w:p>
        </w:tc>
        <w:tc>
          <w:tcPr>
            <w:tcW w:w="168" w:type="pct"/>
            <w:tcBorders>
              <w:top w:val="single" w:sz="4" w:space="0" w:color="auto"/>
              <w:left w:val="single" w:sz="4" w:space="0" w:color="auto"/>
              <w:right w:val="single" w:sz="4" w:space="0" w:color="auto"/>
            </w:tcBorders>
            <w:shd w:val="clear" w:color="auto" w:fill="auto"/>
          </w:tcPr>
          <w:p w14:paraId="45FA34F0" w14:textId="2FB7066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9.</w:t>
            </w:r>
          </w:p>
        </w:tc>
        <w:tc>
          <w:tcPr>
            <w:tcW w:w="169" w:type="pct"/>
            <w:tcBorders>
              <w:top w:val="single" w:sz="4" w:space="0" w:color="auto"/>
              <w:left w:val="single" w:sz="4" w:space="0" w:color="auto"/>
              <w:right w:val="single" w:sz="4" w:space="0" w:color="auto"/>
            </w:tcBorders>
            <w:shd w:val="clear" w:color="auto" w:fill="auto"/>
          </w:tcPr>
          <w:p w14:paraId="2ACDC789" w14:textId="77B30DB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AE95CE4" w14:textId="77777777" w:rsidR="000B4BD4" w:rsidRPr="0035187E" w:rsidRDefault="000B4BD4" w:rsidP="0035187E">
            <w:pPr>
              <w:numPr>
                <w:ilvl w:val="0"/>
                <w:numId w:val="59"/>
              </w:numPr>
              <w:ind w:left="0" w:firstLine="0"/>
              <w:contextualSpacing/>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K § 4 písm. b) návrhu zákona o evidenci tržeb – vymezení pojmu „nabízení zboží nebo služeb“</w:t>
            </w:r>
          </w:p>
          <w:p w14:paraId="359D588B"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Doporučujeme výslovně vymezit, že pojem „nabízení zboží nebo služeb“ definuje nabízení ve smyslu možnosti přímého uzavření kupní smlouvy prostřednictvím dané internetové stránky nebo </w:t>
            </w:r>
            <w:proofErr w:type="gramStart"/>
            <w:r w:rsidRPr="0035187E">
              <w:rPr>
                <w:rFonts w:ascii="Times New Roman" w:eastAsia="Calibri" w:hAnsi="Times New Roman" w:cs="Times New Roman"/>
                <w:sz w:val="20"/>
                <w:szCs w:val="20"/>
                <w:lang w:eastAsia="en-US"/>
              </w:rPr>
              <w:t>aplikace</w:t>
            </w:r>
            <w:proofErr w:type="gramEnd"/>
            <w:r w:rsidRPr="0035187E">
              <w:rPr>
                <w:rFonts w:ascii="Times New Roman" w:eastAsia="Calibri" w:hAnsi="Times New Roman" w:cs="Times New Roman"/>
                <w:sz w:val="20"/>
                <w:szCs w:val="20"/>
                <w:lang w:eastAsia="en-US"/>
              </w:rPr>
              <w:t xml:space="preserve"> a to v případě úhrady kontaktním způsobem.</w:t>
            </w:r>
          </w:p>
          <w:p w14:paraId="0DBA9E92" w14:textId="77777777" w:rsidR="000B4BD4" w:rsidRPr="0035187E" w:rsidRDefault="000B4BD4" w:rsidP="0035187E">
            <w:pPr>
              <w:jc w:val="both"/>
              <w:rPr>
                <w:rFonts w:ascii="Times New Roman" w:eastAsia="Calibri" w:hAnsi="Times New Roman" w:cs="Times New Roman"/>
                <w:b/>
                <w:bCs/>
                <w:sz w:val="20"/>
                <w:szCs w:val="20"/>
                <w:lang w:eastAsia="en-US"/>
              </w:rPr>
            </w:pPr>
          </w:p>
          <w:p w14:paraId="705A8B6F" w14:textId="0687404E" w:rsidR="000B4BD4" w:rsidRPr="0035187E" w:rsidRDefault="000B4BD4" w:rsidP="0035187E">
            <w:pPr>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Odůvodnění:</w:t>
            </w:r>
          </w:p>
          <w:p w14:paraId="5CA41157"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Formulace „na kterých je nabízeno zboží nebo služby“ může bez dalšího upřesnění vést k výkladu, že evidenční jednotkou jsou veškeré internetové stránky či aplikace, na nichž poplatník prezentuje svou společnost, zboží či služby, a to i v případech, kdy se nejedná o e</w:t>
            </w:r>
            <w:r w:rsidRPr="0035187E">
              <w:rPr>
                <w:rFonts w:ascii="Times New Roman" w:eastAsia="Calibri" w:hAnsi="Times New Roman" w:cs="Times New Roman"/>
                <w:sz w:val="20"/>
                <w:szCs w:val="20"/>
                <w:lang w:eastAsia="en-US"/>
              </w:rPr>
              <w:noBreakHyphen/>
              <w:t>shop, online tržiště či jinou platformu umožňující přímé uzavření smlouvy.</w:t>
            </w:r>
          </w:p>
          <w:p w14:paraId="336C9F46" w14:textId="34AC6119" w:rsidR="000B4BD4" w:rsidRPr="0035187E" w:rsidRDefault="000B4BD4" w:rsidP="0035187E">
            <w:pPr>
              <w:jc w:val="both"/>
              <w:rPr>
                <w:rFonts w:ascii="Times New Roman" w:hAnsi="Times New Roman" w:cs="Times New Roman"/>
                <w:sz w:val="20"/>
                <w:szCs w:val="20"/>
              </w:rPr>
            </w:pPr>
            <w:r w:rsidRPr="0035187E">
              <w:rPr>
                <w:rFonts w:ascii="Times New Roman" w:eastAsia="Calibri" w:hAnsi="Times New Roman" w:cs="Times New Roman"/>
                <w:b/>
                <w:bCs/>
                <w:sz w:val="20"/>
                <w:szCs w:val="20"/>
                <w:lang w:eastAsia="en-US"/>
              </w:rPr>
              <w:t xml:space="preserve">Tato připomínka je zásadní. </w:t>
            </w:r>
          </w:p>
        </w:tc>
        <w:tc>
          <w:tcPr>
            <w:tcW w:w="1453" w:type="pct"/>
            <w:tcBorders>
              <w:top w:val="single" w:sz="4" w:space="0" w:color="auto"/>
              <w:left w:val="single" w:sz="4" w:space="0" w:color="auto"/>
              <w:right w:val="single" w:sz="4" w:space="0" w:color="auto"/>
            </w:tcBorders>
            <w:shd w:val="clear" w:color="auto" w:fill="auto"/>
          </w:tcPr>
          <w:p w14:paraId="0716AA14" w14:textId="77777777"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t>Vyhověno jinak.</w:t>
            </w:r>
          </w:p>
          <w:p w14:paraId="77F21E7A"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terminologicky upraven ve prospěch slov „</w:t>
            </w:r>
            <w:r w:rsidRPr="0035187E">
              <w:rPr>
                <w:rFonts w:ascii="Times New Roman" w:hAnsi="Times New Roman" w:cs="Times New Roman"/>
                <w:i/>
                <w:sz w:val="20"/>
                <w:szCs w:val="20"/>
              </w:rPr>
              <w:t>které umožňují přístup ke zboží nebo službám</w:t>
            </w:r>
            <w:r w:rsidRPr="0035187E">
              <w:rPr>
                <w:rFonts w:ascii="Times New Roman" w:hAnsi="Times New Roman" w:cs="Times New Roman"/>
                <w:sz w:val="20"/>
                <w:szCs w:val="20"/>
              </w:rPr>
              <w:t>“, což je formulace odpovídající textu Nařízení Evropského parlamentu a Rady (EU) 2017/2394 ze dne 12. prosince 2017.</w:t>
            </w:r>
          </w:p>
          <w:p w14:paraId="6927055D" w14:textId="3CEBE12B"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Současně v § 16 došlo k zúžení oznamovací povinnosti pouze na „</w:t>
            </w:r>
            <w:r w:rsidRPr="0035187E">
              <w:rPr>
                <w:rFonts w:ascii="Times New Roman" w:hAnsi="Times New Roman" w:cs="Times New Roman"/>
                <w:i/>
                <w:sz w:val="20"/>
                <w:szCs w:val="20"/>
              </w:rPr>
              <w:t>evidenční jednotky, prostřednictvím nichž jsou uskutečňovány tržby</w:t>
            </w:r>
            <w:r w:rsidRPr="0035187E">
              <w:rPr>
                <w:rFonts w:ascii="Times New Roman" w:hAnsi="Times New Roman" w:cs="Times New Roman"/>
                <w:sz w:val="20"/>
                <w:szCs w:val="20"/>
              </w:rPr>
              <w:t>“. Pokud by tedy příslušná internetová stránka byla ryze informativní či propagační, nebude se vůči ní vztahovat oznamovací ani evidenční povinnost.</w:t>
            </w:r>
          </w:p>
        </w:tc>
      </w:tr>
      <w:tr w:rsidR="0035187E" w:rsidRPr="0035187E" w14:paraId="7D8B1039"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7AAB68F" w14:textId="547F168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74.</w:t>
            </w:r>
          </w:p>
        </w:tc>
        <w:tc>
          <w:tcPr>
            <w:tcW w:w="583" w:type="pct"/>
            <w:tcBorders>
              <w:top w:val="single" w:sz="4" w:space="0" w:color="auto"/>
              <w:left w:val="single" w:sz="4" w:space="0" w:color="auto"/>
              <w:right w:val="single" w:sz="4" w:space="0" w:color="auto"/>
            </w:tcBorders>
            <w:shd w:val="clear" w:color="auto" w:fill="auto"/>
          </w:tcPr>
          <w:p w14:paraId="3B2A3E60" w14:textId="2A900DD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Svaz průmyslu a dopravy České republiky</w:t>
            </w:r>
          </w:p>
        </w:tc>
        <w:tc>
          <w:tcPr>
            <w:tcW w:w="168" w:type="pct"/>
            <w:tcBorders>
              <w:top w:val="single" w:sz="4" w:space="0" w:color="auto"/>
              <w:left w:val="single" w:sz="4" w:space="0" w:color="auto"/>
              <w:right w:val="single" w:sz="4" w:space="0" w:color="auto"/>
            </w:tcBorders>
            <w:shd w:val="clear" w:color="auto" w:fill="auto"/>
          </w:tcPr>
          <w:p w14:paraId="5EA7CC14" w14:textId="1B7E334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10.</w:t>
            </w:r>
          </w:p>
        </w:tc>
        <w:tc>
          <w:tcPr>
            <w:tcW w:w="169" w:type="pct"/>
            <w:tcBorders>
              <w:top w:val="single" w:sz="4" w:space="0" w:color="auto"/>
              <w:left w:val="single" w:sz="4" w:space="0" w:color="auto"/>
              <w:right w:val="single" w:sz="4" w:space="0" w:color="auto"/>
            </w:tcBorders>
            <w:shd w:val="clear" w:color="auto" w:fill="auto"/>
          </w:tcPr>
          <w:p w14:paraId="664D07FC" w14:textId="2B21430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99A02B0" w14:textId="77777777" w:rsidR="000B4BD4" w:rsidRPr="0035187E" w:rsidRDefault="000B4BD4" w:rsidP="0035187E">
            <w:pPr>
              <w:numPr>
                <w:ilvl w:val="0"/>
                <w:numId w:val="59"/>
              </w:numPr>
              <w:ind w:left="0" w:firstLine="0"/>
              <w:contextualSpacing/>
              <w:jc w:val="both"/>
              <w:rPr>
                <w:rFonts w:ascii="Times New Roman" w:eastAsia="Calibri" w:hAnsi="Times New Roman" w:cs="Times New Roman"/>
                <w:b/>
                <w:sz w:val="20"/>
                <w:szCs w:val="20"/>
                <w:lang w:eastAsia="en-US"/>
              </w:rPr>
            </w:pPr>
            <w:r w:rsidRPr="0035187E">
              <w:rPr>
                <w:rFonts w:ascii="Times New Roman" w:eastAsia="Calibri" w:hAnsi="Times New Roman" w:cs="Times New Roman"/>
                <w:b/>
                <w:sz w:val="20"/>
                <w:szCs w:val="20"/>
                <w:lang w:eastAsia="en-US"/>
              </w:rPr>
              <w:t xml:space="preserve">K § 7 odst. 1 písm. b) návrhu zákona o evidenci tržeb (evidence plateb provedených v provozovně) </w:t>
            </w:r>
          </w:p>
          <w:p w14:paraId="0465FF05"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Navrhujeme specifikovat podmínky tzv. kontaktních plateb</w:t>
            </w:r>
          </w:p>
          <w:p w14:paraId="49984D79" w14:textId="77777777" w:rsidR="000B4BD4" w:rsidRPr="0035187E" w:rsidRDefault="000B4BD4" w:rsidP="0035187E">
            <w:pPr>
              <w:jc w:val="both"/>
              <w:rPr>
                <w:rFonts w:ascii="Times New Roman" w:eastAsia="Calibri" w:hAnsi="Times New Roman" w:cs="Times New Roman"/>
                <w:b/>
                <w:bCs/>
                <w:sz w:val="20"/>
                <w:szCs w:val="20"/>
                <w:lang w:eastAsia="en-US"/>
              </w:rPr>
            </w:pPr>
          </w:p>
          <w:p w14:paraId="57F51791" w14:textId="3BB92A4B" w:rsidR="000B4BD4" w:rsidRPr="0035187E" w:rsidRDefault="000B4BD4" w:rsidP="0035187E">
            <w:pPr>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 xml:space="preserve">Odůvodnění: </w:t>
            </w:r>
          </w:p>
          <w:p w14:paraId="7095EAB7" w14:textId="31E7E2CE"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Podle uvedeného ustanovení má být kontaktní (evidovanou) platbou každá platba „</w:t>
            </w:r>
            <w:r w:rsidRPr="0035187E">
              <w:rPr>
                <w:rFonts w:ascii="Times New Roman" w:eastAsia="Calibri" w:hAnsi="Times New Roman" w:cs="Times New Roman"/>
                <w:i/>
                <w:iCs/>
                <w:sz w:val="20"/>
                <w:szCs w:val="20"/>
                <w:lang w:eastAsia="en-US"/>
              </w:rPr>
              <w:t>ke které dochází v provozovně poplatníka v souvislosti s objednáním nebo přijetím zboží nebo služeb</w:t>
            </w:r>
            <w:r w:rsidRPr="0035187E">
              <w:rPr>
                <w:rFonts w:ascii="Times New Roman" w:eastAsia="Calibri" w:hAnsi="Times New Roman" w:cs="Times New Roman"/>
                <w:sz w:val="20"/>
                <w:szCs w:val="20"/>
                <w:lang w:eastAsia="en-US"/>
              </w:rPr>
              <w:t xml:space="preserve">“, a to bez ohledu na to, zda dochází ke kontaktu s pracovníky obchodníka, a bez ohledu na to, jaká platební metoda je zákazníkem zvolena. V důvodové právě se výslovně uvádí, že za kontaktní platbu bude nutná příčinná souvislost mezi objednáním nebo přijetím zboží nebo služeb a platbou uskutečněnou v provozovně – pokud zboží či služby s danou provozovnou nesouvisí, nepůjde o kontaktní platbu. </w:t>
            </w:r>
          </w:p>
          <w:p w14:paraId="27F4CA5C" w14:textId="77777777" w:rsidR="000B4BD4" w:rsidRPr="0035187E" w:rsidRDefault="000B4BD4" w:rsidP="0035187E">
            <w:pPr>
              <w:jc w:val="both"/>
              <w:rPr>
                <w:rFonts w:ascii="Times New Roman" w:eastAsia="Calibri" w:hAnsi="Times New Roman" w:cs="Times New Roman"/>
                <w:sz w:val="20"/>
                <w:szCs w:val="20"/>
                <w:lang w:eastAsia="en-US"/>
              </w:rPr>
            </w:pPr>
          </w:p>
          <w:p w14:paraId="425A74E7" w14:textId="7503F6DF"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Máme však za to, že v praxi bude existovat řada bezhotovostních plateb, které sice budou splňovat výše uvedené vymezení (došlo k nim v provozovně poplatníka v souvislosti s objednáním nebo přijetím zboží nebo služeb), nicméně obchodník nebude mít, jak zjistit, </w:t>
            </w:r>
            <w:r w:rsidRPr="0035187E">
              <w:rPr>
                <w:rFonts w:ascii="Times New Roman" w:eastAsia="Calibri" w:hAnsi="Times New Roman" w:cs="Times New Roman"/>
                <w:sz w:val="20"/>
                <w:szCs w:val="20"/>
                <w:lang w:eastAsia="en-US"/>
              </w:rPr>
              <w:lastRenderedPageBreak/>
              <w:t xml:space="preserve">že se jedná o platbu, kterou je nutné evidovat ve smyslu návrhu. Provozovny obchodníků (show </w:t>
            </w:r>
            <w:proofErr w:type="spellStart"/>
            <w:r w:rsidRPr="0035187E">
              <w:rPr>
                <w:rFonts w:ascii="Times New Roman" w:eastAsia="Calibri" w:hAnsi="Times New Roman" w:cs="Times New Roman"/>
                <w:sz w:val="20"/>
                <w:szCs w:val="20"/>
                <w:lang w:eastAsia="en-US"/>
              </w:rPr>
              <w:t>rooms</w:t>
            </w:r>
            <w:proofErr w:type="spellEnd"/>
            <w:r w:rsidRPr="0035187E">
              <w:rPr>
                <w:rFonts w:ascii="Times New Roman" w:eastAsia="Calibri" w:hAnsi="Times New Roman" w:cs="Times New Roman"/>
                <w:sz w:val="20"/>
                <w:szCs w:val="20"/>
                <w:lang w:eastAsia="en-US"/>
              </w:rPr>
              <w:t xml:space="preserve">) mohou být poměrně rozsáhlé a může zde být přítomen velký počet zákazníků (desítky či dokonce stovky). Obchodník pak nemá možnost zjistit, odkud konkrétní zákazník provedl on-line platbu na e-shopu před vyzvednutím zboží v provozovně (zda byla zákazníkem platba provedena ještě doma, v automobilu, před provozovnou či až v samotné provozovně). </w:t>
            </w:r>
          </w:p>
          <w:p w14:paraId="3422C5D8" w14:textId="77777777" w:rsidR="000B4BD4" w:rsidRPr="0035187E" w:rsidRDefault="000B4BD4" w:rsidP="0035187E">
            <w:pPr>
              <w:jc w:val="both"/>
              <w:rPr>
                <w:rFonts w:ascii="Times New Roman" w:eastAsia="Calibri" w:hAnsi="Times New Roman" w:cs="Times New Roman"/>
                <w:sz w:val="20"/>
                <w:szCs w:val="20"/>
                <w:lang w:eastAsia="en-US"/>
              </w:rPr>
            </w:pPr>
          </w:p>
          <w:p w14:paraId="234396AA"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Aby tedy obchodník naplnil požadovaný záměr, musel by z pohledu praktického raději přistoupit k evidenci všech bezhotovostních plateb, u kterých dochází k vyzvednutí zboží v provozovně (jelikož by nebyl schopen lokalizovat, zda platba nebyla provedena zákazníkem v jeho provozovně před vyzvednutím zboží), což podle našeho názoru není záměrem návrhu.</w:t>
            </w:r>
          </w:p>
          <w:p w14:paraId="34383DE4" w14:textId="44A9C6C9" w:rsidR="000B4BD4" w:rsidRPr="0035187E" w:rsidRDefault="000B4BD4" w:rsidP="0035187E">
            <w:pPr>
              <w:jc w:val="both"/>
              <w:rPr>
                <w:rFonts w:ascii="Times New Roman" w:hAnsi="Times New Roman" w:cs="Times New Roman"/>
                <w:sz w:val="20"/>
                <w:szCs w:val="20"/>
              </w:rPr>
            </w:pPr>
            <w:r w:rsidRPr="0035187E">
              <w:rPr>
                <w:rFonts w:ascii="Times New Roman" w:eastAsia="Calibri" w:hAnsi="Times New Roman" w:cs="Times New Roman"/>
                <w:b/>
                <w:bCs/>
                <w:sz w:val="20"/>
                <w:szCs w:val="20"/>
                <w:lang w:eastAsia="en-US"/>
              </w:rPr>
              <w:t xml:space="preserve">Tato připomínka je zásadní. </w:t>
            </w:r>
          </w:p>
        </w:tc>
        <w:tc>
          <w:tcPr>
            <w:tcW w:w="1453" w:type="pct"/>
            <w:tcBorders>
              <w:top w:val="single" w:sz="4" w:space="0" w:color="auto"/>
              <w:left w:val="single" w:sz="4" w:space="0" w:color="auto"/>
              <w:right w:val="single" w:sz="4" w:space="0" w:color="auto"/>
            </w:tcBorders>
            <w:shd w:val="clear" w:color="auto" w:fill="auto"/>
          </w:tcPr>
          <w:p w14:paraId="6BBD2C99" w14:textId="77777777"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Vysvětleno.</w:t>
            </w:r>
          </w:p>
          <w:p w14:paraId="7B1733B7" w14:textId="79850568"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Uvedené pravidlo je v návrhu zákona obsaženo jako prevence situací, kdy by „e-</w:t>
            </w:r>
            <w:proofErr w:type="spellStart"/>
            <w:r w:rsidRPr="0035187E">
              <w:rPr>
                <w:rFonts w:ascii="Times New Roman" w:hAnsi="Times New Roman" w:cs="Times New Roman"/>
                <w:sz w:val="20"/>
                <w:szCs w:val="20"/>
              </w:rPr>
              <w:t>shopová</w:t>
            </w:r>
            <w:proofErr w:type="spellEnd"/>
            <w:r w:rsidRPr="0035187E">
              <w:rPr>
                <w:rFonts w:ascii="Times New Roman" w:hAnsi="Times New Roman" w:cs="Times New Roman"/>
                <w:sz w:val="20"/>
                <w:szCs w:val="20"/>
              </w:rPr>
              <w:t>“ metoda objednání a platby byla uměle preferována jako způsob obejití regulace evidence tržeb. Bude tedy záviset vždy na posouzení konkrétního modelu. Tam, kde je pro obchodníka objektivně nezjistitelné, kde se uživatel jeho e-shopu v momentě realizace platby nachází, by neměla být v aplikační praxi evidence tržeb ze strany kontrolních orgánů požadována. Z hlediska deliktní způsobilosti by zde nemohlo být dovozeno zavinění, resp. příčinná souvislost mezi jednáním poplatníka a vzniklým následkem.</w:t>
            </w:r>
          </w:p>
          <w:p w14:paraId="6CAB2A85" w14:textId="7A310529"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Faktickým řešením může být i zapojení samotného zákazníka, který by např. zaškrtnul v rámci objednání </w:t>
            </w:r>
            <w:r w:rsidRPr="0035187E">
              <w:rPr>
                <w:rFonts w:ascii="Times New Roman" w:hAnsi="Times New Roman" w:cs="Times New Roman"/>
                <w:sz w:val="20"/>
                <w:szCs w:val="20"/>
              </w:rPr>
              <w:lastRenderedPageBreak/>
              <w:t>políčko dávající informaci o tom, že se nachází v provozovně.</w:t>
            </w:r>
          </w:p>
        </w:tc>
      </w:tr>
      <w:tr w:rsidR="0035187E" w:rsidRPr="0035187E" w14:paraId="12D6545E"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AFA47BA" w14:textId="7370A26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74.</w:t>
            </w:r>
          </w:p>
        </w:tc>
        <w:tc>
          <w:tcPr>
            <w:tcW w:w="583" w:type="pct"/>
            <w:tcBorders>
              <w:top w:val="single" w:sz="4" w:space="0" w:color="auto"/>
              <w:left w:val="single" w:sz="4" w:space="0" w:color="auto"/>
              <w:right w:val="single" w:sz="4" w:space="0" w:color="auto"/>
            </w:tcBorders>
            <w:shd w:val="clear" w:color="auto" w:fill="auto"/>
          </w:tcPr>
          <w:p w14:paraId="4E9E8F80" w14:textId="431483A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Svaz průmyslu a dopravy České republiky</w:t>
            </w:r>
          </w:p>
        </w:tc>
        <w:tc>
          <w:tcPr>
            <w:tcW w:w="168" w:type="pct"/>
            <w:tcBorders>
              <w:top w:val="single" w:sz="4" w:space="0" w:color="auto"/>
              <w:left w:val="single" w:sz="4" w:space="0" w:color="auto"/>
              <w:right w:val="single" w:sz="4" w:space="0" w:color="auto"/>
            </w:tcBorders>
            <w:shd w:val="clear" w:color="auto" w:fill="auto"/>
          </w:tcPr>
          <w:p w14:paraId="33F3EEAD" w14:textId="53810C2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11.</w:t>
            </w:r>
          </w:p>
        </w:tc>
        <w:tc>
          <w:tcPr>
            <w:tcW w:w="169" w:type="pct"/>
            <w:tcBorders>
              <w:top w:val="single" w:sz="4" w:space="0" w:color="auto"/>
              <w:left w:val="single" w:sz="4" w:space="0" w:color="auto"/>
              <w:right w:val="single" w:sz="4" w:space="0" w:color="auto"/>
            </w:tcBorders>
            <w:shd w:val="clear" w:color="auto" w:fill="auto"/>
          </w:tcPr>
          <w:p w14:paraId="30184022" w14:textId="3615239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38887C50" w14:textId="77777777" w:rsidR="000B4BD4" w:rsidRPr="0035187E" w:rsidRDefault="000B4BD4" w:rsidP="0035187E">
            <w:pPr>
              <w:numPr>
                <w:ilvl w:val="0"/>
                <w:numId w:val="59"/>
              </w:numPr>
              <w:ind w:left="0" w:firstLine="0"/>
              <w:contextualSpacing/>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 xml:space="preserve">K § 7 odst. 2 ve spojení s § 10 odst. 1 návrhu zákona o evidenci tržeb </w:t>
            </w:r>
          </w:p>
          <w:p w14:paraId="6B40B2F2" w14:textId="2C1DEC8C" w:rsidR="000B4BD4" w:rsidRPr="0035187E" w:rsidRDefault="000B4BD4" w:rsidP="0035187E">
            <w:pPr>
              <w:jc w:val="both"/>
              <w:rPr>
                <w:rFonts w:ascii="Times New Roman" w:eastAsia="Calibri" w:hAnsi="Times New Roman" w:cs="Times New Roman"/>
                <w:sz w:val="20"/>
                <w:szCs w:val="20"/>
                <w:lang w:eastAsia="en-US"/>
              </w:rPr>
            </w:pPr>
          </w:p>
          <w:p w14:paraId="6715D291" w14:textId="0012C5F3"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Prosíme přeformulovat ustanovení druhé věty a to tak, aby bylo zřejmé, jaký je její význam. </w:t>
            </w:r>
          </w:p>
          <w:p w14:paraId="46CCE0EE" w14:textId="77777777" w:rsidR="000B4BD4" w:rsidRPr="0035187E" w:rsidRDefault="000B4BD4" w:rsidP="0035187E">
            <w:pPr>
              <w:jc w:val="both"/>
              <w:rPr>
                <w:rFonts w:ascii="Times New Roman" w:eastAsia="Calibri" w:hAnsi="Times New Roman" w:cs="Times New Roman"/>
                <w:b/>
                <w:bCs/>
                <w:sz w:val="20"/>
                <w:szCs w:val="20"/>
                <w:lang w:eastAsia="en-US"/>
              </w:rPr>
            </w:pPr>
          </w:p>
          <w:p w14:paraId="4B3BF13F" w14:textId="13087713" w:rsidR="000B4BD4" w:rsidRPr="0035187E" w:rsidRDefault="000B4BD4" w:rsidP="0035187E">
            <w:pPr>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Odůvodnění:</w:t>
            </w:r>
          </w:p>
          <w:p w14:paraId="55A2DF4B" w14:textId="3CDDD9CF"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Podle důvodové zprávy má druhá věta zmíněného ustanovení z evidovaných plateb vylučovat případy hotovostních plateb prováděných tzv. dobírkou. Není však zcela zřejmá formulace výluky: „</w:t>
            </w:r>
            <w:r w:rsidRPr="0035187E">
              <w:rPr>
                <w:rFonts w:ascii="Times New Roman" w:eastAsia="Calibri" w:hAnsi="Times New Roman" w:cs="Times New Roman"/>
                <w:i/>
                <w:iCs/>
                <w:sz w:val="20"/>
                <w:szCs w:val="20"/>
                <w:lang w:eastAsia="en-US"/>
              </w:rPr>
              <w:t>To neplatí (</w:t>
            </w:r>
            <w:r w:rsidRPr="0035187E">
              <w:rPr>
                <w:rFonts w:ascii="Times New Roman" w:eastAsia="Calibri" w:hAnsi="Times New Roman" w:cs="Times New Roman"/>
                <w:sz w:val="20"/>
                <w:szCs w:val="20"/>
                <w:lang w:eastAsia="en-US"/>
              </w:rPr>
              <w:t>pozn. kontaktní platbou není</w:t>
            </w:r>
            <w:r w:rsidRPr="0035187E">
              <w:rPr>
                <w:rFonts w:ascii="Times New Roman" w:eastAsia="Calibri" w:hAnsi="Times New Roman" w:cs="Times New Roman"/>
                <w:i/>
                <w:iCs/>
                <w:sz w:val="20"/>
                <w:szCs w:val="20"/>
                <w:lang w:eastAsia="en-US"/>
              </w:rPr>
              <w:t>), je-li tato platba zprostředkována jinou osobou, která nejedná v přímém ani nepřímém zastoupení poplatníka, provedením převodu peněžních prostředků na platební účet tohoto poplatníka</w:t>
            </w:r>
            <w:r w:rsidRPr="0035187E">
              <w:rPr>
                <w:rFonts w:ascii="Times New Roman" w:eastAsia="Calibri" w:hAnsi="Times New Roman" w:cs="Times New Roman"/>
                <w:sz w:val="20"/>
                <w:szCs w:val="20"/>
                <w:lang w:eastAsia="en-US"/>
              </w:rPr>
              <w:t xml:space="preserve">.“ Lze totiž pochybovat o tom, že v případě placení prostřednictvím dobírky nejedná dopravce v nepřímém zastoupení obchodníka. </w:t>
            </w:r>
          </w:p>
          <w:p w14:paraId="25F9C1C1" w14:textId="77777777" w:rsidR="000B4BD4" w:rsidRPr="0035187E" w:rsidRDefault="000B4BD4" w:rsidP="0035187E">
            <w:pPr>
              <w:jc w:val="both"/>
              <w:rPr>
                <w:rFonts w:ascii="Times New Roman" w:eastAsia="Calibri" w:hAnsi="Times New Roman" w:cs="Times New Roman"/>
                <w:sz w:val="20"/>
                <w:szCs w:val="20"/>
                <w:lang w:eastAsia="en-US"/>
              </w:rPr>
            </w:pPr>
          </w:p>
          <w:p w14:paraId="645D1F2E" w14:textId="798ABDA3"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Vztah mezi obchodníkem a dopravcem má totiž dle našeho názoru charakter smlouvy o inkasu (§ 2694 občanského zákoníku) – obstaravatel inkasa se zavazuje obstarat pro příkazce přijetí peněžní částky a příkazce se zavazuje zaplatit obstarateli inkasa odměnu. Obstaravatel je tedy nepřímým zástupcem příkazce (zde internetového obchodníka), podobně jako je tomu v případě komise. </w:t>
            </w:r>
          </w:p>
          <w:p w14:paraId="5A99FCB7" w14:textId="77777777" w:rsidR="000B4BD4" w:rsidRPr="0035187E" w:rsidRDefault="000B4BD4" w:rsidP="0035187E">
            <w:pPr>
              <w:jc w:val="both"/>
              <w:rPr>
                <w:rFonts w:ascii="Times New Roman" w:eastAsia="Calibri" w:hAnsi="Times New Roman" w:cs="Times New Roman"/>
                <w:sz w:val="20"/>
                <w:szCs w:val="20"/>
                <w:lang w:eastAsia="en-US"/>
              </w:rPr>
            </w:pPr>
          </w:p>
          <w:p w14:paraId="638206DE"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Domníváme se tedy, že nemusí být zcela validní informace uvedené v důvodové zprávě k ustanovení § 10 návrhu zákona o evidenci tržeb. „</w:t>
            </w:r>
            <w:r w:rsidRPr="0035187E">
              <w:rPr>
                <w:rFonts w:ascii="Times New Roman" w:eastAsia="Calibri" w:hAnsi="Times New Roman" w:cs="Times New Roman"/>
                <w:i/>
                <w:iCs/>
                <w:sz w:val="20"/>
                <w:szCs w:val="20"/>
                <w:lang w:eastAsia="en-US"/>
              </w:rPr>
              <w:t>Od nepřímého zastoupení je třeba odlišit situaci, kdy někdo v rámci doručení zboží zprostředkovává též inkaso platby za toto zboží. Typicky v případě platby na dobírku. Tomuto zprostředkovateli z této platby neplyne žádný příjem (marže). Jím poskytovaná služba je hrazena přímo poplatníkem, který je prodejcem daného zboží.</w:t>
            </w:r>
            <w:r w:rsidRPr="0035187E">
              <w:rPr>
                <w:rFonts w:ascii="Times New Roman" w:eastAsia="Calibri" w:hAnsi="Times New Roman" w:cs="Times New Roman"/>
                <w:sz w:val="20"/>
                <w:szCs w:val="20"/>
                <w:lang w:eastAsia="en-US"/>
              </w:rPr>
              <w:t xml:space="preserve">“ Ani komisní prodej nemusí být principiálně stanoven na bázi provize (marže), takže způsob odměňování dopravce (v případě dobírky) a komisionáře (v případě komise) není podle našeho názoru hraničním ukazatelem toho, zda se jedná či nejedná o nepřímé zastoupení (i dopravci vzniká marže z odměny hrazené obchodníkem). Máme tak za to, že ustanovení druhé věty § 7 odst. 2 a ustanovení § 10 odst. 1 návrhu zákona o </w:t>
            </w:r>
            <w:r w:rsidRPr="0035187E">
              <w:rPr>
                <w:rFonts w:ascii="Times New Roman" w:eastAsia="Calibri" w:hAnsi="Times New Roman" w:cs="Times New Roman"/>
                <w:sz w:val="20"/>
                <w:szCs w:val="20"/>
                <w:lang w:eastAsia="en-US"/>
              </w:rPr>
              <w:lastRenderedPageBreak/>
              <w:t xml:space="preserve">evidenci tržeb by měla být přeformulována tak, aby bylo nepochybné, jaký je jejich význam. </w:t>
            </w:r>
          </w:p>
          <w:p w14:paraId="2D6137A9" w14:textId="0FAC1FC8" w:rsidR="000B4BD4" w:rsidRPr="0035187E" w:rsidRDefault="000B4BD4" w:rsidP="0035187E">
            <w:pPr>
              <w:jc w:val="both"/>
              <w:rPr>
                <w:rFonts w:ascii="Times New Roman" w:hAnsi="Times New Roman" w:cs="Times New Roman"/>
                <w:sz w:val="20"/>
                <w:szCs w:val="20"/>
              </w:rPr>
            </w:pPr>
            <w:r w:rsidRPr="0035187E">
              <w:rPr>
                <w:rFonts w:ascii="Times New Roman" w:eastAsia="Calibri" w:hAnsi="Times New Roman" w:cs="Times New Roman"/>
                <w:b/>
                <w:sz w:val="20"/>
                <w:szCs w:val="20"/>
                <w:lang w:eastAsia="en-US"/>
              </w:rPr>
              <w:t xml:space="preserve">Tato připomínka je zásadní. </w:t>
            </w:r>
          </w:p>
        </w:tc>
        <w:tc>
          <w:tcPr>
            <w:tcW w:w="1453" w:type="pct"/>
            <w:tcBorders>
              <w:top w:val="single" w:sz="4" w:space="0" w:color="auto"/>
              <w:left w:val="single" w:sz="4" w:space="0" w:color="auto"/>
              <w:right w:val="single" w:sz="4" w:space="0" w:color="auto"/>
            </w:tcBorders>
            <w:shd w:val="clear" w:color="auto" w:fill="auto"/>
          </w:tcPr>
          <w:p w14:paraId="20410623" w14:textId="77777777"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Vyhověno jinak.</w:t>
            </w:r>
          </w:p>
          <w:p w14:paraId="05A12A09" w14:textId="552F1640"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 tak, že slova „</w:t>
            </w:r>
            <w:r w:rsidRPr="0035187E">
              <w:rPr>
                <w:rFonts w:ascii="Times New Roman" w:hAnsi="Times New Roman" w:cs="Times New Roman"/>
                <w:i/>
                <w:sz w:val="20"/>
                <w:szCs w:val="20"/>
              </w:rPr>
              <w:t>jinou osobou, která nejedná v přímém ani nepřímém zastoupení poplatníka,</w:t>
            </w:r>
            <w:r w:rsidRPr="0035187E">
              <w:rPr>
                <w:rFonts w:ascii="Times New Roman" w:hAnsi="Times New Roman" w:cs="Times New Roman"/>
                <w:sz w:val="20"/>
                <w:szCs w:val="20"/>
              </w:rPr>
              <w:t>“ byla nahrazena slovy „</w:t>
            </w:r>
            <w:r w:rsidRPr="0035187E">
              <w:rPr>
                <w:rFonts w:ascii="Times New Roman" w:hAnsi="Times New Roman" w:cs="Times New Roman"/>
                <w:i/>
                <w:sz w:val="20"/>
                <w:szCs w:val="20"/>
              </w:rPr>
              <w:t>jako poštovní služba</w:t>
            </w:r>
            <w:r w:rsidRPr="0035187E">
              <w:rPr>
                <w:rFonts w:ascii="Times New Roman" w:hAnsi="Times New Roman" w:cs="Times New Roman"/>
                <w:sz w:val="20"/>
                <w:szCs w:val="20"/>
              </w:rPr>
              <w:t xml:space="preserve">“. Toto řešení zajistí, že budou vyňaty pouze služby typu dobírka, nikoliv jiné formy zprostředkování platby. Nebude tak lišeno mezi zajištěním hotovostní platby svépomocně, vlastním zaměstnancem, přímým nebo nepřímým zástupcem, anebo třetí osobou. </w:t>
            </w:r>
          </w:p>
        </w:tc>
      </w:tr>
      <w:tr w:rsidR="0035187E" w:rsidRPr="0035187E" w14:paraId="58761116"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436F5D5C" w14:textId="050B2C9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74.</w:t>
            </w:r>
          </w:p>
        </w:tc>
        <w:tc>
          <w:tcPr>
            <w:tcW w:w="583" w:type="pct"/>
            <w:tcBorders>
              <w:top w:val="single" w:sz="4" w:space="0" w:color="auto"/>
              <w:left w:val="single" w:sz="4" w:space="0" w:color="auto"/>
              <w:right w:val="single" w:sz="4" w:space="0" w:color="auto"/>
            </w:tcBorders>
            <w:shd w:val="clear" w:color="auto" w:fill="auto"/>
          </w:tcPr>
          <w:p w14:paraId="225D69A4" w14:textId="18BA093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Svaz průmyslu a dopravy České republiky</w:t>
            </w:r>
          </w:p>
        </w:tc>
        <w:tc>
          <w:tcPr>
            <w:tcW w:w="168" w:type="pct"/>
            <w:tcBorders>
              <w:top w:val="single" w:sz="4" w:space="0" w:color="auto"/>
              <w:left w:val="single" w:sz="4" w:space="0" w:color="auto"/>
              <w:right w:val="single" w:sz="4" w:space="0" w:color="auto"/>
            </w:tcBorders>
            <w:shd w:val="clear" w:color="auto" w:fill="auto"/>
          </w:tcPr>
          <w:p w14:paraId="74AA7C89" w14:textId="18BCB95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12.</w:t>
            </w:r>
          </w:p>
        </w:tc>
        <w:tc>
          <w:tcPr>
            <w:tcW w:w="169" w:type="pct"/>
            <w:tcBorders>
              <w:top w:val="single" w:sz="4" w:space="0" w:color="auto"/>
              <w:left w:val="single" w:sz="4" w:space="0" w:color="auto"/>
              <w:right w:val="single" w:sz="4" w:space="0" w:color="auto"/>
            </w:tcBorders>
            <w:shd w:val="clear" w:color="auto" w:fill="auto"/>
          </w:tcPr>
          <w:p w14:paraId="4B788A4E" w14:textId="6403D6C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7AF4936" w14:textId="77777777" w:rsidR="000B4BD4" w:rsidRPr="0035187E" w:rsidRDefault="000B4BD4" w:rsidP="0035187E">
            <w:pPr>
              <w:numPr>
                <w:ilvl w:val="0"/>
                <w:numId w:val="59"/>
              </w:numPr>
              <w:ind w:left="0" w:firstLine="0"/>
              <w:contextualSpacing/>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K § 13 odst. 1 písm. b) návrhu zákona o evidenci tržeb – tržby související s pracovněprávním nebo obdobným vztahem</w:t>
            </w:r>
          </w:p>
          <w:p w14:paraId="3A9854E4"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Navrhujeme blíže upřesnit výklad pojmu (definice tržeb a „obdobného vztahu“).</w:t>
            </w:r>
          </w:p>
          <w:p w14:paraId="6C70C600" w14:textId="77777777" w:rsidR="000B4BD4" w:rsidRPr="0035187E" w:rsidRDefault="000B4BD4" w:rsidP="0035187E">
            <w:pPr>
              <w:jc w:val="both"/>
              <w:rPr>
                <w:rFonts w:ascii="Times New Roman" w:eastAsia="Calibri" w:hAnsi="Times New Roman" w:cs="Times New Roman"/>
                <w:b/>
                <w:bCs/>
                <w:sz w:val="20"/>
                <w:szCs w:val="20"/>
                <w:lang w:eastAsia="en-US"/>
              </w:rPr>
            </w:pPr>
          </w:p>
          <w:p w14:paraId="00FD721E" w14:textId="04CAA035" w:rsidR="000B4BD4" w:rsidRPr="0035187E" w:rsidRDefault="000B4BD4" w:rsidP="0035187E">
            <w:pPr>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Odůvodnění:</w:t>
            </w:r>
          </w:p>
          <w:p w14:paraId="160FA0B9"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Navrhujeme upřesnit výklad pojmu „tržby ze vztahu souvisejícího s pracovněprávním nebo obdobným vztahem“. Konkrétně žádáme o vyjasnění, zda lze pod tyto platby zahrnout např. úhrady za závodní stravování zajišťované externím subjektem, který není v přímém pracovněprávním vztahu se zaměstnancem.</w:t>
            </w:r>
          </w:p>
          <w:p w14:paraId="7095990B"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Současně doporučujeme vymezit, co je považováno za „obdobný vztah“, a zda je možné pod tento pojem podřadit např. stáže, odborné praxe studentů, žáků či jiné formy spolupráce osob, které nevstupují do pracovněprávního vztahu s poplatníkem.</w:t>
            </w:r>
          </w:p>
          <w:p w14:paraId="6A5EB9F6" w14:textId="0FA24859" w:rsidR="000B4BD4" w:rsidRPr="0035187E" w:rsidRDefault="000B4BD4" w:rsidP="0035187E">
            <w:pPr>
              <w:jc w:val="both"/>
              <w:rPr>
                <w:rFonts w:ascii="Times New Roman" w:hAnsi="Times New Roman" w:cs="Times New Roman"/>
                <w:sz w:val="20"/>
                <w:szCs w:val="20"/>
              </w:rPr>
            </w:pPr>
            <w:r w:rsidRPr="0035187E">
              <w:rPr>
                <w:rFonts w:ascii="Times New Roman" w:eastAsia="Calibri" w:hAnsi="Times New Roman" w:cs="Times New Roman"/>
                <w:b/>
                <w:bCs/>
                <w:sz w:val="20"/>
                <w:szCs w:val="20"/>
                <w:lang w:eastAsia="en-US"/>
              </w:rPr>
              <w:t xml:space="preserve">Tato připomínka je zásadní. </w:t>
            </w:r>
          </w:p>
        </w:tc>
        <w:tc>
          <w:tcPr>
            <w:tcW w:w="1453" w:type="pct"/>
            <w:tcBorders>
              <w:top w:val="single" w:sz="4" w:space="0" w:color="auto"/>
              <w:left w:val="single" w:sz="4" w:space="0" w:color="auto"/>
              <w:right w:val="single" w:sz="4" w:space="0" w:color="auto"/>
            </w:tcBorders>
            <w:shd w:val="clear" w:color="auto" w:fill="auto"/>
          </w:tcPr>
          <w:p w14:paraId="7A760444" w14:textId="0DA6334D"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t>Vyhověno jinak.</w:t>
            </w:r>
          </w:p>
          <w:p w14:paraId="6F663614" w14:textId="12E05D42"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Návrh zákona byl doplněn tak, aby byla jednoznačně patrná souvztažnost k osobě poplatníka. Tj. případný pracovněprávní (nebo obdobný) vztah bude relevantní pouze, pokud je zaměstnavatelem poplatník.</w:t>
            </w:r>
          </w:p>
          <w:p w14:paraId="446673B5" w14:textId="12A5578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w:t>
            </w:r>
            <w:r w:rsidRPr="0035187E">
              <w:rPr>
                <w:rFonts w:ascii="Times New Roman" w:hAnsi="Times New Roman" w:cs="Times New Roman"/>
                <w:i/>
                <w:sz w:val="20"/>
                <w:szCs w:val="20"/>
              </w:rPr>
              <w:t>Obdobným vztahem</w:t>
            </w:r>
            <w:r w:rsidRPr="0035187E">
              <w:rPr>
                <w:rFonts w:ascii="Times New Roman" w:hAnsi="Times New Roman" w:cs="Times New Roman"/>
                <w:sz w:val="20"/>
                <w:szCs w:val="20"/>
              </w:rPr>
              <w:t>“ je v kontextu daného ustanovení nutné rozumět vztah, který naplňuje materiální znaky pracovněprávního vztahu, ačkoli tak není explicitně označen. Jde o standardní vyjádření používané hojně v právním řádu. V tomto ohledu byla rozšířena důvodová zpráva.</w:t>
            </w:r>
          </w:p>
          <w:p w14:paraId="17B59ABD" w14:textId="77777777" w:rsidR="000B4BD4" w:rsidRPr="0035187E" w:rsidRDefault="000B4BD4" w:rsidP="0035187E">
            <w:pPr>
              <w:jc w:val="both"/>
              <w:rPr>
                <w:rFonts w:ascii="Times New Roman" w:hAnsi="Times New Roman" w:cs="Times New Roman"/>
                <w:sz w:val="20"/>
                <w:szCs w:val="20"/>
              </w:rPr>
            </w:pPr>
          </w:p>
          <w:p w14:paraId="4F10F439" w14:textId="3AA5381B" w:rsidR="000B4BD4" w:rsidRPr="0035187E" w:rsidRDefault="000B4BD4" w:rsidP="0035187E">
            <w:pPr>
              <w:jc w:val="both"/>
              <w:rPr>
                <w:rFonts w:ascii="Times New Roman" w:hAnsi="Times New Roman" w:cs="Times New Roman"/>
                <w:sz w:val="20"/>
                <w:szCs w:val="20"/>
              </w:rPr>
            </w:pPr>
          </w:p>
        </w:tc>
      </w:tr>
      <w:tr w:rsidR="0035187E" w:rsidRPr="0035187E" w14:paraId="273D1620"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447A65CA" w14:textId="3400B94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74.</w:t>
            </w:r>
          </w:p>
        </w:tc>
        <w:tc>
          <w:tcPr>
            <w:tcW w:w="583" w:type="pct"/>
            <w:tcBorders>
              <w:top w:val="single" w:sz="4" w:space="0" w:color="auto"/>
              <w:left w:val="single" w:sz="4" w:space="0" w:color="auto"/>
              <w:right w:val="single" w:sz="4" w:space="0" w:color="auto"/>
            </w:tcBorders>
            <w:shd w:val="clear" w:color="auto" w:fill="auto"/>
          </w:tcPr>
          <w:p w14:paraId="269FC655" w14:textId="1AD0D66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Svaz průmyslu a dopravy České republiky</w:t>
            </w:r>
          </w:p>
        </w:tc>
        <w:tc>
          <w:tcPr>
            <w:tcW w:w="168" w:type="pct"/>
            <w:tcBorders>
              <w:top w:val="single" w:sz="4" w:space="0" w:color="auto"/>
              <w:left w:val="single" w:sz="4" w:space="0" w:color="auto"/>
              <w:right w:val="single" w:sz="4" w:space="0" w:color="auto"/>
            </w:tcBorders>
            <w:shd w:val="clear" w:color="auto" w:fill="auto"/>
          </w:tcPr>
          <w:p w14:paraId="5A887D73" w14:textId="1B202CA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13.</w:t>
            </w:r>
          </w:p>
        </w:tc>
        <w:tc>
          <w:tcPr>
            <w:tcW w:w="169" w:type="pct"/>
            <w:tcBorders>
              <w:top w:val="single" w:sz="4" w:space="0" w:color="auto"/>
              <w:left w:val="single" w:sz="4" w:space="0" w:color="auto"/>
              <w:right w:val="single" w:sz="4" w:space="0" w:color="auto"/>
            </w:tcBorders>
            <w:shd w:val="clear" w:color="auto" w:fill="auto"/>
          </w:tcPr>
          <w:p w14:paraId="4141850F" w14:textId="0252CE6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D933CBE" w14:textId="3F8D9143" w:rsidR="000B4BD4" w:rsidRPr="0035187E" w:rsidRDefault="000B4BD4" w:rsidP="0035187E">
            <w:pPr>
              <w:numPr>
                <w:ilvl w:val="0"/>
                <w:numId w:val="59"/>
              </w:numPr>
              <w:ind w:left="0" w:firstLine="0"/>
              <w:contextualSpacing/>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K § 13 odst. 1 písm. b) návrhu zákona o evidenci tržeb úprava lanových drah a vleků</w:t>
            </w:r>
          </w:p>
          <w:p w14:paraId="348E0A09"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Navrhujeme doplnit a upřesnit formulaci vynětí z evidence tržeb pro tržby z jízdného na lanových drahách. Na osobní dopravy lanovými a visutými dráhami by se výjimka neměla vztahovat. </w:t>
            </w:r>
          </w:p>
          <w:p w14:paraId="0EC5890B" w14:textId="77777777" w:rsidR="000B4BD4" w:rsidRPr="0035187E" w:rsidRDefault="000B4BD4" w:rsidP="0035187E">
            <w:pPr>
              <w:jc w:val="both"/>
              <w:rPr>
                <w:rFonts w:ascii="Times New Roman" w:eastAsia="Calibri" w:hAnsi="Times New Roman" w:cs="Times New Roman"/>
                <w:b/>
                <w:bCs/>
                <w:sz w:val="20"/>
                <w:szCs w:val="20"/>
                <w:lang w:eastAsia="en-US"/>
              </w:rPr>
            </w:pPr>
          </w:p>
          <w:p w14:paraId="4823B9E9" w14:textId="5C7EFD3A" w:rsidR="000B4BD4" w:rsidRPr="0035187E" w:rsidRDefault="000B4BD4" w:rsidP="0035187E">
            <w:pPr>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 xml:space="preserve">Odůvodnění: </w:t>
            </w:r>
          </w:p>
          <w:p w14:paraId="1D9FF3CB"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Návrh zákona vyjímá z povinnosti evidence tržeb tržby z jízdného nebo související platby v dopravních prostředcích. Z toho vyplývá (a z úpravy provozu drah zákonem č. 266/1994 Sb. o dráhách a dalšími souvisejícími předpisy), že tržby z jízdného placeného za přepravu na lanových drahách by neměly být předmětem evidence tržeb. Většina provozovatelů lanových drah nabízí však v rámci jízdného současně i přepravu osob na lyžařských vlecích, které však do působnosti zákona o drahách nespadají – tedy by z pohledu zákona o evidenci tržeb měly mít odlišný režim. Tržby za jízdné na lanových drahách a lyžařských vlecích však v praxi nelze smysluplně oddělit a je nutno pro tyto druhy přepravy nastavit v zákoně o evidenci tržeb jeden společný režim. Jsme toho názoru, že prodej jízdného pro dopravu na lanových drahách je realizován v podmínkách, které výjimku z evidence tržeb nevyžadují.</w:t>
            </w:r>
          </w:p>
          <w:p w14:paraId="099A79F4" w14:textId="05DDB9ED" w:rsidR="000B4BD4" w:rsidRPr="0035187E" w:rsidRDefault="000B4BD4" w:rsidP="0035187E">
            <w:pPr>
              <w:jc w:val="both"/>
              <w:rPr>
                <w:rFonts w:ascii="Times New Roman" w:hAnsi="Times New Roman" w:cs="Times New Roman"/>
                <w:sz w:val="20"/>
                <w:szCs w:val="20"/>
              </w:rPr>
            </w:pPr>
            <w:r w:rsidRPr="0035187E">
              <w:rPr>
                <w:rFonts w:ascii="Times New Roman" w:eastAsia="Calibri" w:hAnsi="Times New Roman" w:cs="Times New Roman"/>
                <w:b/>
                <w:bCs/>
                <w:sz w:val="20"/>
                <w:szCs w:val="20"/>
                <w:lang w:eastAsia="en-US"/>
              </w:rPr>
              <w:t xml:space="preserve">Tato připomínka je zásadní. </w:t>
            </w:r>
          </w:p>
        </w:tc>
        <w:tc>
          <w:tcPr>
            <w:tcW w:w="1453" w:type="pct"/>
            <w:tcBorders>
              <w:top w:val="single" w:sz="4" w:space="0" w:color="auto"/>
              <w:left w:val="single" w:sz="4" w:space="0" w:color="auto"/>
              <w:right w:val="single" w:sz="4" w:space="0" w:color="auto"/>
            </w:tcBorders>
            <w:shd w:val="clear" w:color="auto" w:fill="auto"/>
          </w:tcPr>
          <w:p w14:paraId="54ADA78A" w14:textId="77777777"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6C009475" w14:textId="68A6A783"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Výjimka z evidence tržeb je vztažena toliko na platby hrazené v dopravních prostředcích. Je-li dopravním prostředkem lanová či visutá dráha, muselo by k úhradě docházet přímo v kabince lanovky, což v případě skiareálů nenastává. K platbě dochází zpravidla předem v kiosku či online platbou a k čerpání služby dochází v rámci vstupního turniketu. Výjimka ve prospěch lanové dráhy tak má smysl pro lanové dráhy, které jsou součástí městské hromadné dopravy apod.</w:t>
            </w:r>
          </w:p>
          <w:p w14:paraId="06452F88" w14:textId="7B28EC5D" w:rsidR="000B4BD4" w:rsidRPr="0035187E" w:rsidRDefault="000B4BD4" w:rsidP="0035187E">
            <w:pPr>
              <w:jc w:val="both"/>
              <w:rPr>
                <w:rFonts w:ascii="Times New Roman" w:hAnsi="Times New Roman" w:cs="Times New Roman"/>
                <w:sz w:val="20"/>
                <w:szCs w:val="20"/>
              </w:rPr>
            </w:pPr>
          </w:p>
        </w:tc>
      </w:tr>
      <w:tr w:rsidR="0035187E" w:rsidRPr="0035187E" w14:paraId="16C01A2C"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D86996C" w14:textId="58BCE4D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74.</w:t>
            </w:r>
          </w:p>
        </w:tc>
        <w:tc>
          <w:tcPr>
            <w:tcW w:w="583" w:type="pct"/>
            <w:tcBorders>
              <w:top w:val="single" w:sz="4" w:space="0" w:color="auto"/>
              <w:left w:val="single" w:sz="4" w:space="0" w:color="auto"/>
              <w:right w:val="single" w:sz="4" w:space="0" w:color="auto"/>
            </w:tcBorders>
            <w:shd w:val="clear" w:color="auto" w:fill="auto"/>
          </w:tcPr>
          <w:p w14:paraId="5FB8AF3B" w14:textId="61A3B5E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Svaz průmyslu a dopravy České republiky</w:t>
            </w:r>
          </w:p>
        </w:tc>
        <w:tc>
          <w:tcPr>
            <w:tcW w:w="168" w:type="pct"/>
            <w:tcBorders>
              <w:top w:val="single" w:sz="4" w:space="0" w:color="auto"/>
              <w:left w:val="single" w:sz="4" w:space="0" w:color="auto"/>
              <w:right w:val="single" w:sz="4" w:space="0" w:color="auto"/>
            </w:tcBorders>
            <w:shd w:val="clear" w:color="auto" w:fill="auto"/>
          </w:tcPr>
          <w:p w14:paraId="4B2752F5" w14:textId="3C5D026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14.</w:t>
            </w:r>
          </w:p>
        </w:tc>
        <w:tc>
          <w:tcPr>
            <w:tcW w:w="169" w:type="pct"/>
            <w:tcBorders>
              <w:top w:val="single" w:sz="4" w:space="0" w:color="auto"/>
              <w:left w:val="single" w:sz="4" w:space="0" w:color="auto"/>
              <w:right w:val="single" w:sz="4" w:space="0" w:color="auto"/>
            </w:tcBorders>
            <w:shd w:val="clear" w:color="auto" w:fill="auto"/>
          </w:tcPr>
          <w:p w14:paraId="3EA669C1" w14:textId="3DC638C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3E34E72A" w14:textId="77777777" w:rsidR="000B4BD4" w:rsidRPr="0035187E" w:rsidRDefault="000B4BD4" w:rsidP="0035187E">
            <w:pPr>
              <w:numPr>
                <w:ilvl w:val="0"/>
                <w:numId w:val="59"/>
              </w:numPr>
              <w:ind w:left="0" w:firstLine="0"/>
              <w:contextualSpacing/>
              <w:jc w:val="both"/>
              <w:rPr>
                <w:rFonts w:ascii="Times New Roman" w:eastAsia="Calibri" w:hAnsi="Times New Roman" w:cs="Times New Roman"/>
                <w:b/>
                <w:bCs/>
                <w:sz w:val="20"/>
                <w:szCs w:val="20"/>
              </w:rPr>
            </w:pPr>
            <w:r w:rsidRPr="0035187E">
              <w:rPr>
                <w:rFonts w:ascii="Times New Roman" w:eastAsia="Calibri" w:hAnsi="Times New Roman" w:cs="Times New Roman"/>
                <w:b/>
                <w:bCs/>
                <w:sz w:val="20"/>
                <w:szCs w:val="20"/>
              </w:rPr>
              <w:t>Připomínka k § 14 odst. 2 a 3 návrhu zákona o evidenci tržeb – výklad prodejních automatů</w:t>
            </w:r>
          </w:p>
          <w:p w14:paraId="0E9507DC"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Navrhujeme upravit vymezení pojmu prodejního automatu v § 14 odst. 2 a 3 (vynětí z evidence tržeb) návrhu </w:t>
            </w:r>
            <w:proofErr w:type="gramStart"/>
            <w:r w:rsidRPr="0035187E">
              <w:rPr>
                <w:rFonts w:ascii="Times New Roman" w:eastAsia="Calibri" w:hAnsi="Times New Roman" w:cs="Times New Roman"/>
                <w:sz w:val="20"/>
                <w:szCs w:val="20"/>
                <w:lang w:eastAsia="en-US"/>
              </w:rPr>
              <w:t>zákona  tak</w:t>
            </w:r>
            <w:proofErr w:type="gramEnd"/>
            <w:r w:rsidRPr="0035187E">
              <w:rPr>
                <w:rFonts w:ascii="Times New Roman" w:eastAsia="Calibri" w:hAnsi="Times New Roman" w:cs="Times New Roman"/>
                <w:sz w:val="20"/>
                <w:szCs w:val="20"/>
                <w:lang w:eastAsia="en-US"/>
              </w:rPr>
              <w:t>, aby nedocházelo k vyloučení zařízení, která vyžadují určitou součinnost zákazníka při čerpání služby. Úpravu výkladu tohoto ustanovení požadujeme provést v důvodové zprávě tak, aby bylo jednoznačně vyjasněno, že pojem prodejního automatu zahrnuje také zařízení poskytující služby prostřednictvím samoobslužného technického zařízení, jako jsou například:</w:t>
            </w:r>
          </w:p>
          <w:p w14:paraId="065B2EFC" w14:textId="77777777" w:rsidR="000B4BD4" w:rsidRPr="0035187E" w:rsidRDefault="000B4BD4" w:rsidP="0035187E">
            <w:pPr>
              <w:numPr>
                <w:ilvl w:val="0"/>
                <w:numId w:val="62"/>
              </w:numPr>
              <w:ind w:left="0" w:firstLine="0"/>
              <w:contextualSpacing/>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lastRenderedPageBreak/>
              <w:t xml:space="preserve">samoobslužné </w:t>
            </w:r>
            <w:proofErr w:type="spellStart"/>
            <w:r w:rsidRPr="0035187E">
              <w:rPr>
                <w:rFonts w:ascii="Times New Roman" w:eastAsia="Calibri" w:hAnsi="Times New Roman" w:cs="Times New Roman"/>
                <w:sz w:val="20"/>
                <w:szCs w:val="20"/>
                <w:lang w:eastAsia="en-US"/>
              </w:rPr>
              <w:t>automyčky</w:t>
            </w:r>
            <w:proofErr w:type="spellEnd"/>
            <w:r w:rsidRPr="0035187E">
              <w:rPr>
                <w:rFonts w:ascii="Times New Roman" w:eastAsia="Calibri" w:hAnsi="Times New Roman" w:cs="Times New Roman"/>
                <w:sz w:val="20"/>
                <w:szCs w:val="20"/>
                <w:lang w:eastAsia="en-US"/>
              </w:rPr>
              <w:t xml:space="preserve"> nebo mycí boxy,</w:t>
            </w:r>
          </w:p>
          <w:p w14:paraId="73262587" w14:textId="77777777" w:rsidR="000B4BD4" w:rsidRPr="0035187E" w:rsidRDefault="000B4BD4" w:rsidP="0035187E">
            <w:pPr>
              <w:numPr>
                <w:ilvl w:val="0"/>
                <w:numId w:val="62"/>
              </w:numPr>
              <w:ind w:left="0" w:firstLine="0"/>
              <w:contextualSpacing/>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samoobslužné vysavače,</w:t>
            </w:r>
          </w:p>
          <w:p w14:paraId="197A9DC9" w14:textId="77777777" w:rsidR="000B4BD4" w:rsidRPr="0035187E" w:rsidRDefault="000B4BD4" w:rsidP="0035187E">
            <w:pPr>
              <w:numPr>
                <w:ilvl w:val="0"/>
                <w:numId w:val="62"/>
              </w:numPr>
              <w:ind w:left="0" w:firstLine="0"/>
              <w:contextualSpacing/>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kompresory pro dohušťování pneumatik,</w:t>
            </w:r>
          </w:p>
          <w:p w14:paraId="1003F7AC" w14:textId="77777777" w:rsidR="000B4BD4" w:rsidRPr="0035187E" w:rsidRDefault="000B4BD4" w:rsidP="0035187E">
            <w:pPr>
              <w:numPr>
                <w:ilvl w:val="0"/>
                <w:numId w:val="62"/>
              </w:numPr>
              <w:ind w:left="0" w:firstLine="0"/>
              <w:contextualSpacing/>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obdobná zařízení poskytující službu prostřednictvím technického zařízení.</w:t>
            </w:r>
          </w:p>
          <w:p w14:paraId="35C6849C" w14:textId="77777777" w:rsidR="000B4BD4" w:rsidRPr="0035187E" w:rsidRDefault="000B4BD4" w:rsidP="0035187E">
            <w:pPr>
              <w:jc w:val="both"/>
              <w:rPr>
                <w:rFonts w:ascii="Times New Roman" w:eastAsia="Calibri" w:hAnsi="Times New Roman" w:cs="Times New Roman"/>
                <w:b/>
                <w:bCs/>
                <w:sz w:val="20"/>
                <w:szCs w:val="20"/>
                <w:lang w:eastAsia="en-US"/>
              </w:rPr>
            </w:pPr>
          </w:p>
          <w:p w14:paraId="03413830" w14:textId="48AD2739" w:rsidR="000B4BD4" w:rsidRPr="0035187E" w:rsidRDefault="000B4BD4" w:rsidP="0035187E">
            <w:pPr>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Odůvodnění:</w:t>
            </w:r>
          </w:p>
          <w:p w14:paraId="78152D7A" w14:textId="1BDA126A"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Navržená formulace ustanovení je vykládána restriktivně a vylučuje zařízení, která vyžadují určitou součinnost zákazníka při čerpání služby. Takové pojetí představuje změnu oproti předchozí právní úpravě evidence tržeb (EET1), kde byl pojem prodejního automatu vykládán obecně a zahrnoval širší spektrum samoobslužných zařízení.</w:t>
            </w:r>
          </w:p>
          <w:p w14:paraId="180139C3" w14:textId="77777777" w:rsidR="000B4BD4" w:rsidRPr="0035187E" w:rsidRDefault="000B4BD4" w:rsidP="0035187E">
            <w:pPr>
              <w:jc w:val="both"/>
              <w:rPr>
                <w:rFonts w:ascii="Times New Roman" w:eastAsia="Calibri" w:hAnsi="Times New Roman" w:cs="Times New Roman"/>
                <w:sz w:val="20"/>
                <w:szCs w:val="20"/>
                <w:lang w:eastAsia="en-US"/>
              </w:rPr>
            </w:pPr>
          </w:p>
          <w:p w14:paraId="5F7E8952" w14:textId="0211ABBC"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V praxi přitom není ekonomický ani systémový důvod tato zařízení z režimu výjimky vyjímat. U zařízení, jako jsou samoobslužné myčky nebo vysavače, zákazník fakticky pouze využívá technické zařízení poskytující službu, přičemž jeho součinnost (např. najetí vozidlem do mycího prostoru nebo manipulace s vysávací hadicí) je z hlediska charakteru služby srovnatelná s úkony prováděnými u běžných prodejních automatů (např. odebrání kelímku nebo zboží).</w:t>
            </w:r>
          </w:p>
          <w:p w14:paraId="7AF6001E" w14:textId="77777777" w:rsidR="000B4BD4" w:rsidRPr="0035187E" w:rsidRDefault="000B4BD4" w:rsidP="0035187E">
            <w:pPr>
              <w:jc w:val="both"/>
              <w:rPr>
                <w:rFonts w:ascii="Times New Roman" w:eastAsia="Calibri" w:hAnsi="Times New Roman" w:cs="Times New Roman"/>
                <w:sz w:val="20"/>
                <w:szCs w:val="20"/>
                <w:lang w:eastAsia="en-US"/>
              </w:rPr>
            </w:pPr>
          </w:p>
          <w:p w14:paraId="14670434" w14:textId="4A6F814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Současně se jedná o zařízení, která jsou v řadě případů provozována v </w:t>
            </w:r>
            <w:proofErr w:type="spellStart"/>
            <w:r w:rsidRPr="0035187E">
              <w:rPr>
                <w:rFonts w:ascii="Times New Roman" w:eastAsia="Calibri" w:hAnsi="Times New Roman" w:cs="Times New Roman"/>
                <w:sz w:val="20"/>
                <w:szCs w:val="20"/>
                <w:lang w:eastAsia="en-US"/>
              </w:rPr>
              <w:t>offline</w:t>
            </w:r>
            <w:proofErr w:type="spellEnd"/>
            <w:r w:rsidRPr="0035187E">
              <w:rPr>
                <w:rFonts w:ascii="Times New Roman" w:eastAsia="Calibri" w:hAnsi="Times New Roman" w:cs="Times New Roman"/>
                <w:sz w:val="20"/>
                <w:szCs w:val="20"/>
                <w:lang w:eastAsia="en-US"/>
              </w:rPr>
              <w:t xml:space="preserve"> režimu a nejsou technologicky připravena na kontinuální online komunikaci se systémem evidence tržeb. Zavedení povinnosti evidence tržeb by proto vyžadovalo zásadní technické úpravy těchto zařízení, což by vedlo k výraznému zvýšení provozních nákladů a v řadě případů by mohlo vést až k ekonomické neudržitelnosti jejich provozu.</w:t>
            </w:r>
          </w:p>
          <w:p w14:paraId="32BF4D72" w14:textId="77777777" w:rsidR="000B4BD4" w:rsidRPr="0035187E" w:rsidRDefault="000B4BD4" w:rsidP="0035187E">
            <w:pPr>
              <w:jc w:val="both"/>
              <w:rPr>
                <w:rFonts w:ascii="Times New Roman" w:eastAsia="Calibri" w:hAnsi="Times New Roman" w:cs="Times New Roman"/>
                <w:sz w:val="20"/>
                <w:szCs w:val="20"/>
                <w:lang w:eastAsia="en-US"/>
              </w:rPr>
            </w:pPr>
          </w:p>
          <w:p w14:paraId="4F190A91" w14:textId="700AE148"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Restriktivní výklad by navíc mohl vést ke sporům o právní kvalifikaci těchto činností, zejména o otázku, zda jde o prodej zboží nebo poskytnutí služby. Typicky u samoobslužných myček zákazník službu fakticky pouze pasivně přijímá a míra jeho součinnosti je minimální (najetí do určeného prostoru).</w:t>
            </w:r>
          </w:p>
          <w:p w14:paraId="6C71834F" w14:textId="77777777" w:rsidR="000B4BD4" w:rsidRPr="0035187E" w:rsidRDefault="000B4BD4" w:rsidP="0035187E">
            <w:pPr>
              <w:jc w:val="both"/>
              <w:rPr>
                <w:rFonts w:ascii="Times New Roman" w:eastAsia="Calibri" w:hAnsi="Times New Roman" w:cs="Times New Roman"/>
                <w:sz w:val="20"/>
                <w:szCs w:val="20"/>
                <w:lang w:eastAsia="en-US"/>
              </w:rPr>
            </w:pPr>
          </w:p>
          <w:p w14:paraId="0EB7480D"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Navrhujeme proto zachovat výklad odpovídající předchozí právní úpravě evidence tržeb a v důvodové zprávě výslovně uvést, že pojem prodejního automatu zahrnuje i uvedené typy samoobslužných zařízení.</w:t>
            </w:r>
          </w:p>
          <w:p w14:paraId="1133E868" w14:textId="181E575E" w:rsidR="000B4BD4" w:rsidRPr="0035187E" w:rsidRDefault="000B4BD4" w:rsidP="0035187E">
            <w:pPr>
              <w:jc w:val="both"/>
              <w:rPr>
                <w:rFonts w:ascii="Times New Roman" w:hAnsi="Times New Roman" w:cs="Times New Roman"/>
                <w:sz w:val="20"/>
                <w:szCs w:val="20"/>
              </w:rPr>
            </w:pPr>
            <w:r w:rsidRPr="0035187E">
              <w:rPr>
                <w:rFonts w:ascii="Times New Roman" w:eastAsia="Calibri" w:hAnsi="Times New Roman" w:cs="Times New Roman"/>
                <w:b/>
                <w:bCs/>
                <w:sz w:val="20"/>
                <w:szCs w:val="20"/>
                <w:lang w:eastAsia="en-US"/>
              </w:rPr>
              <w:t xml:space="preserve">Tato připomínka je zásadní. </w:t>
            </w:r>
          </w:p>
        </w:tc>
        <w:tc>
          <w:tcPr>
            <w:tcW w:w="1453" w:type="pct"/>
            <w:tcBorders>
              <w:top w:val="single" w:sz="4" w:space="0" w:color="auto"/>
              <w:left w:val="single" w:sz="4" w:space="0" w:color="auto"/>
              <w:right w:val="single" w:sz="4" w:space="0" w:color="auto"/>
            </w:tcBorders>
            <w:shd w:val="clear" w:color="auto" w:fill="auto"/>
          </w:tcPr>
          <w:p w14:paraId="5A9B36BF" w14:textId="05BC6E0E"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Vyhověno.</w:t>
            </w:r>
          </w:p>
          <w:p w14:paraId="0F67A8B6" w14:textId="35CD34EA"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Důvodová zpráva byla upravena.</w:t>
            </w:r>
          </w:p>
        </w:tc>
      </w:tr>
      <w:tr w:rsidR="0035187E" w:rsidRPr="0035187E" w14:paraId="368A2F8B"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2B8CB78" w14:textId="6086B97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74.</w:t>
            </w:r>
          </w:p>
        </w:tc>
        <w:tc>
          <w:tcPr>
            <w:tcW w:w="583" w:type="pct"/>
            <w:tcBorders>
              <w:top w:val="single" w:sz="4" w:space="0" w:color="auto"/>
              <w:left w:val="single" w:sz="4" w:space="0" w:color="auto"/>
              <w:right w:val="single" w:sz="4" w:space="0" w:color="auto"/>
            </w:tcBorders>
            <w:shd w:val="clear" w:color="auto" w:fill="auto"/>
          </w:tcPr>
          <w:p w14:paraId="6662B15A" w14:textId="2B869DF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Svaz průmyslu a dopravy České republiky</w:t>
            </w:r>
          </w:p>
        </w:tc>
        <w:tc>
          <w:tcPr>
            <w:tcW w:w="168" w:type="pct"/>
            <w:tcBorders>
              <w:top w:val="single" w:sz="4" w:space="0" w:color="auto"/>
              <w:left w:val="single" w:sz="4" w:space="0" w:color="auto"/>
              <w:right w:val="single" w:sz="4" w:space="0" w:color="auto"/>
            </w:tcBorders>
            <w:shd w:val="clear" w:color="auto" w:fill="auto"/>
          </w:tcPr>
          <w:p w14:paraId="733AC613" w14:textId="5731915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15.</w:t>
            </w:r>
          </w:p>
        </w:tc>
        <w:tc>
          <w:tcPr>
            <w:tcW w:w="169" w:type="pct"/>
            <w:tcBorders>
              <w:top w:val="single" w:sz="4" w:space="0" w:color="auto"/>
              <w:left w:val="single" w:sz="4" w:space="0" w:color="auto"/>
              <w:right w:val="single" w:sz="4" w:space="0" w:color="auto"/>
            </w:tcBorders>
            <w:shd w:val="clear" w:color="auto" w:fill="auto"/>
          </w:tcPr>
          <w:p w14:paraId="30CDB4D3" w14:textId="787C72C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D060A0D" w14:textId="77777777" w:rsidR="000B4BD4" w:rsidRPr="0035187E" w:rsidRDefault="000B4BD4" w:rsidP="0035187E">
            <w:pPr>
              <w:numPr>
                <w:ilvl w:val="0"/>
                <w:numId w:val="59"/>
              </w:numPr>
              <w:ind w:left="0" w:firstLine="0"/>
              <w:contextualSpacing/>
              <w:jc w:val="both"/>
              <w:rPr>
                <w:rFonts w:ascii="Times New Roman" w:eastAsia="Calibri" w:hAnsi="Times New Roman" w:cs="Times New Roman"/>
                <w:b/>
                <w:bCs/>
                <w:sz w:val="20"/>
                <w:szCs w:val="20"/>
              </w:rPr>
            </w:pPr>
            <w:r w:rsidRPr="0035187E">
              <w:rPr>
                <w:rFonts w:ascii="Times New Roman" w:eastAsia="Calibri" w:hAnsi="Times New Roman" w:cs="Times New Roman"/>
                <w:b/>
                <w:bCs/>
                <w:sz w:val="20"/>
                <w:szCs w:val="20"/>
              </w:rPr>
              <w:t>Připomínka k § 14 odst. 4 návrhu zákona o evidenci tržeb</w:t>
            </w:r>
          </w:p>
          <w:p w14:paraId="5BBC58D5"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Navrhujeme upravit znění § 14 odst. 5 takto:</w:t>
            </w:r>
          </w:p>
          <w:p w14:paraId="63A8C17D"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w:t>
            </w:r>
            <w:r w:rsidRPr="0035187E">
              <w:rPr>
                <w:rFonts w:ascii="Times New Roman" w:eastAsia="Calibri" w:hAnsi="Times New Roman" w:cs="Times New Roman"/>
                <w:i/>
                <w:iCs/>
                <w:sz w:val="20"/>
                <w:szCs w:val="20"/>
                <w:lang w:eastAsia="en-US"/>
              </w:rPr>
              <w:t xml:space="preserve">Evidovanou tržbou nejsou také tržby z prodeje zboží nebo služeb prostřednictvím samoobslužného zařízení, které se nachází mimo provozovnu a umožňuje platbu pouze v hotovosti nebo </w:t>
            </w:r>
            <w:r w:rsidRPr="0035187E">
              <w:rPr>
                <w:rFonts w:ascii="Times New Roman" w:eastAsia="Calibri" w:hAnsi="Times New Roman" w:cs="Times New Roman"/>
                <w:b/>
                <w:bCs/>
                <w:i/>
                <w:iCs/>
                <w:sz w:val="20"/>
                <w:szCs w:val="20"/>
                <w:lang w:eastAsia="en-US"/>
              </w:rPr>
              <w:t>smíšeně v hotovosti a současně i bezhotovostně</w:t>
            </w:r>
            <w:r w:rsidRPr="0035187E">
              <w:rPr>
                <w:rFonts w:ascii="Times New Roman" w:eastAsia="Calibri" w:hAnsi="Times New Roman" w:cs="Times New Roman"/>
                <w:i/>
                <w:iCs/>
                <w:sz w:val="20"/>
                <w:szCs w:val="20"/>
                <w:lang w:eastAsia="en-US"/>
              </w:rPr>
              <w:t>, za podmínky, že okolnosti neumožňují nebo zásadně ztěžují evidenci tržeb</w:t>
            </w:r>
            <w:r w:rsidRPr="0035187E">
              <w:rPr>
                <w:rFonts w:ascii="Times New Roman" w:eastAsia="Calibri" w:hAnsi="Times New Roman" w:cs="Times New Roman"/>
                <w:sz w:val="20"/>
                <w:szCs w:val="20"/>
                <w:lang w:eastAsia="en-US"/>
              </w:rPr>
              <w:t>.“</w:t>
            </w:r>
          </w:p>
          <w:p w14:paraId="480F5819" w14:textId="77777777" w:rsidR="000B4BD4" w:rsidRPr="0035187E" w:rsidRDefault="000B4BD4" w:rsidP="0035187E">
            <w:pPr>
              <w:jc w:val="both"/>
              <w:rPr>
                <w:rFonts w:ascii="Times New Roman" w:eastAsia="Calibri" w:hAnsi="Times New Roman" w:cs="Times New Roman"/>
                <w:b/>
                <w:bCs/>
                <w:sz w:val="20"/>
                <w:szCs w:val="20"/>
                <w:lang w:eastAsia="en-US"/>
              </w:rPr>
            </w:pPr>
          </w:p>
          <w:p w14:paraId="5C13B7A5" w14:textId="6C8BBE45" w:rsidR="000B4BD4" w:rsidRPr="0035187E" w:rsidRDefault="000B4BD4" w:rsidP="0035187E">
            <w:pPr>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Odůvodnění:</w:t>
            </w:r>
          </w:p>
          <w:p w14:paraId="7B79099B"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lastRenderedPageBreak/>
              <w:t>Navržené znění ustanovení omezuje výjimku pouze na zařízení umožňující platbu výhradně v hotovosti. V praxi však existuje řada samoobslužných zařízení, která umožňují současně hotovostní i bezhotovostní platby (např. prostřednictvím platebních karet nebo mobilních plateb), aniž by byla technicky připravena na online evidenci jednotlivých transakcí v systému evidence tržeb.</w:t>
            </w:r>
          </w:p>
          <w:p w14:paraId="6D728940"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Vyloučení těchto zařízení z režimu výjimky by vedlo k nepřiměřenému administrativnímu a technickému zatížení jejich provozovatelů, přestože se zpravidla jedná o drobné transakce s nízkou hodnotou a omezeným fiskálním významem.</w:t>
            </w:r>
          </w:p>
          <w:p w14:paraId="5E084586"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Navržená úprava proto umožňuje zachovat výjimku i v případech, kdy zařízení umožňuje vedle hotovostních plateb také drobné bezhotovostní platby, pokud technické nebo provozní okolnosti evidenci tržeb neumožňují nebo ji zásadně ztěžují.</w:t>
            </w:r>
          </w:p>
          <w:p w14:paraId="5E9EC81C" w14:textId="3038A1F4" w:rsidR="000B4BD4" w:rsidRPr="0035187E" w:rsidRDefault="000B4BD4" w:rsidP="0035187E">
            <w:pPr>
              <w:jc w:val="both"/>
              <w:rPr>
                <w:rFonts w:ascii="Times New Roman" w:hAnsi="Times New Roman" w:cs="Times New Roman"/>
                <w:sz w:val="20"/>
                <w:szCs w:val="20"/>
              </w:rPr>
            </w:pPr>
            <w:r w:rsidRPr="0035187E">
              <w:rPr>
                <w:rFonts w:ascii="Times New Roman" w:eastAsia="Calibri" w:hAnsi="Times New Roman" w:cs="Times New Roman"/>
                <w:b/>
                <w:bCs/>
                <w:sz w:val="20"/>
                <w:szCs w:val="20"/>
                <w:lang w:eastAsia="en-US"/>
              </w:rPr>
              <w:t xml:space="preserve">Tato připomínka je zásadní. </w:t>
            </w:r>
          </w:p>
        </w:tc>
        <w:tc>
          <w:tcPr>
            <w:tcW w:w="1453" w:type="pct"/>
            <w:tcBorders>
              <w:top w:val="single" w:sz="4" w:space="0" w:color="auto"/>
              <w:left w:val="single" w:sz="4" w:space="0" w:color="auto"/>
              <w:right w:val="single" w:sz="4" w:space="0" w:color="auto"/>
            </w:tcBorders>
            <w:shd w:val="clear" w:color="auto" w:fill="auto"/>
          </w:tcPr>
          <w:p w14:paraId="20FCCC7B" w14:textId="19AD6DB7"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Vyhověno jinak.</w:t>
            </w:r>
          </w:p>
          <w:p w14:paraId="6FDBE97C" w14:textId="5672D46E" w:rsidR="000B4BD4" w:rsidRPr="0035187E" w:rsidRDefault="000B4BD4" w:rsidP="0035187E">
            <w:pPr>
              <w:jc w:val="both"/>
              <w:rPr>
                <w:rFonts w:ascii="Times New Roman" w:hAnsi="Times New Roman" w:cs="Times New Roman"/>
                <w:b/>
                <w:sz w:val="20"/>
                <w:szCs w:val="20"/>
                <w:highlight w:val="cyan"/>
              </w:rPr>
            </w:pPr>
            <w:r w:rsidRPr="0035187E">
              <w:rPr>
                <w:rFonts w:ascii="Times New Roman" w:hAnsi="Times New Roman" w:cs="Times New Roman"/>
                <w:sz w:val="20"/>
                <w:szCs w:val="20"/>
              </w:rPr>
              <w:t>Materiál byl upraven ve prospěch vypuštění podmínky formy platby v hotovosti, tzn. může jít o jakoukoli formu platby podle § 6. Bude tedy klíčové materiální kritérium testující objektivní možnost proveditelnosti evidování tržeb.</w:t>
            </w:r>
          </w:p>
          <w:p w14:paraId="0C6FC2A0" w14:textId="7DF1C17A" w:rsidR="000B4BD4" w:rsidRPr="0035187E" w:rsidRDefault="000B4BD4" w:rsidP="0035187E">
            <w:pPr>
              <w:jc w:val="both"/>
              <w:rPr>
                <w:rFonts w:ascii="Times New Roman" w:hAnsi="Times New Roman" w:cs="Times New Roman"/>
                <w:sz w:val="20"/>
                <w:szCs w:val="20"/>
              </w:rPr>
            </w:pPr>
          </w:p>
        </w:tc>
      </w:tr>
      <w:tr w:rsidR="0035187E" w:rsidRPr="0035187E" w14:paraId="079C6443"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E4EC2E8" w14:textId="6666F75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74.</w:t>
            </w:r>
          </w:p>
        </w:tc>
        <w:tc>
          <w:tcPr>
            <w:tcW w:w="583" w:type="pct"/>
            <w:tcBorders>
              <w:top w:val="single" w:sz="4" w:space="0" w:color="auto"/>
              <w:left w:val="single" w:sz="4" w:space="0" w:color="auto"/>
              <w:right w:val="single" w:sz="4" w:space="0" w:color="auto"/>
            </w:tcBorders>
            <w:shd w:val="clear" w:color="auto" w:fill="auto"/>
          </w:tcPr>
          <w:p w14:paraId="5E982F32" w14:textId="172C23B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Svaz průmyslu a dopravy České republiky</w:t>
            </w:r>
          </w:p>
        </w:tc>
        <w:tc>
          <w:tcPr>
            <w:tcW w:w="168" w:type="pct"/>
            <w:tcBorders>
              <w:top w:val="single" w:sz="4" w:space="0" w:color="auto"/>
              <w:left w:val="single" w:sz="4" w:space="0" w:color="auto"/>
              <w:right w:val="single" w:sz="4" w:space="0" w:color="auto"/>
            </w:tcBorders>
            <w:shd w:val="clear" w:color="auto" w:fill="auto"/>
          </w:tcPr>
          <w:p w14:paraId="0F57872E" w14:textId="23A2913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16.</w:t>
            </w:r>
          </w:p>
        </w:tc>
        <w:tc>
          <w:tcPr>
            <w:tcW w:w="169" w:type="pct"/>
            <w:tcBorders>
              <w:top w:val="single" w:sz="4" w:space="0" w:color="auto"/>
              <w:left w:val="single" w:sz="4" w:space="0" w:color="auto"/>
              <w:right w:val="single" w:sz="4" w:space="0" w:color="auto"/>
            </w:tcBorders>
            <w:shd w:val="clear" w:color="auto" w:fill="auto"/>
          </w:tcPr>
          <w:p w14:paraId="2BE9A669" w14:textId="594BEFE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FE8C78F" w14:textId="77777777" w:rsidR="000B4BD4" w:rsidRPr="0035187E" w:rsidRDefault="000B4BD4" w:rsidP="0035187E">
            <w:pPr>
              <w:numPr>
                <w:ilvl w:val="0"/>
                <w:numId w:val="59"/>
              </w:numPr>
              <w:ind w:left="0" w:firstLine="0"/>
              <w:contextualSpacing/>
              <w:jc w:val="both"/>
              <w:rPr>
                <w:rFonts w:ascii="Times New Roman" w:eastAsia="Calibri" w:hAnsi="Times New Roman" w:cs="Times New Roman"/>
                <w:b/>
                <w:bCs/>
                <w:sz w:val="20"/>
                <w:szCs w:val="20"/>
              </w:rPr>
            </w:pPr>
            <w:r w:rsidRPr="0035187E">
              <w:rPr>
                <w:rFonts w:ascii="Times New Roman" w:eastAsia="Calibri" w:hAnsi="Times New Roman" w:cs="Times New Roman"/>
                <w:b/>
                <w:bCs/>
                <w:sz w:val="20"/>
                <w:szCs w:val="20"/>
              </w:rPr>
              <w:t xml:space="preserve">Připomínka k § 20 až 21 návrhu zákona o evidenci tržeb  </w:t>
            </w:r>
          </w:p>
          <w:p w14:paraId="703C6528"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Navrhujeme doplnit důvodovou zprávu o podrobnější popis postupu při překročení mezní doby odezvy systému evidence tržeb podle § 20 a § 21 návrhu zákona.</w:t>
            </w:r>
          </w:p>
          <w:p w14:paraId="7CE0EF83" w14:textId="77777777" w:rsidR="000B4BD4" w:rsidRPr="0035187E" w:rsidRDefault="000B4BD4" w:rsidP="0035187E">
            <w:pPr>
              <w:jc w:val="both"/>
              <w:rPr>
                <w:rFonts w:ascii="Times New Roman" w:eastAsia="Calibri" w:hAnsi="Times New Roman" w:cs="Times New Roman"/>
                <w:b/>
                <w:bCs/>
                <w:sz w:val="20"/>
                <w:szCs w:val="20"/>
                <w:lang w:eastAsia="en-US"/>
              </w:rPr>
            </w:pPr>
          </w:p>
          <w:p w14:paraId="58018FD0" w14:textId="1CD04482" w:rsidR="000B4BD4" w:rsidRPr="0035187E" w:rsidRDefault="000B4BD4" w:rsidP="0035187E">
            <w:pPr>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Odůvodnění:</w:t>
            </w:r>
          </w:p>
          <w:p w14:paraId="4EF70823"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Návrh zákona stanoví pravidla pro evidenci tržeb v případě překročení mezní doby odezvy systému evidence tržeb, avšak neobsahuje bližší popis praktického postupu podnikatele v těchto situacích.</w:t>
            </w:r>
          </w:p>
          <w:p w14:paraId="75FFFDEE"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Pro zajištění právní jistoty podnikatelům, včasné přípravy (která bude převážně technického charakteru a vyžadující komunikaci s dodavateli SW platebních systémů) a jednotného výkladu právní úpravy považujeme za vhodné doplnit důvodovou zprávu zejména o:</w:t>
            </w:r>
          </w:p>
          <w:p w14:paraId="78BD7DC8" w14:textId="77777777" w:rsidR="000B4BD4" w:rsidRPr="0035187E" w:rsidRDefault="000B4BD4" w:rsidP="0035187E">
            <w:pPr>
              <w:numPr>
                <w:ilvl w:val="0"/>
                <w:numId w:val="63"/>
              </w:numPr>
              <w:ind w:left="0" w:firstLine="0"/>
              <w:contextualSpacing/>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technický popis postupu při překročení mezní doby odezvy,</w:t>
            </w:r>
          </w:p>
          <w:p w14:paraId="188F5845" w14:textId="77777777" w:rsidR="000B4BD4" w:rsidRPr="0035187E" w:rsidRDefault="000B4BD4" w:rsidP="0035187E">
            <w:pPr>
              <w:numPr>
                <w:ilvl w:val="0"/>
                <w:numId w:val="63"/>
              </w:numPr>
              <w:ind w:left="0" w:firstLine="0"/>
              <w:contextualSpacing/>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vymezení okamžiku, kdy je možné přejít do </w:t>
            </w:r>
            <w:proofErr w:type="spellStart"/>
            <w:r w:rsidRPr="0035187E">
              <w:rPr>
                <w:rFonts w:ascii="Times New Roman" w:eastAsia="Calibri" w:hAnsi="Times New Roman" w:cs="Times New Roman"/>
                <w:sz w:val="20"/>
                <w:szCs w:val="20"/>
                <w:lang w:eastAsia="en-US"/>
              </w:rPr>
              <w:t>offline</w:t>
            </w:r>
            <w:proofErr w:type="spellEnd"/>
            <w:r w:rsidRPr="0035187E">
              <w:rPr>
                <w:rFonts w:ascii="Times New Roman" w:eastAsia="Calibri" w:hAnsi="Times New Roman" w:cs="Times New Roman"/>
                <w:sz w:val="20"/>
                <w:szCs w:val="20"/>
                <w:lang w:eastAsia="en-US"/>
              </w:rPr>
              <w:t xml:space="preserve"> režimu evidence,</w:t>
            </w:r>
          </w:p>
          <w:p w14:paraId="4E3A1739" w14:textId="77777777" w:rsidR="000B4BD4" w:rsidRPr="0035187E" w:rsidRDefault="000B4BD4" w:rsidP="0035187E">
            <w:pPr>
              <w:numPr>
                <w:ilvl w:val="0"/>
                <w:numId w:val="63"/>
              </w:numPr>
              <w:ind w:left="0" w:firstLine="0"/>
              <w:contextualSpacing/>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postup při následném odeslání údajů o evidované tržbě do systému evidence tržeb,</w:t>
            </w:r>
          </w:p>
          <w:p w14:paraId="2599BC7A" w14:textId="77777777" w:rsidR="000B4BD4" w:rsidRPr="0035187E" w:rsidRDefault="000B4BD4" w:rsidP="0035187E">
            <w:pPr>
              <w:numPr>
                <w:ilvl w:val="0"/>
                <w:numId w:val="63"/>
              </w:numPr>
              <w:ind w:left="0" w:firstLine="0"/>
              <w:contextualSpacing/>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řešení opakovaných nebo dlouhodobých výpadků spojení.</w:t>
            </w:r>
          </w:p>
          <w:p w14:paraId="15E054D6"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Upřesnění těchto aspektů v důvodové zprávě přispěje k jednotnému výkladu právní úpravy a sníží riziko interpretačních sporů v praxi.</w:t>
            </w:r>
          </w:p>
          <w:p w14:paraId="3DA1D48C" w14:textId="69EC366A" w:rsidR="000B4BD4" w:rsidRPr="0035187E" w:rsidRDefault="000B4BD4" w:rsidP="0035187E">
            <w:pPr>
              <w:jc w:val="both"/>
              <w:rPr>
                <w:rFonts w:ascii="Times New Roman" w:hAnsi="Times New Roman" w:cs="Times New Roman"/>
                <w:sz w:val="20"/>
                <w:szCs w:val="20"/>
              </w:rPr>
            </w:pPr>
            <w:r w:rsidRPr="0035187E">
              <w:rPr>
                <w:rFonts w:ascii="Times New Roman" w:eastAsia="Calibri" w:hAnsi="Times New Roman" w:cs="Times New Roman"/>
                <w:b/>
                <w:bCs/>
                <w:sz w:val="20"/>
                <w:szCs w:val="20"/>
                <w:lang w:eastAsia="en-US"/>
              </w:rPr>
              <w:t xml:space="preserve">Tato připomínka je zásadní. </w:t>
            </w:r>
          </w:p>
        </w:tc>
        <w:tc>
          <w:tcPr>
            <w:tcW w:w="1453" w:type="pct"/>
            <w:tcBorders>
              <w:top w:val="single" w:sz="4" w:space="0" w:color="auto"/>
              <w:left w:val="single" w:sz="4" w:space="0" w:color="auto"/>
              <w:right w:val="single" w:sz="4" w:space="0" w:color="auto"/>
            </w:tcBorders>
            <w:shd w:val="clear" w:color="auto" w:fill="auto"/>
          </w:tcPr>
          <w:p w14:paraId="7F288626" w14:textId="77777777"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t>Vyhověno.</w:t>
            </w:r>
          </w:p>
          <w:p w14:paraId="0463E6DD" w14:textId="50AF53DE"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Důvodová zpráva byla upravena.</w:t>
            </w:r>
          </w:p>
        </w:tc>
      </w:tr>
      <w:tr w:rsidR="0035187E" w:rsidRPr="0035187E" w14:paraId="5131D813"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4757026" w14:textId="1364070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74.</w:t>
            </w:r>
          </w:p>
        </w:tc>
        <w:tc>
          <w:tcPr>
            <w:tcW w:w="583" w:type="pct"/>
            <w:tcBorders>
              <w:top w:val="single" w:sz="4" w:space="0" w:color="auto"/>
              <w:left w:val="single" w:sz="4" w:space="0" w:color="auto"/>
              <w:right w:val="single" w:sz="4" w:space="0" w:color="auto"/>
            </w:tcBorders>
            <w:shd w:val="clear" w:color="auto" w:fill="auto"/>
          </w:tcPr>
          <w:p w14:paraId="385C4B4E" w14:textId="7F6DF9D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Svaz průmyslu a dopravy České republiky</w:t>
            </w:r>
          </w:p>
        </w:tc>
        <w:tc>
          <w:tcPr>
            <w:tcW w:w="168" w:type="pct"/>
            <w:tcBorders>
              <w:top w:val="single" w:sz="4" w:space="0" w:color="auto"/>
              <w:left w:val="single" w:sz="4" w:space="0" w:color="auto"/>
              <w:right w:val="single" w:sz="4" w:space="0" w:color="auto"/>
            </w:tcBorders>
            <w:shd w:val="clear" w:color="auto" w:fill="auto"/>
          </w:tcPr>
          <w:p w14:paraId="47C1BF96" w14:textId="2EAA1BE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17.</w:t>
            </w:r>
          </w:p>
        </w:tc>
        <w:tc>
          <w:tcPr>
            <w:tcW w:w="169" w:type="pct"/>
            <w:tcBorders>
              <w:top w:val="single" w:sz="4" w:space="0" w:color="auto"/>
              <w:left w:val="single" w:sz="4" w:space="0" w:color="auto"/>
              <w:right w:val="single" w:sz="4" w:space="0" w:color="auto"/>
            </w:tcBorders>
            <w:shd w:val="clear" w:color="auto" w:fill="auto"/>
          </w:tcPr>
          <w:p w14:paraId="6EDFA592" w14:textId="513FEA0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0D7F073" w14:textId="77777777" w:rsidR="000B4BD4" w:rsidRPr="0035187E" w:rsidRDefault="000B4BD4" w:rsidP="0035187E">
            <w:pPr>
              <w:numPr>
                <w:ilvl w:val="0"/>
                <w:numId w:val="59"/>
              </w:numPr>
              <w:ind w:left="0" w:firstLine="0"/>
              <w:contextualSpacing/>
              <w:jc w:val="both"/>
              <w:rPr>
                <w:rFonts w:ascii="Times New Roman" w:eastAsia="Aptos" w:hAnsi="Times New Roman" w:cs="Times New Roman"/>
                <w:b/>
                <w:bCs/>
                <w:sz w:val="20"/>
                <w:szCs w:val="20"/>
                <w:lang w:eastAsia="en-US"/>
              </w:rPr>
            </w:pPr>
            <w:r w:rsidRPr="0035187E">
              <w:rPr>
                <w:rFonts w:ascii="Times New Roman" w:eastAsia="Aptos" w:hAnsi="Times New Roman" w:cs="Times New Roman"/>
                <w:b/>
                <w:bCs/>
                <w:sz w:val="20"/>
                <w:szCs w:val="20"/>
                <w:lang w:eastAsia="en-US"/>
              </w:rPr>
              <w:t>Připomínka k § 23 návrhu zákona o evidenci tržeb</w:t>
            </w:r>
          </w:p>
          <w:p w14:paraId="57305D25"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Navrhujeme doplnit důvodovou zprávu o bližší popis způsobu kontroly plnění povinností subjektů při evidenci tržeb.</w:t>
            </w:r>
          </w:p>
          <w:p w14:paraId="697BD984" w14:textId="77777777" w:rsidR="000B4BD4" w:rsidRPr="0035187E" w:rsidRDefault="000B4BD4" w:rsidP="0035187E">
            <w:pPr>
              <w:jc w:val="both"/>
              <w:rPr>
                <w:rFonts w:ascii="Times New Roman" w:eastAsia="Calibri" w:hAnsi="Times New Roman" w:cs="Times New Roman"/>
                <w:b/>
                <w:bCs/>
                <w:sz w:val="20"/>
                <w:szCs w:val="20"/>
                <w:lang w:eastAsia="en-US"/>
              </w:rPr>
            </w:pPr>
          </w:p>
          <w:p w14:paraId="75722776" w14:textId="717325BE" w:rsidR="000B4BD4" w:rsidRPr="0035187E" w:rsidRDefault="000B4BD4" w:rsidP="0035187E">
            <w:pPr>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Odůvodnění:</w:t>
            </w:r>
          </w:p>
          <w:p w14:paraId="3760BD99"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Návrh zákona stanoví povinnosti subjektů evidujících tržby, avšak důvodová zpráva neobsahuje bližší informace o tom, jakým způsobem bude v praxi probíhat kontrola jejich plnění ze strany správce daně. I to je podstatná informace, které ovlivní způsob technické přípravy tak, aby byl podnikatel schopen dostát požadavkům veřejné správy při kontrole plnění povinností řádně a včas. </w:t>
            </w:r>
          </w:p>
          <w:p w14:paraId="1556676F"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lastRenderedPageBreak/>
              <w:t>Pro zajištění transparentnosti právní úpravy a právní jistoty podnikatelů považujeme za vhodné doplnit důvodovou zprávu zejména o:</w:t>
            </w:r>
          </w:p>
          <w:p w14:paraId="2ECAC06D" w14:textId="77777777" w:rsidR="000B4BD4" w:rsidRPr="0035187E" w:rsidRDefault="000B4BD4" w:rsidP="0035187E">
            <w:pPr>
              <w:numPr>
                <w:ilvl w:val="0"/>
                <w:numId w:val="64"/>
              </w:numPr>
              <w:ind w:left="0" w:firstLine="0"/>
              <w:contextualSpacing/>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základní principy kontrolních postupů správce daně,</w:t>
            </w:r>
          </w:p>
          <w:p w14:paraId="3344EACB" w14:textId="77777777" w:rsidR="000B4BD4" w:rsidRPr="0035187E" w:rsidRDefault="000B4BD4" w:rsidP="0035187E">
            <w:pPr>
              <w:numPr>
                <w:ilvl w:val="0"/>
                <w:numId w:val="64"/>
              </w:numPr>
              <w:ind w:left="0" w:firstLine="0"/>
              <w:contextualSpacing/>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využívání analytických nástrojů při vyhodnocování evidovaných tržeb,</w:t>
            </w:r>
          </w:p>
          <w:p w14:paraId="75F03560" w14:textId="77777777" w:rsidR="000B4BD4" w:rsidRPr="0035187E" w:rsidRDefault="000B4BD4" w:rsidP="0035187E">
            <w:pPr>
              <w:numPr>
                <w:ilvl w:val="0"/>
                <w:numId w:val="64"/>
              </w:numPr>
              <w:ind w:left="0" w:firstLine="0"/>
              <w:contextualSpacing/>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způsob provádění místních šetření nebo kontrol na místě,</w:t>
            </w:r>
          </w:p>
          <w:p w14:paraId="1B3C9698" w14:textId="77777777" w:rsidR="000B4BD4" w:rsidRPr="0035187E" w:rsidRDefault="000B4BD4" w:rsidP="0035187E">
            <w:pPr>
              <w:numPr>
                <w:ilvl w:val="0"/>
                <w:numId w:val="64"/>
              </w:numPr>
              <w:ind w:left="0" w:firstLine="0"/>
              <w:contextualSpacing/>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návaznost kontrol na sankční mechanismy podle návrhu zákona.</w:t>
            </w:r>
          </w:p>
          <w:p w14:paraId="4451A2C1" w14:textId="77777777" w:rsidR="000B4BD4" w:rsidRPr="0035187E" w:rsidRDefault="000B4BD4" w:rsidP="0035187E">
            <w:pPr>
              <w:jc w:val="both"/>
              <w:rPr>
                <w:rFonts w:ascii="Times New Roman" w:eastAsia="Calibri" w:hAnsi="Times New Roman" w:cs="Times New Roman"/>
                <w:sz w:val="20"/>
                <w:szCs w:val="20"/>
                <w:lang w:eastAsia="en-US"/>
              </w:rPr>
            </w:pPr>
          </w:p>
          <w:p w14:paraId="7E69FC4A" w14:textId="75792A1D"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Doplnění těchto informací v důvodové zprávě umožní lepší pochopení fungování systému evidence tržeb a přispěje k jeho předvídatelnosti pro podnikatelskou sféru.</w:t>
            </w:r>
          </w:p>
          <w:p w14:paraId="14DFC834" w14:textId="513CDA84" w:rsidR="000B4BD4" w:rsidRPr="0035187E" w:rsidRDefault="000B4BD4" w:rsidP="0035187E">
            <w:pPr>
              <w:jc w:val="both"/>
              <w:rPr>
                <w:rFonts w:ascii="Times New Roman" w:hAnsi="Times New Roman" w:cs="Times New Roman"/>
                <w:sz w:val="20"/>
                <w:szCs w:val="20"/>
              </w:rPr>
            </w:pPr>
            <w:r w:rsidRPr="0035187E">
              <w:rPr>
                <w:rFonts w:ascii="Times New Roman" w:eastAsia="Calibri" w:hAnsi="Times New Roman" w:cs="Times New Roman"/>
                <w:b/>
                <w:bCs/>
                <w:sz w:val="20"/>
                <w:szCs w:val="20"/>
                <w:lang w:eastAsia="en-US"/>
              </w:rPr>
              <w:t xml:space="preserve">Tato připomínka je zásadní. </w:t>
            </w:r>
          </w:p>
        </w:tc>
        <w:tc>
          <w:tcPr>
            <w:tcW w:w="1453" w:type="pct"/>
            <w:tcBorders>
              <w:top w:val="single" w:sz="4" w:space="0" w:color="auto"/>
              <w:left w:val="single" w:sz="4" w:space="0" w:color="auto"/>
              <w:right w:val="single" w:sz="4" w:space="0" w:color="auto"/>
            </w:tcBorders>
            <w:shd w:val="clear" w:color="auto" w:fill="auto"/>
          </w:tcPr>
          <w:p w14:paraId="2AD5E59C" w14:textId="77777777"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Vysvětleno.</w:t>
            </w:r>
          </w:p>
          <w:p w14:paraId="68103799" w14:textId="5DC1C352"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Je potřeba upozornit na to, že právní předpis i jeho důvodová zpráva, z povahy věci nemohou dopředu předvídat přesný postup aplikační praxe správců daně. Jde totiž o proměnlivou veličinu, která závisí na mnoha faktorech. Požadavek připomínkového místa je tak do jisté míry nesplnitelný. Poskytnuté informace by tak mohly být postupem času zkreslené a nepřesné. Nadto platí, že některé taktické postupy jsou interní záležitostí správce daně.</w:t>
            </w:r>
          </w:p>
        </w:tc>
      </w:tr>
      <w:tr w:rsidR="0035187E" w:rsidRPr="0035187E" w14:paraId="193F222E"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03B3589" w14:textId="3917BC8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74.</w:t>
            </w:r>
          </w:p>
        </w:tc>
        <w:tc>
          <w:tcPr>
            <w:tcW w:w="583" w:type="pct"/>
            <w:tcBorders>
              <w:top w:val="single" w:sz="4" w:space="0" w:color="auto"/>
              <w:left w:val="single" w:sz="4" w:space="0" w:color="auto"/>
              <w:right w:val="single" w:sz="4" w:space="0" w:color="auto"/>
            </w:tcBorders>
            <w:shd w:val="clear" w:color="auto" w:fill="auto"/>
          </w:tcPr>
          <w:p w14:paraId="7A817A12" w14:textId="5EA92D4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Svaz průmyslu a dopravy České republiky</w:t>
            </w:r>
          </w:p>
        </w:tc>
        <w:tc>
          <w:tcPr>
            <w:tcW w:w="168" w:type="pct"/>
            <w:tcBorders>
              <w:top w:val="single" w:sz="4" w:space="0" w:color="auto"/>
              <w:left w:val="single" w:sz="4" w:space="0" w:color="auto"/>
              <w:right w:val="single" w:sz="4" w:space="0" w:color="auto"/>
            </w:tcBorders>
            <w:shd w:val="clear" w:color="auto" w:fill="auto"/>
          </w:tcPr>
          <w:p w14:paraId="5434F24F" w14:textId="4EFCA7A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18.</w:t>
            </w:r>
          </w:p>
        </w:tc>
        <w:tc>
          <w:tcPr>
            <w:tcW w:w="169" w:type="pct"/>
            <w:tcBorders>
              <w:top w:val="single" w:sz="4" w:space="0" w:color="auto"/>
              <w:left w:val="single" w:sz="4" w:space="0" w:color="auto"/>
              <w:right w:val="single" w:sz="4" w:space="0" w:color="auto"/>
            </w:tcBorders>
            <w:shd w:val="clear" w:color="auto" w:fill="auto"/>
          </w:tcPr>
          <w:p w14:paraId="0E40ACF9" w14:textId="1C02F33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B4776EA" w14:textId="77777777" w:rsidR="000B4BD4" w:rsidRPr="0035187E" w:rsidRDefault="000B4BD4" w:rsidP="0035187E">
            <w:pPr>
              <w:numPr>
                <w:ilvl w:val="0"/>
                <w:numId w:val="59"/>
              </w:numPr>
              <w:ind w:left="0" w:firstLine="0"/>
              <w:contextualSpacing/>
              <w:jc w:val="both"/>
              <w:rPr>
                <w:rFonts w:ascii="Times New Roman" w:eastAsia="Calibri" w:hAnsi="Times New Roman" w:cs="Times New Roman"/>
                <w:b/>
                <w:sz w:val="20"/>
                <w:szCs w:val="20"/>
                <w:lang w:eastAsia="en-US"/>
              </w:rPr>
            </w:pPr>
            <w:r w:rsidRPr="0035187E">
              <w:rPr>
                <w:rFonts w:ascii="Times New Roman" w:eastAsia="Calibri" w:hAnsi="Times New Roman" w:cs="Times New Roman"/>
                <w:b/>
                <w:sz w:val="20"/>
                <w:szCs w:val="20"/>
                <w:lang w:eastAsia="en-US"/>
              </w:rPr>
              <w:t>K § 6 odst. 9 písm. b) novely zákona o dani z příjmů</w:t>
            </w:r>
          </w:p>
          <w:p w14:paraId="5FA9C998" w14:textId="568ECB50"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Navrhujeme navýšit příspěvek na stravování na 100 % horní hranice stravného u tzv. nepeněžních plnění, které lze poskytnout zaměstnancům odměňovaným mzdou při pracovní cestě trvající 5 až 12 hodin.</w:t>
            </w:r>
          </w:p>
          <w:p w14:paraId="3F1A9BBF" w14:textId="77777777" w:rsidR="000B4BD4" w:rsidRPr="0035187E" w:rsidRDefault="000B4BD4" w:rsidP="0035187E">
            <w:pPr>
              <w:jc w:val="both"/>
              <w:rPr>
                <w:rFonts w:ascii="Times New Roman" w:eastAsia="Calibri" w:hAnsi="Times New Roman" w:cs="Times New Roman"/>
                <w:sz w:val="20"/>
                <w:szCs w:val="20"/>
                <w:lang w:eastAsia="en-US"/>
              </w:rPr>
            </w:pPr>
          </w:p>
          <w:p w14:paraId="0FA7BD37" w14:textId="77777777" w:rsidR="000B4BD4" w:rsidRPr="0035187E" w:rsidRDefault="000B4BD4" w:rsidP="0035187E">
            <w:pPr>
              <w:jc w:val="both"/>
              <w:rPr>
                <w:rFonts w:ascii="Times New Roman" w:eastAsia="Calibri" w:hAnsi="Times New Roman" w:cs="Times New Roman"/>
                <w:b/>
                <w:sz w:val="20"/>
                <w:szCs w:val="20"/>
                <w:lang w:eastAsia="en-US"/>
              </w:rPr>
            </w:pPr>
            <w:r w:rsidRPr="0035187E">
              <w:rPr>
                <w:rFonts w:ascii="Times New Roman" w:eastAsia="Calibri" w:hAnsi="Times New Roman" w:cs="Times New Roman"/>
                <w:b/>
                <w:sz w:val="20"/>
                <w:szCs w:val="20"/>
                <w:lang w:eastAsia="en-US"/>
              </w:rPr>
              <w:t>Odůvodnění:</w:t>
            </w:r>
          </w:p>
          <w:p w14:paraId="31129729" w14:textId="7AD5C680"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Vnímáme kvalitní stravování také jako oblast s významnými pozitivními dopady na zdraví zaměstnanců. Dle řady studií jsou špatné stravovací návyky dlouhodobě významným problémem, který negativně ovlivňuje věk dožití ve zdraví, náchylnost k civilizačním chorobám včetně předčasných úmrtí, ale také vývoj produktivity práce. Právě zaměstnavatelé mohou významně přispět ke zlepšení kvality zdraví a jejich role je identifikovaná jako důležitá i ve strategických dokumentech státu. </w:t>
            </w:r>
          </w:p>
          <w:p w14:paraId="762D0DB7" w14:textId="77777777" w:rsidR="000B4BD4" w:rsidRPr="0035187E" w:rsidRDefault="000B4BD4" w:rsidP="0035187E">
            <w:pPr>
              <w:jc w:val="both"/>
              <w:rPr>
                <w:rFonts w:ascii="Times New Roman" w:eastAsia="Calibri" w:hAnsi="Times New Roman" w:cs="Times New Roman"/>
                <w:sz w:val="20"/>
                <w:szCs w:val="20"/>
                <w:lang w:eastAsia="en-US"/>
              </w:rPr>
            </w:pPr>
          </w:p>
          <w:p w14:paraId="313DD1DE"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Doporučujeme proto zachovat stávající limity 70 % neúčelového peněžitého příspěvku na stravování a zároveň navýšit účelové formy podpory stravování (stravenky, dovoz jídla, závodní jídelny apod.) jakožto klíčový prostředek motivace zaměstnavatelů ke zdravějšímu pracovnímu prostředí a umožnění lepší volby stravy svých zaměstnanců. </w:t>
            </w:r>
          </w:p>
          <w:p w14:paraId="623891FD" w14:textId="73E325F7" w:rsidR="000B4BD4" w:rsidRPr="0035187E" w:rsidRDefault="000B4BD4" w:rsidP="0035187E">
            <w:pPr>
              <w:jc w:val="both"/>
              <w:rPr>
                <w:rFonts w:ascii="Times New Roman" w:hAnsi="Times New Roman" w:cs="Times New Roman"/>
                <w:sz w:val="20"/>
                <w:szCs w:val="20"/>
              </w:rPr>
            </w:pPr>
            <w:r w:rsidRPr="0035187E">
              <w:rPr>
                <w:rFonts w:ascii="Times New Roman" w:eastAsia="Calibri" w:hAnsi="Times New Roman" w:cs="Times New Roman"/>
                <w:b/>
                <w:bCs/>
                <w:sz w:val="20"/>
                <w:szCs w:val="20"/>
              </w:rPr>
              <w:t>Tato připomínka je zásadní.</w:t>
            </w:r>
          </w:p>
        </w:tc>
        <w:tc>
          <w:tcPr>
            <w:tcW w:w="1453" w:type="pct"/>
            <w:tcBorders>
              <w:top w:val="single" w:sz="4" w:space="0" w:color="auto"/>
              <w:left w:val="single" w:sz="4" w:space="0" w:color="auto"/>
              <w:right w:val="single" w:sz="4" w:space="0" w:color="auto"/>
            </w:tcBorders>
            <w:shd w:val="clear" w:color="auto" w:fill="auto"/>
          </w:tcPr>
          <w:p w14:paraId="3032FE0F"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Nevyhověno.</w:t>
            </w:r>
          </w:p>
          <w:p w14:paraId="28E2B935" w14:textId="79D8ED0E"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Podnět přesahuje rámec navrhované úpravy zákona o evidenci tržeb.</w:t>
            </w:r>
          </w:p>
          <w:p w14:paraId="09315ADD"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Z pohledu zdravotní politiky a prevence nelze garantovat, že zvýšení limitu příspěvku na stravování skutečně povede k lepší stravovací kultuře nebo ke snížení civilizačních onemocnění. Podpora zdravého životního stylu vyžaduje komplexní a systematický přístup zahrnující vzdělávání, osvětu, regulaci nabídky potravin a celkovou strategii veřejného zdraví, nikoli pouze parametrické zvyšování daňového osvobození u jedné formy zaměstnaneckého příspěvku. Navrhované opatření je navíc nesystémové, protože zvýšení daňového osvobození se vztahuje pouze na nepeněžní formu příspěvku (např. stravenek), zatímco peněžitý příspěvek zůstává omezen na nižší hranici.</w:t>
            </w:r>
            <w:r w:rsidRPr="0035187E">
              <w:t xml:space="preserve"> </w:t>
            </w:r>
            <w:r w:rsidRPr="0035187E">
              <w:rPr>
                <w:rFonts w:ascii="Times New Roman" w:hAnsi="Times New Roman" w:cs="Times New Roman"/>
                <w:sz w:val="20"/>
                <w:szCs w:val="20"/>
              </w:rPr>
              <w:t>Zaměstnanec, který by platil oběd v restauračním zařízení v hotovosti, by byl znevýhodněn oproti zaměstnanci, který by stejný oběd odebíral za stravenku.</w:t>
            </w:r>
          </w:p>
          <w:p w14:paraId="143A8AB2" w14:textId="77777777" w:rsidR="00F175F2" w:rsidRPr="0035187E" w:rsidRDefault="00F175F2" w:rsidP="0035187E">
            <w:pPr>
              <w:jc w:val="both"/>
              <w:rPr>
                <w:rFonts w:ascii="Times New Roman" w:hAnsi="Times New Roman" w:cs="Times New Roman"/>
                <w:sz w:val="20"/>
                <w:szCs w:val="20"/>
              </w:rPr>
            </w:pPr>
          </w:p>
          <w:p w14:paraId="5877DFA2" w14:textId="77777777" w:rsidR="00F175F2" w:rsidRPr="0035187E" w:rsidRDefault="00F175F2"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Vyjádření připomínkového místa: Navrhované opatření je parametrickou úpravou již současného existujícího systému, které organicky zapadá do podpory zdravého životního stylu. Legislativa ze strany MF aktivně otevírá oblast zaměstnaneckých benefitů, připomínka je tedy relevantní a dále na ní trváme.</w:t>
            </w:r>
          </w:p>
          <w:p w14:paraId="58825C18" w14:textId="77777777" w:rsidR="00BE5C21" w:rsidRPr="0035187E" w:rsidRDefault="00BE5C21" w:rsidP="0035187E">
            <w:pPr>
              <w:jc w:val="both"/>
              <w:rPr>
                <w:rFonts w:ascii="Times New Roman" w:hAnsi="Times New Roman" w:cs="Times New Roman"/>
                <w:i/>
                <w:iCs/>
                <w:sz w:val="20"/>
                <w:szCs w:val="20"/>
              </w:rPr>
            </w:pPr>
          </w:p>
          <w:p w14:paraId="2F458654" w14:textId="01FD4528" w:rsidR="00BE5C21" w:rsidRPr="0035187E" w:rsidRDefault="00BE5C21"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Vyjádření připomínkového místa po jednání dne 8. dubna 2026: nesouhlasí s vypořádáním, ale nepůjde do rozporu. </w:t>
            </w:r>
          </w:p>
        </w:tc>
      </w:tr>
      <w:tr w:rsidR="0035187E" w:rsidRPr="0035187E" w14:paraId="1B1E12D2"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60EF423" w14:textId="1B3B2EF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74.</w:t>
            </w:r>
          </w:p>
        </w:tc>
        <w:tc>
          <w:tcPr>
            <w:tcW w:w="583" w:type="pct"/>
            <w:tcBorders>
              <w:top w:val="single" w:sz="4" w:space="0" w:color="auto"/>
              <w:left w:val="single" w:sz="4" w:space="0" w:color="auto"/>
              <w:right w:val="single" w:sz="4" w:space="0" w:color="auto"/>
            </w:tcBorders>
            <w:shd w:val="clear" w:color="auto" w:fill="auto"/>
          </w:tcPr>
          <w:p w14:paraId="26B8A9C0" w14:textId="4885DE0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Svaz průmyslu a dopravy České republiky</w:t>
            </w:r>
          </w:p>
        </w:tc>
        <w:tc>
          <w:tcPr>
            <w:tcW w:w="168" w:type="pct"/>
            <w:tcBorders>
              <w:top w:val="single" w:sz="4" w:space="0" w:color="auto"/>
              <w:left w:val="single" w:sz="4" w:space="0" w:color="auto"/>
              <w:right w:val="single" w:sz="4" w:space="0" w:color="auto"/>
            </w:tcBorders>
            <w:shd w:val="clear" w:color="auto" w:fill="auto"/>
          </w:tcPr>
          <w:p w14:paraId="1554E5B9" w14:textId="4DB9C4B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19.</w:t>
            </w:r>
          </w:p>
        </w:tc>
        <w:tc>
          <w:tcPr>
            <w:tcW w:w="169" w:type="pct"/>
            <w:tcBorders>
              <w:top w:val="single" w:sz="4" w:space="0" w:color="auto"/>
              <w:left w:val="single" w:sz="4" w:space="0" w:color="auto"/>
              <w:right w:val="single" w:sz="4" w:space="0" w:color="auto"/>
            </w:tcBorders>
            <w:shd w:val="clear" w:color="auto" w:fill="auto"/>
          </w:tcPr>
          <w:p w14:paraId="74FD9BCF" w14:textId="3838DCB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6895901" w14:textId="77777777" w:rsidR="000B4BD4" w:rsidRPr="0035187E" w:rsidRDefault="000B4BD4" w:rsidP="0035187E">
            <w:pPr>
              <w:numPr>
                <w:ilvl w:val="0"/>
                <w:numId w:val="59"/>
              </w:numPr>
              <w:ind w:left="0" w:firstLine="0"/>
              <w:contextualSpacing/>
              <w:jc w:val="both"/>
              <w:rPr>
                <w:rFonts w:ascii="Times New Roman" w:eastAsia="Calibri" w:hAnsi="Times New Roman" w:cs="Times New Roman"/>
                <w:b/>
                <w:sz w:val="20"/>
                <w:szCs w:val="20"/>
                <w:lang w:eastAsia="en-US"/>
              </w:rPr>
            </w:pPr>
            <w:r w:rsidRPr="0035187E">
              <w:rPr>
                <w:rFonts w:ascii="Times New Roman" w:eastAsia="Calibri" w:hAnsi="Times New Roman" w:cs="Times New Roman"/>
                <w:b/>
                <w:sz w:val="20"/>
                <w:szCs w:val="20"/>
                <w:lang w:eastAsia="en-US"/>
              </w:rPr>
              <w:t>K § 6 odst. 9 písm. d) bodu 1 novely zákona o dani z příjmů</w:t>
            </w:r>
          </w:p>
          <w:p w14:paraId="7E283BB9"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Navrhujeme zrušit dosavadní limit pro daňové osvobození u zdravotních benefitů, tj. vyškrtnout větu „</w:t>
            </w:r>
            <w:r w:rsidRPr="0035187E">
              <w:rPr>
                <w:rFonts w:ascii="Times New Roman" w:eastAsia="Calibri" w:hAnsi="Times New Roman" w:cs="Times New Roman"/>
                <w:i/>
                <w:iCs/>
                <w:sz w:val="20"/>
                <w:szCs w:val="20"/>
                <w:lang w:eastAsia="en-US"/>
              </w:rPr>
              <w:t>tato plnění jsou osvobozena v úhrnu do výše průměrné mzdy za zdaňovací období</w:t>
            </w:r>
            <w:r w:rsidRPr="0035187E">
              <w:rPr>
                <w:rFonts w:ascii="Times New Roman" w:eastAsia="Calibri" w:hAnsi="Times New Roman" w:cs="Times New Roman"/>
                <w:sz w:val="20"/>
                <w:szCs w:val="20"/>
                <w:lang w:eastAsia="en-US"/>
              </w:rPr>
              <w:t>,“.</w:t>
            </w:r>
          </w:p>
          <w:p w14:paraId="72B68777" w14:textId="77777777" w:rsidR="000B4BD4" w:rsidRPr="0035187E" w:rsidRDefault="000B4BD4" w:rsidP="0035187E">
            <w:pPr>
              <w:jc w:val="both"/>
              <w:rPr>
                <w:rFonts w:ascii="Times New Roman" w:eastAsia="Calibri" w:hAnsi="Times New Roman" w:cs="Times New Roman"/>
                <w:b/>
                <w:sz w:val="20"/>
                <w:szCs w:val="20"/>
                <w:lang w:eastAsia="en-US"/>
              </w:rPr>
            </w:pPr>
          </w:p>
          <w:p w14:paraId="68882988" w14:textId="2433CFC5" w:rsidR="000B4BD4" w:rsidRPr="0035187E" w:rsidRDefault="000B4BD4" w:rsidP="0035187E">
            <w:pPr>
              <w:jc w:val="both"/>
              <w:rPr>
                <w:rFonts w:ascii="Times New Roman" w:eastAsia="Calibri" w:hAnsi="Times New Roman" w:cs="Times New Roman"/>
                <w:b/>
                <w:sz w:val="20"/>
                <w:szCs w:val="20"/>
                <w:lang w:eastAsia="en-US"/>
              </w:rPr>
            </w:pPr>
            <w:r w:rsidRPr="0035187E">
              <w:rPr>
                <w:rFonts w:ascii="Times New Roman" w:eastAsia="Calibri" w:hAnsi="Times New Roman" w:cs="Times New Roman"/>
                <w:b/>
                <w:sz w:val="20"/>
                <w:szCs w:val="20"/>
                <w:lang w:eastAsia="en-US"/>
              </w:rPr>
              <w:t xml:space="preserve">Odůvodnění: </w:t>
            </w:r>
          </w:p>
          <w:p w14:paraId="4AAE3407"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V programovém prohlášení vlády je uvedeno „</w:t>
            </w:r>
            <w:r w:rsidRPr="0035187E">
              <w:rPr>
                <w:rFonts w:ascii="Times New Roman" w:eastAsia="Calibri" w:hAnsi="Times New Roman" w:cs="Times New Roman"/>
                <w:i/>
                <w:iCs/>
                <w:sz w:val="20"/>
                <w:szCs w:val="20"/>
                <w:lang w:eastAsia="en-US"/>
              </w:rPr>
              <w:t xml:space="preserve">Zaměstnancům zrušíme </w:t>
            </w:r>
            <w:proofErr w:type="spellStart"/>
            <w:r w:rsidRPr="0035187E">
              <w:rPr>
                <w:rFonts w:ascii="Times New Roman" w:eastAsia="Calibri" w:hAnsi="Times New Roman" w:cs="Times New Roman"/>
                <w:i/>
                <w:iCs/>
                <w:sz w:val="20"/>
                <w:szCs w:val="20"/>
                <w:lang w:eastAsia="en-US"/>
              </w:rPr>
              <w:t>zastropování</w:t>
            </w:r>
            <w:proofErr w:type="spellEnd"/>
            <w:r w:rsidRPr="0035187E">
              <w:rPr>
                <w:rFonts w:ascii="Times New Roman" w:eastAsia="Calibri" w:hAnsi="Times New Roman" w:cs="Times New Roman"/>
                <w:i/>
                <w:iCs/>
                <w:sz w:val="20"/>
                <w:szCs w:val="20"/>
                <w:lang w:eastAsia="en-US"/>
              </w:rPr>
              <w:t xml:space="preserve"> jejich volnočasových benefitů</w:t>
            </w:r>
            <w:r w:rsidRPr="0035187E">
              <w:rPr>
                <w:rFonts w:ascii="Times New Roman" w:eastAsia="Calibri" w:hAnsi="Times New Roman" w:cs="Times New Roman"/>
                <w:sz w:val="20"/>
                <w:szCs w:val="20"/>
                <w:lang w:eastAsia="en-US"/>
              </w:rPr>
              <w:t xml:space="preserve">“, které vnímáme jakožto snahu o celkové zjednodušení a snížení zbytečné administrativní zátěže v rámci zaměstnaneckých benefitů, neboť dosavadní praxe je výkladově složitá a nepříliš přehledná. Specificky oblast zdravotních benefitů (například příplatky na léky či zdravotní prostředky, služby zdravotní péče) vnímáme navíc jako druh benefitů, které mají velmi výrazný pozitivní dopad na zdraví zaměstnanců, posilování prevence a na produktivitu práce včetně dlouhodobého výběru daní a pojistného. Přínos tohoto druhu péče zaměstnavatele je tak pro nás zásadní a doporučujeme jejich další zatraktivnění – nikoliv jejich znevýhodnění oproti jiným druhům benefitů. </w:t>
            </w:r>
          </w:p>
          <w:p w14:paraId="404F377B" w14:textId="1E48C871" w:rsidR="000B4BD4" w:rsidRPr="0035187E" w:rsidRDefault="000B4BD4" w:rsidP="0035187E">
            <w:pPr>
              <w:jc w:val="both"/>
              <w:rPr>
                <w:rFonts w:ascii="Times New Roman" w:hAnsi="Times New Roman" w:cs="Times New Roman"/>
                <w:sz w:val="20"/>
                <w:szCs w:val="20"/>
              </w:rPr>
            </w:pPr>
            <w:r w:rsidRPr="0035187E">
              <w:rPr>
                <w:rFonts w:ascii="Times New Roman" w:eastAsia="Calibri" w:hAnsi="Times New Roman" w:cs="Times New Roman"/>
                <w:b/>
                <w:sz w:val="20"/>
                <w:szCs w:val="20"/>
              </w:rPr>
              <w:t>Tato připomínka je zásadní.</w:t>
            </w:r>
          </w:p>
        </w:tc>
        <w:tc>
          <w:tcPr>
            <w:tcW w:w="1453" w:type="pct"/>
            <w:tcBorders>
              <w:top w:val="single" w:sz="4" w:space="0" w:color="auto"/>
              <w:left w:val="single" w:sz="4" w:space="0" w:color="auto"/>
              <w:right w:val="single" w:sz="4" w:space="0" w:color="auto"/>
            </w:tcBorders>
            <w:shd w:val="clear" w:color="auto" w:fill="auto"/>
          </w:tcPr>
          <w:p w14:paraId="49BE2C3F" w14:textId="19BCBAD0"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t>Nevyhověno.</w:t>
            </w:r>
            <w:r w:rsidR="002D225C" w:rsidRPr="0035187E">
              <w:rPr>
                <w:rFonts w:ascii="Times New Roman" w:hAnsi="Times New Roman" w:cs="Times New Roman"/>
                <w:b/>
                <w:sz w:val="20"/>
                <w:szCs w:val="20"/>
              </w:rPr>
              <w:t xml:space="preserve"> </w:t>
            </w:r>
            <w:r w:rsidR="002D225C" w:rsidRPr="00356B47">
              <w:rPr>
                <w:rFonts w:ascii="Times New Roman" w:hAnsi="Times New Roman" w:cs="Times New Roman"/>
                <w:b/>
                <w:color w:val="FF0000"/>
                <w:sz w:val="20"/>
                <w:szCs w:val="20"/>
              </w:rPr>
              <w:t>ROZPOR</w:t>
            </w:r>
          </w:p>
          <w:p w14:paraId="6496A1E2" w14:textId="6A1B37A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Podnět přesahuje rámec navrhované úpravy zákona o evidenci tržeb.</w:t>
            </w:r>
          </w:p>
          <w:p w14:paraId="3BED0B43" w14:textId="313219F9"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Zachování limitu pro zdravotní benefity je věcně odůvodněné. Zatímco volnočasové benefity mají převážně společenský či relaxační charakter a jejich hodnotové limity nemají přímý vliv na prevenci nemocí ani na udržení pracovní schopnosti, zdravotní benefity přímo podporují zdraví zaměstnanců, prevenci nemocí a dlouhodobou pracovní výkonnost.</w:t>
            </w:r>
          </w:p>
          <w:p w14:paraId="00B65DE4"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Zrušení limitu by mohlo vést k jejich zneužívání pro daňovou optimalizaci, kdy by výhody přesahující skutečné zdravotní potřeby zaměstnanců byly osvobozeny od daně, aniž by přinášely reálný zdravotní prospěch. Zachování limitu proto umožňuje cílené a efektivní využití těchto benefitů s reálným pozitivním dopadem pro zaměstnance i veřejný zdravotní systém.</w:t>
            </w:r>
          </w:p>
          <w:p w14:paraId="02646A1D" w14:textId="77777777" w:rsidR="00F175F2" w:rsidRPr="0035187E" w:rsidRDefault="00F175F2" w:rsidP="0035187E">
            <w:pPr>
              <w:jc w:val="both"/>
              <w:rPr>
                <w:rFonts w:ascii="Times New Roman" w:hAnsi="Times New Roman" w:cs="Times New Roman"/>
                <w:sz w:val="20"/>
                <w:szCs w:val="20"/>
              </w:rPr>
            </w:pPr>
          </w:p>
          <w:p w14:paraId="27A62E2C" w14:textId="57C9B608" w:rsidR="00F175F2" w:rsidRPr="0035187E" w:rsidRDefault="00F175F2" w:rsidP="0035187E">
            <w:pPr>
              <w:jc w:val="both"/>
              <w:rPr>
                <w:rFonts w:ascii="Times New Roman" w:hAnsi="Times New Roman" w:cs="Times New Roman"/>
                <w:sz w:val="20"/>
                <w:szCs w:val="20"/>
              </w:rPr>
            </w:pPr>
            <w:r w:rsidRPr="0035187E">
              <w:rPr>
                <w:rFonts w:ascii="Times New Roman" w:hAnsi="Times New Roman" w:cs="Times New Roman"/>
                <w:i/>
                <w:iCs/>
                <w:sz w:val="20"/>
                <w:szCs w:val="20"/>
              </w:rPr>
              <w:t>Vyjádření připomínkového místa: Nevidíme důvod pro to, aby byly zdravotní benefity odlišovány hodnotovým limitem od ostatních benefitů, které mají být osvobozeny neomezeně. Zdravotní benefity byly dosud zvýhodněny vyšším hodnotovým limitem, což vyjadřovalo podporu péče o zdraví zaměstnanců. Zároveň poukazujeme na to, že premiér ČR na jednání Rady hospodářské a sociální dohody ČR jednoznačně přislíbil, že současné hodnotové limity budou odstraněny i u zdravotních benefitů. V neposlední řadě je argument o tom, že by byly poskytovány benefity přesahující skutečné zdravotní potřeby zaměstnanců nebo jejich rodin nepodložený čísly a vysoce spekulativní.</w:t>
            </w:r>
            <w:r w:rsidR="00BE5C21" w:rsidRPr="0035187E">
              <w:rPr>
                <w:rFonts w:ascii="Times New Roman" w:hAnsi="Times New Roman" w:cs="Times New Roman"/>
                <w:i/>
                <w:iCs/>
                <w:sz w:val="20"/>
                <w:szCs w:val="20"/>
              </w:rPr>
              <w:t xml:space="preserve"> </w:t>
            </w:r>
            <w:r w:rsidRPr="0035187E">
              <w:rPr>
                <w:rFonts w:ascii="Times New Roman" w:hAnsi="Times New Roman" w:cs="Times New Roman"/>
                <w:i/>
                <w:iCs/>
                <w:sz w:val="20"/>
                <w:szCs w:val="20"/>
              </w:rPr>
              <w:t>Na připomínce trváme.</w:t>
            </w:r>
            <w:r w:rsidRPr="0035187E">
              <w:rPr>
                <w:rFonts w:ascii="Times New Roman" w:hAnsi="Times New Roman" w:cs="Times New Roman"/>
                <w:sz w:val="20"/>
                <w:szCs w:val="20"/>
              </w:rPr>
              <w:t xml:space="preserve"> </w:t>
            </w:r>
          </w:p>
          <w:p w14:paraId="0B85AF71" w14:textId="77777777" w:rsidR="00BE5C21" w:rsidRPr="0035187E" w:rsidRDefault="00BE5C21" w:rsidP="0035187E">
            <w:pPr>
              <w:jc w:val="both"/>
              <w:rPr>
                <w:rFonts w:ascii="Times New Roman" w:hAnsi="Times New Roman" w:cs="Times New Roman"/>
                <w:sz w:val="20"/>
                <w:szCs w:val="20"/>
              </w:rPr>
            </w:pPr>
          </w:p>
          <w:p w14:paraId="3A103716" w14:textId="37B1FB0B" w:rsidR="00BE5C21" w:rsidRPr="0035187E" w:rsidRDefault="00BE5C21"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Vyjádření připomínkového místa po jednání dne 8. dubna 2026: zůstává rozpor.</w:t>
            </w:r>
          </w:p>
        </w:tc>
      </w:tr>
      <w:tr w:rsidR="0035187E" w:rsidRPr="0035187E" w14:paraId="23254847"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BC4D53B" w14:textId="52A4592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74.</w:t>
            </w:r>
          </w:p>
        </w:tc>
        <w:tc>
          <w:tcPr>
            <w:tcW w:w="583" w:type="pct"/>
            <w:tcBorders>
              <w:top w:val="single" w:sz="4" w:space="0" w:color="auto"/>
              <w:left w:val="single" w:sz="4" w:space="0" w:color="auto"/>
              <w:right w:val="single" w:sz="4" w:space="0" w:color="auto"/>
            </w:tcBorders>
            <w:shd w:val="clear" w:color="auto" w:fill="auto"/>
          </w:tcPr>
          <w:p w14:paraId="79353B8E" w14:textId="05FD5BD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Svaz průmyslu a dopravy České republiky</w:t>
            </w:r>
          </w:p>
        </w:tc>
        <w:tc>
          <w:tcPr>
            <w:tcW w:w="168" w:type="pct"/>
            <w:tcBorders>
              <w:top w:val="single" w:sz="4" w:space="0" w:color="auto"/>
              <w:left w:val="single" w:sz="4" w:space="0" w:color="auto"/>
              <w:right w:val="single" w:sz="4" w:space="0" w:color="auto"/>
            </w:tcBorders>
            <w:shd w:val="clear" w:color="auto" w:fill="auto"/>
          </w:tcPr>
          <w:p w14:paraId="0A3AB1FF" w14:textId="6ABC2F5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20.</w:t>
            </w:r>
          </w:p>
        </w:tc>
        <w:tc>
          <w:tcPr>
            <w:tcW w:w="169" w:type="pct"/>
            <w:tcBorders>
              <w:top w:val="single" w:sz="4" w:space="0" w:color="auto"/>
              <w:left w:val="single" w:sz="4" w:space="0" w:color="auto"/>
              <w:right w:val="single" w:sz="4" w:space="0" w:color="auto"/>
            </w:tcBorders>
            <w:shd w:val="clear" w:color="auto" w:fill="auto"/>
          </w:tcPr>
          <w:p w14:paraId="08CB3D69" w14:textId="7879507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09385D8" w14:textId="77777777" w:rsidR="000B4BD4" w:rsidRPr="0035187E" w:rsidRDefault="000B4BD4" w:rsidP="0035187E">
            <w:pPr>
              <w:numPr>
                <w:ilvl w:val="0"/>
                <w:numId w:val="59"/>
              </w:numPr>
              <w:ind w:left="0" w:firstLine="0"/>
              <w:contextualSpacing/>
              <w:jc w:val="both"/>
              <w:rPr>
                <w:rFonts w:ascii="Times New Roman" w:eastAsia="Calibri" w:hAnsi="Times New Roman" w:cs="Times New Roman"/>
                <w:b/>
                <w:sz w:val="20"/>
                <w:szCs w:val="20"/>
              </w:rPr>
            </w:pPr>
            <w:r w:rsidRPr="0035187E">
              <w:rPr>
                <w:rFonts w:ascii="Times New Roman" w:eastAsia="Calibri" w:hAnsi="Times New Roman" w:cs="Times New Roman"/>
                <w:b/>
                <w:sz w:val="20"/>
                <w:szCs w:val="20"/>
              </w:rPr>
              <w:t>K § 6 odst. 9 písm. d) bodu 1 novely zákona o dani z příjmů</w:t>
            </w:r>
          </w:p>
          <w:p w14:paraId="6682A747"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t>Chtěli bychom vznést dotaz, jakým způsobem se nahlíží na psychologické či psychoterapeutické služby, které nejsou poskytovány osobami s plnohodnotným lékařským vzděláním.</w:t>
            </w:r>
          </w:p>
          <w:p w14:paraId="2B94D39A" w14:textId="77777777" w:rsidR="000B4BD4" w:rsidRPr="0035187E" w:rsidRDefault="000B4BD4" w:rsidP="0035187E">
            <w:pPr>
              <w:jc w:val="both"/>
              <w:rPr>
                <w:rFonts w:ascii="Times New Roman" w:eastAsia="Calibri" w:hAnsi="Times New Roman" w:cs="Times New Roman"/>
                <w:b/>
                <w:sz w:val="20"/>
                <w:szCs w:val="20"/>
              </w:rPr>
            </w:pPr>
          </w:p>
          <w:p w14:paraId="3D5839B7" w14:textId="234F12E6" w:rsidR="000B4BD4" w:rsidRPr="0035187E" w:rsidRDefault="000B4BD4" w:rsidP="0035187E">
            <w:pPr>
              <w:jc w:val="both"/>
              <w:rPr>
                <w:rFonts w:ascii="Times New Roman" w:eastAsia="Calibri" w:hAnsi="Times New Roman" w:cs="Times New Roman"/>
                <w:b/>
                <w:sz w:val="20"/>
                <w:szCs w:val="20"/>
              </w:rPr>
            </w:pPr>
            <w:r w:rsidRPr="0035187E">
              <w:rPr>
                <w:rFonts w:ascii="Times New Roman" w:eastAsia="Calibri" w:hAnsi="Times New Roman" w:cs="Times New Roman"/>
                <w:b/>
                <w:sz w:val="20"/>
                <w:szCs w:val="20"/>
              </w:rPr>
              <w:t xml:space="preserve">Odůvodnění: </w:t>
            </w:r>
          </w:p>
          <w:p w14:paraId="7CAB0309" w14:textId="77777777" w:rsidR="000B4BD4" w:rsidRPr="0035187E" w:rsidRDefault="000B4BD4" w:rsidP="0035187E">
            <w:pPr>
              <w:jc w:val="both"/>
              <w:rPr>
                <w:rFonts w:ascii="Times New Roman" w:eastAsia="Calibri" w:hAnsi="Times New Roman" w:cs="Times New Roman"/>
                <w:bCs/>
                <w:sz w:val="20"/>
                <w:szCs w:val="20"/>
              </w:rPr>
            </w:pPr>
            <w:r w:rsidRPr="0035187E">
              <w:rPr>
                <w:rFonts w:ascii="Times New Roman" w:eastAsia="Calibri" w:hAnsi="Times New Roman" w:cs="Times New Roman"/>
                <w:bCs/>
                <w:sz w:val="20"/>
                <w:szCs w:val="20"/>
              </w:rPr>
              <w:lastRenderedPageBreak/>
              <w:t xml:space="preserve">Řada firem poskytuje zaměstnancům ve formě benefitu preventivní služby psychologické či psychoterapeutické formy, které jsou poskytovány odborníky bez plnohodnotného lékařského vzdělání. Vzhledem k obecnému nedostatku klinických psychologů či psychoterapeutů jsou však tyto služby velmi přínosné a domníváme se, že by měly být daňově osvobozeny – byť ne nutně v rámci tzv. zdravotních benefitů, ale například v kategorii volnočasových benefitů. </w:t>
            </w:r>
          </w:p>
          <w:p w14:paraId="77FF9A57" w14:textId="3A71BB34" w:rsidR="000B4BD4" w:rsidRPr="0035187E" w:rsidRDefault="000B4BD4" w:rsidP="0035187E">
            <w:pPr>
              <w:jc w:val="both"/>
              <w:rPr>
                <w:rFonts w:ascii="Times New Roman" w:hAnsi="Times New Roman" w:cs="Times New Roman"/>
                <w:sz w:val="20"/>
                <w:szCs w:val="20"/>
              </w:rPr>
            </w:pPr>
            <w:r w:rsidRPr="0035187E">
              <w:rPr>
                <w:rFonts w:ascii="Times New Roman" w:eastAsia="Calibri" w:hAnsi="Times New Roman" w:cs="Times New Roman"/>
                <w:b/>
                <w:sz w:val="20"/>
                <w:szCs w:val="20"/>
              </w:rPr>
              <w:t xml:space="preserve">Tato připomínka je zásadní. </w:t>
            </w:r>
          </w:p>
        </w:tc>
        <w:tc>
          <w:tcPr>
            <w:tcW w:w="1453" w:type="pct"/>
            <w:tcBorders>
              <w:top w:val="single" w:sz="4" w:space="0" w:color="auto"/>
              <w:left w:val="single" w:sz="4" w:space="0" w:color="auto"/>
              <w:right w:val="single" w:sz="4" w:space="0" w:color="auto"/>
            </w:tcBorders>
            <w:shd w:val="clear" w:color="auto" w:fill="auto"/>
          </w:tcPr>
          <w:p w14:paraId="5450FBC4" w14:textId="06CCF9E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b/>
                <w:sz w:val="20"/>
                <w:szCs w:val="20"/>
              </w:rPr>
              <w:lastRenderedPageBreak/>
              <w:t>Vysvětleno.</w:t>
            </w:r>
          </w:p>
          <w:p w14:paraId="7EAE2BF3" w14:textId="3B996538"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V současné právní úpravě § 6 odst. 9 písm. d) zákona o daních z příjmů jsou zdravotní benefity vymezeny jako nepeněžní plnění poskytovaná zaměstnavatelem prostřednictvím zdravotnických zařízení nebo na základě lékařského předpisu. Psychologické či psycho</w:t>
            </w:r>
            <w:r w:rsidRPr="0035187E">
              <w:rPr>
                <w:rFonts w:ascii="Times New Roman" w:hAnsi="Times New Roman" w:cs="Times New Roman"/>
                <w:sz w:val="20"/>
                <w:szCs w:val="20"/>
              </w:rPr>
              <w:lastRenderedPageBreak/>
              <w:t>terapeutické služby poskytované osobami bez plnohodnotného lékařského vzdělání tímto vymezením pravděpodobně nespadají do kategorie zdravotních benefitů a nelze je automaticky považovat za daňově osvobozené.</w:t>
            </w:r>
          </w:p>
          <w:p w14:paraId="746A18B3" w14:textId="0B5E4C14"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Zařazení těchto služeb mezi daňově zvýhodněné benefity by vyžadovalo zásadní změnu legislativy, včetně explicitního vymezení kvalifikace poskytovatelů a rozsahu poskytovaných služeb. Zavedení takového opatření by přitom mohlo vytvářet značné právní nejistoty a riziko nejednotného výkladu, neboť kvalifikační standardy pro psychoterapeutické a poradenské služby jsou v praxi různorodé. Rovněž by se zvýšila administrativní náročnost pro zaměstnavatele i správce daně, neboť by bylo nutné průběžně ověřovat oprávněnost poskytovatelů a rozsah poskytnutých služeb, aby nedošlo k zneužití daňového zvýhodnění.</w:t>
            </w:r>
          </w:p>
          <w:p w14:paraId="571F4D71"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Z těchto důvodů se stávající koncepci zachovává a neposkytuje se daňové zvýhodnění psychologických či psychoterapeutických služeb osob bez lékařské kvalifikace.</w:t>
            </w:r>
          </w:p>
          <w:p w14:paraId="2C2A59A7" w14:textId="77777777" w:rsidR="00F175F2" w:rsidRPr="0035187E" w:rsidRDefault="00F175F2" w:rsidP="0035187E">
            <w:pPr>
              <w:jc w:val="both"/>
              <w:rPr>
                <w:rFonts w:ascii="Times New Roman" w:hAnsi="Times New Roman" w:cs="Times New Roman"/>
                <w:sz w:val="20"/>
                <w:szCs w:val="20"/>
              </w:rPr>
            </w:pPr>
          </w:p>
          <w:p w14:paraId="4A4886CA" w14:textId="77777777" w:rsidR="00F175F2" w:rsidRPr="0035187E" w:rsidRDefault="00F175F2"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Vyjádření připomínkového místa: Péče o psychické zdraví je v současné době významným celospolečenským tématem a na tuto oblast jsou zaměřeny i mnohé programy ze strany státu (mj. příspěvky zdravotních pojišťoven). Zároveň je vzhledem k výraznému nedostatku klinických psychologů či psychoterapeutů služba odborníků bez plnohodnotného lékařského vzdělání velmi vítaná a přínosná. Domníváme se, že legislativa a praxe by měla více zohledňovat aktuální realitu. Nad rámec lze uvést, že péče o psychické zdraví nemusí být nutně zařazena pod tzv. zdravotními zaměstnaneckými benefity.</w:t>
            </w:r>
          </w:p>
          <w:p w14:paraId="5654A283" w14:textId="77777777" w:rsidR="003A1EB1" w:rsidRPr="0035187E" w:rsidRDefault="003A1EB1" w:rsidP="0035187E">
            <w:pPr>
              <w:jc w:val="both"/>
              <w:rPr>
                <w:rFonts w:ascii="Times New Roman" w:hAnsi="Times New Roman" w:cs="Times New Roman"/>
                <w:i/>
                <w:iCs/>
                <w:sz w:val="20"/>
                <w:szCs w:val="20"/>
              </w:rPr>
            </w:pPr>
          </w:p>
          <w:p w14:paraId="23D0FA76" w14:textId="57636B0E" w:rsidR="003A1EB1" w:rsidRPr="0035187E" w:rsidRDefault="003A1EB1"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Vyjádření připomínkového místa po jednání dne 8.</w:t>
            </w:r>
            <w:r w:rsidR="00BE5C21" w:rsidRPr="0035187E">
              <w:rPr>
                <w:rFonts w:ascii="Times New Roman" w:hAnsi="Times New Roman" w:cs="Times New Roman"/>
                <w:i/>
                <w:iCs/>
                <w:sz w:val="20"/>
                <w:szCs w:val="20"/>
              </w:rPr>
              <w:t> </w:t>
            </w:r>
            <w:r w:rsidRPr="0035187E">
              <w:rPr>
                <w:rFonts w:ascii="Times New Roman" w:hAnsi="Times New Roman" w:cs="Times New Roman"/>
                <w:i/>
                <w:iCs/>
                <w:sz w:val="20"/>
                <w:szCs w:val="20"/>
              </w:rPr>
              <w:t>dubna 2026: souhlasí s vypořádáním, pokud bude připomínka brána jako podnět k dalšímu řešení této otázky v budoucnu. </w:t>
            </w:r>
          </w:p>
        </w:tc>
      </w:tr>
      <w:tr w:rsidR="0035187E" w:rsidRPr="0035187E" w14:paraId="796E4E2B"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852833D" w14:textId="63B8970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74.</w:t>
            </w:r>
          </w:p>
        </w:tc>
        <w:tc>
          <w:tcPr>
            <w:tcW w:w="583" w:type="pct"/>
            <w:tcBorders>
              <w:top w:val="single" w:sz="4" w:space="0" w:color="auto"/>
              <w:left w:val="single" w:sz="4" w:space="0" w:color="auto"/>
              <w:right w:val="single" w:sz="4" w:space="0" w:color="auto"/>
            </w:tcBorders>
            <w:shd w:val="clear" w:color="auto" w:fill="auto"/>
          </w:tcPr>
          <w:p w14:paraId="4081A4E2" w14:textId="3B85C3A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Svaz průmyslu a dopravy České republiky</w:t>
            </w:r>
          </w:p>
        </w:tc>
        <w:tc>
          <w:tcPr>
            <w:tcW w:w="168" w:type="pct"/>
            <w:tcBorders>
              <w:top w:val="single" w:sz="4" w:space="0" w:color="auto"/>
              <w:left w:val="single" w:sz="4" w:space="0" w:color="auto"/>
              <w:right w:val="single" w:sz="4" w:space="0" w:color="auto"/>
            </w:tcBorders>
            <w:shd w:val="clear" w:color="auto" w:fill="auto"/>
          </w:tcPr>
          <w:p w14:paraId="489F5741" w14:textId="50700EE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21.</w:t>
            </w:r>
          </w:p>
        </w:tc>
        <w:tc>
          <w:tcPr>
            <w:tcW w:w="169" w:type="pct"/>
            <w:tcBorders>
              <w:top w:val="single" w:sz="4" w:space="0" w:color="auto"/>
              <w:left w:val="single" w:sz="4" w:space="0" w:color="auto"/>
              <w:right w:val="single" w:sz="4" w:space="0" w:color="auto"/>
            </w:tcBorders>
            <w:shd w:val="clear" w:color="auto" w:fill="auto"/>
          </w:tcPr>
          <w:p w14:paraId="23E33AB2" w14:textId="6110F79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61AB254" w14:textId="77777777" w:rsidR="000B4BD4" w:rsidRPr="0035187E" w:rsidRDefault="000B4BD4" w:rsidP="0035187E">
            <w:pPr>
              <w:numPr>
                <w:ilvl w:val="0"/>
                <w:numId w:val="59"/>
              </w:numPr>
              <w:ind w:left="0" w:firstLine="0"/>
              <w:contextualSpacing/>
              <w:jc w:val="both"/>
              <w:rPr>
                <w:rFonts w:ascii="Times New Roman" w:eastAsia="Calibri" w:hAnsi="Times New Roman" w:cs="Times New Roman"/>
                <w:b/>
                <w:sz w:val="20"/>
                <w:szCs w:val="20"/>
                <w:lang w:eastAsia="en-US"/>
              </w:rPr>
            </w:pPr>
            <w:r w:rsidRPr="0035187E">
              <w:rPr>
                <w:rFonts w:ascii="Times New Roman" w:eastAsia="Calibri" w:hAnsi="Times New Roman" w:cs="Times New Roman"/>
                <w:b/>
                <w:sz w:val="20"/>
                <w:szCs w:val="20"/>
                <w:lang w:eastAsia="en-US"/>
              </w:rPr>
              <w:t>K § 6 odst. 9 písm. d) č. 2 novely zákona o dani z příjmů</w:t>
            </w:r>
          </w:p>
          <w:p w14:paraId="0938163D" w14:textId="77777777" w:rsidR="000B4BD4" w:rsidRPr="0035187E" w:rsidRDefault="000B4BD4" w:rsidP="0035187E">
            <w:pPr>
              <w:jc w:val="both"/>
              <w:rPr>
                <w:rFonts w:ascii="Times New Roman" w:eastAsia="Calibri" w:hAnsi="Times New Roman" w:cs="Times New Roman"/>
                <w:bCs/>
                <w:sz w:val="20"/>
                <w:szCs w:val="20"/>
                <w:lang w:eastAsia="en-US"/>
              </w:rPr>
            </w:pPr>
            <w:r w:rsidRPr="0035187E">
              <w:rPr>
                <w:rFonts w:ascii="Times New Roman" w:eastAsia="Calibri" w:hAnsi="Times New Roman" w:cs="Times New Roman"/>
                <w:bCs/>
                <w:sz w:val="20"/>
                <w:szCs w:val="20"/>
                <w:lang w:eastAsia="en-US"/>
              </w:rPr>
              <w:t xml:space="preserve">Navrhujeme ponechat poskytování rekreace a zájezdů v kategorii benefitů dle § 6 odst. 9 písm. d) č. 2 – tj. benefitů nově daňově osvobozených na straně zaměstnance bez limitu. </w:t>
            </w:r>
          </w:p>
          <w:p w14:paraId="64C3091C" w14:textId="77777777" w:rsidR="000B4BD4" w:rsidRPr="0035187E" w:rsidRDefault="000B4BD4" w:rsidP="0035187E">
            <w:pPr>
              <w:jc w:val="both"/>
              <w:rPr>
                <w:rFonts w:ascii="Times New Roman" w:eastAsia="Calibri" w:hAnsi="Times New Roman" w:cs="Times New Roman"/>
                <w:b/>
                <w:sz w:val="20"/>
                <w:szCs w:val="20"/>
                <w:lang w:eastAsia="en-US"/>
              </w:rPr>
            </w:pPr>
          </w:p>
          <w:p w14:paraId="47B9CDD8" w14:textId="69A11C2E" w:rsidR="000B4BD4" w:rsidRPr="0035187E" w:rsidRDefault="000B4BD4" w:rsidP="0035187E">
            <w:pPr>
              <w:jc w:val="both"/>
              <w:rPr>
                <w:rFonts w:ascii="Times New Roman" w:eastAsia="Calibri" w:hAnsi="Times New Roman" w:cs="Times New Roman"/>
                <w:b/>
                <w:sz w:val="20"/>
                <w:szCs w:val="20"/>
                <w:lang w:eastAsia="en-US"/>
              </w:rPr>
            </w:pPr>
            <w:r w:rsidRPr="0035187E">
              <w:rPr>
                <w:rFonts w:ascii="Times New Roman" w:eastAsia="Calibri" w:hAnsi="Times New Roman" w:cs="Times New Roman"/>
                <w:b/>
                <w:sz w:val="20"/>
                <w:szCs w:val="20"/>
                <w:lang w:eastAsia="en-US"/>
              </w:rPr>
              <w:lastRenderedPageBreak/>
              <w:t>Odůvodnění:</w:t>
            </w:r>
          </w:p>
          <w:p w14:paraId="3E1AAD56"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V programovém prohlášení vlády je uvedeno „</w:t>
            </w:r>
            <w:r w:rsidRPr="0035187E">
              <w:rPr>
                <w:rFonts w:ascii="Times New Roman" w:eastAsia="Calibri" w:hAnsi="Times New Roman" w:cs="Times New Roman"/>
                <w:i/>
                <w:iCs/>
                <w:sz w:val="20"/>
                <w:szCs w:val="20"/>
                <w:lang w:eastAsia="en-US"/>
              </w:rPr>
              <w:t xml:space="preserve">Zaměstnancům zrušíme </w:t>
            </w:r>
            <w:proofErr w:type="spellStart"/>
            <w:r w:rsidRPr="0035187E">
              <w:rPr>
                <w:rFonts w:ascii="Times New Roman" w:eastAsia="Calibri" w:hAnsi="Times New Roman" w:cs="Times New Roman"/>
                <w:i/>
                <w:iCs/>
                <w:sz w:val="20"/>
                <w:szCs w:val="20"/>
                <w:lang w:eastAsia="en-US"/>
              </w:rPr>
              <w:t>zastropování</w:t>
            </w:r>
            <w:proofErr w:type="spellEnd"/>
            <w:r w:rsidRPr="0035187E">
              <w:rPr>
                <w:rFonts w:ascii="Times New Roman" w:eastAsia="Calibri" w:hAnsi="Times New Roman" w:cs="Times New Roman"/>
                <w:i/>
                <w:iCs/>
                <w:sz w:val="20"/>
                <w:szCs w:val="20"/>
                <w:lang w:eastAsia="en-US"/>
              </w:rPr>
              <w:t xml:space="preserve"> jejich volnočasových benefitů</w:t>
            </w:r>
            <w:r w:rsidRPr="0035187E">
              <w:rPr>
                <w:rFonts w:ascii="Times New Roman" w:eastAsia="Calibri" w:hAnsi="Times New Roman" w:cs="Times New Roman"/>
                <w:sz w:val="20"/>
                <w:szCs w:val="20"/>
                <w:lang w:eastAsia="en-US"/>
              </w:rPr>
              <w:t xml:space="preserve">“, které vnímáme jakožto snahu o zjednodušení a snížení zbytečné administrativní zátěže v rámci zaměstnaneckých benefitů, neboť dosavadní praxe je výkladově složitá a nepříliš přehledná. Z tohoto titulu by dávalo větší smysl odstranit celkové </w:t>
            </w:r>
            <w:proofErr w:type="spellStart"/>
            <w:r w:rsidRPr="0035187E">
              <w:rPr>
                <w:rFonts w:ascii="Times New Roman" w:eastAsia="Calibri" w:hAnsi="Times New Roman" w:cs="Times New Roman"/>
                <w:sz w:val="20"/>
                <w:szCs w:val="20"/>
                <w:lang w:eastAsia="en-US"/>
              </w:rPr>
              <w:t>zastropování</w:t>
            </w:r>
            <w:proofErr w:type="spellEnd"/>
            <w:r w:rsidRPr="0035187E">
              <w:rPr>
                <w:rFonts w:ascii="Times New Roman" w:eastAsia="Calibri" w:hAnsi="Times New Roman" w:cs="Times New Roman"/>
                <w:sz w:val="20"/>
                <w:szCs w:val="20"/>
                <w:lang w:eastAsia="en-US"/>
              </w:rPr>
              <w:t xml:space="preserve"> jednotlivých druhů zaměstnaneckých benefitů – a nevytvářet nový systém se stejnou mírou složitosti. Jak již bylo uvedeno v obecné připomínce, dopady </w:t>
            </w:r>
            <w:proofErr w:type="spellStart"/>
            <w:r w:rsidRPr="0035187E">
              <w:rPr>
                <w:rFonts w:ascii="Times New Roman" w:eastAsia="Calibri" w:hAnsi="Times New Roman" w:cs="Times New Roman"/>
                <w:sz w:val="20"/>
                <w:szCs w:val="20"/>
                <w:lang w:eastAsia="en-US"/>
              </w:rPr>
              <w:t>zastropování</w:t>
            </w:r>
            <w:proofErr w:type="spellEnd"/>
            <w:r w:rsidRPr="0035187E">
              <w:rPr>
                <w:rFonts w:ascii="Times New Roman" w:eastAsia="Calibri" w:hAnsi="Times New Roman" w:cs="Times New Roman"/>
                <w:sz w:val="20"/>
                <w:szCs w:val="20"/>
                <w:lang w:eastAsia="en-US"/>
              </w:rPr>
              <w:t xml:space="preserve"> daňového osvobození na státní rozpočet jsou v praxi minimální, ale pro zaměstnance často představují zbytečné komplikace. </w:t>
            </w:r>
          </w:p>
          <w:p w14:paraId="5F4F8F96" w14:textId="1122A9BF" w:rsidR="000B4BD4" w:rsidRPr="0035187E" w:rsidRDefault="000B4BD4" w:rsidP="0035187E">
            <w:pPr>
              <w:jc w:val="both"/>
              <w:rPr>
                <w:rFonts w:ascii="Times New Roman" w:hAnsi="Times New Roman" w:cs="Times New Roman"/>
                <w:sz w:val="20"/>
                <w:szCs w:val="20"/>
              </w:rPr>
            </w:pPr>
            <w:r w:rsidRPr="0035187E">
              <w:rPr>
                <w:rFonts w:ascii="Times New Roman" w:eastAsia="Calibri" w:hAnsi="Times New Roman" w:cs="Times New Roman"/>
                <w:b/>
                <w:sz w:val="20"/>
                <w:szCs w:val="20"/>
              </w:rPr>
              <w:t>Tato připomínka je zásadní.</w:t>
            </w:r>
          </w:p>
        </w:tc>
        <w:tc>
          <w:tcPr>
            <w:tcW w:w="1453" w:type="pct"/>
            <w:tcBorders>
              <w:top w:val="single" w:sz="4" w:space="0" w:color="auto"/>
              <w:left w:val="single" w:sz="4" w:space="0" w:color="auto"/>
              <w:right w:val="single" w:sz="4" w:space="0" w:color="auto"/>
            </w:tcBorders>
            <w:shd w:val="clear" w:color="auto" w:fill="auto"/>
          </w:tcPr>
          <w:p w14:paraId="18838298"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Nevyhověno.</w:t>
            </w:r>
          </w:p>
          <w:p w14:paraId="0FDA9CE8" w14:textId="0C060A07" w:rsidR="000B4BD4" w:rsidRPr="0035187E" w:rsidRDefault="000B4BD4" w:rsidP="0035187E">
            <w:pPr>
              <w:contextualSpacing/>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Poskytnutí rekreace a zájezdu bude ponecháno mezi volnočasovými benefity v § 6 odst. 9 písm. d) zákona o daních z příjmů.</w:t>
            </w:r>
          </w:p>
          <w:p w14:paraId="459FFB98" w14:textId="3A826376" w:rsidR="000B4BD4" w:rsidRPr="0035187E" w:rsidRDefault="000B4BD4" w:rsidP="0035187E">
            <w:pPr>
              <w:jc w:val="both"/>
              <w:rPr>
                <w:rFonts w:ascii="Times New Roman" w:hAnsi="Times New Roman" w:cs="Times New Roman"/>
                <w:iCs/>
                <w:sz w:val="20"/>
                <w:szCs w:val="20"/>
              </w:rPr>
            </w:pPr>
            <w:r w:rsidRPr="0035187E">
              <w:rPr>
                <w:rFonts w:ascii="Times New Roman" w:hAnsi="Times New Roman" w:cs="Times New Roman"/>
                <w:sz w:val="20"/>
                <w:szCs w:val="20"/>
              </w:rPr>
              <w:lastRenderedPageBreak/>
              <w:t>Návrh zákona o evidenci tržeb</w:t>
            </w:r>
            <w:r w:rsidRPr="0035187E">
              <w:rPr>
                <w:rFonts w:ascii="Times New Roman" w:hAnsi="Times New Roman" w:cs="Times New Roman"/>
                <w:b/>
                <w:bCs/>
                <w:sz w:val="20"/>
                <w:szCs w:val="20"/>
              </w:rPr>
              <w:t xml:space="preserve"> </w:t>
            </w:r>
            <w:r w:rsidRPr="0035187E">
              <w:rPr>
                <w:rFonts w:ascii="Times New Roman" w:hAnsi="Times New Roman" w:cs="Times New Roman"/>
                <w:sz w:val="20"/>
                <w:szCs w:val="20"/>
              </w:rPr>
              <w:t xml:space="preserve">počítá se zrušením stropu volnočasových benefitů zaměstnanců tak, jak se vláda zavázala prostřednictvím svého programového prohlášení. </w:t>
            </w:r>
            <w:r w:rsidRPr="0035187E">
              <w:rPr>
                <w:rFonts w:ascii="Times New Roman" w:hAnsi="Times New Roman" w:cs="Times New Roman"/>
                <w:iCs/>
                <w:sz w:val="20"/>
                <w:szCs w:val="20"/>
              </w:rPr>
              <w:t xml:space="preserve">Celá konstrukce výše cit. ustanovení dává poplatníků rozšířené možnosti využití daňových benefitů. </w:t>
            </w:r>
            <w:proofErr w:type="spellStart"/>
            <w:r w:rsidRPr="0035187E">
              <w:rPr>
                <w:rFonts w:ascii="Times New Roman" w:hAnsi="Times New Roman" w:cs="Times New Roman"/>
                <w:iCs/>
                <w:sz w:val="20"/>
                <w:szCs w:val="20"/>
              </w:rPr>
              <w:t>Zastropování</w:t>
            </w:r>
            <w:proofErr w:type="spellEnd"/>
            <w:r w:rsidRPr="0035187E">
              <w:rPr>
                <w:rFonts w:ascii="Times New Roman" w:hAnsi="Times New Roman" w:cs="Times New Roman"/>
                <w:iCs/>
                <w:sz w:val="20"/>
                <w:szCs w:val="20"/>
              </w:rPr>
              <w:t xml:space="preserve"> daňového osvobození nepeněžního plnění na rekreaci a zájezdy omezuje dopady na veřejné rozpočty a brání nepřímému zvýhodňování ekonomicky zdatnějších zaměstnavatelů. Současně zajišťuje, že daňové zvýhodnění plní svůj sociální účel podpory běžné rekreace a regenerace pracovní síly, nikoli financování nadstandardních forem dovolené. </w:t>
            </w:r>
          </w:p>
          <w:p w14:paraId="6BAAD557" w14:textId="77777777" w:rsidR="000B4BD4" w:rsidRPr="0035187E" w:rsidRDefault="000B4BD4"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 xml:space="preserve">Návrh vychází z legislativní úpravy účinné do konce roku 2023, podle níž byla hodnota nepeněžního plnění ve formě rekreace a zájezdu na straně zaměstnance osvobozena od daně až do výše 20 000 Kč za zdaňovací období. Navrhovaná úprava proto nepřináší novou administrativní zátěž ani nevyvolává interpretační nejasnosti. </w:t>
            </w:r>
          </w:p>
          <w:p w14:paraId="62EF293D" w14:textId="77777777" w:rsidR="00F175F2" w:rsidRPr="0035187E" w:rsidRDefault="00F175F2" w:rsidP="0035187E">
            <w:pPr>
              <w:jc w:val="both"/>
              <w:rPr>
                <w:rFonts w:ascii="Times New Roman" w:hAnsi="Times New Roman" w:cs="Times New Roman"/>
                <w:iCs/>
                <w:sz w:val="20"/>
                <w:szCs w:val="20"/>
              </w:rPr>
            </w:pPr>
          </w:p>
          <w:p w14:paraId="2ED72D49" w14:textId="77777777" w:rsidR="00F175F2" w:rsidRPr="0035187E" w:rsidRDefault="00F175F2" w:rsidP="0035187E">
            <w:pPr>
              <w:jc w:val="both"/>
              <w:rPr>
                <w:rFonts w:ascii="Times New Roman" w:hAnsi="Times New Roman" w:cs="Times New Roman"/>
                <w:i/>
                <w:sz w:val="20"/>
                <w:szCs w:val="20"/>
              </w:rPr>
            </w:pPr>
            <w:r w:rsidRPr="0035187E">
              <w:rPr>
                <w:rFonts w:ascii="Times New Roman" w:hAnsi="Times New Roman" w:cs="Times New Roman"/>
                <w:i/>
                <w:sz w:val="20"/>
                <w:szCs w:val="20"/>
              </w:rPr>
              <w:t xml:space="preserve">Vyjádření připomínkového místa: Na připomínce trváme. Zákonodárce de facto navrhuje vznik dalšího limitu, což je v rozporu s programovým prohlášením vlády, které hovoří o zrušení </w:t>
            </w:r>
            <w:proofErr w:type="spellStart"/>
            <w:r w:rsidRPr="0035187E">
              <w:rPr>
                <w:rFonts w:ascii="Times New Roman" w:hAnsi="Times New Roman" w:cs="Times New Roman"/>
                <w:i/>
                <w:sz w:val="20"/>
                <w:szCs w:val="20"/>
              </w:rPr>
              <w:t>zastropování</w:t>
            </w:r>
            <w:proofErr w:type="spellEnd"/>
            <w:r w:rsidRPr="0035187E">
              <w:rPr>
                <w:rFonts w:ascii="Times New Roman" w:hAnsi="Times New Roman" w:cs="Times New Roman"/>
                <w:i/>
                <w:sz w:val="20"/>
                <w:szCs w:val="20"/>
              </w:rPr>
              <w:t xml:space="preserve"> volnočasových benefitů.</w:t>
            </w:r>
          </w:p>
          <w:p w14:paraId="5E8E0FE5" w14:textId="77777777" w:rsidR="00BE5C21" w:rsidRPr="0035187E" w:rsidRDefault="00BE5C21" w:rsidP="0035187E">
            <w:pPr>
              <w:jc w:val="both"/>
              <w:rPr>
                <w:rFonts w:ascii="Times New Roman" w:hAnsi="Times New Roman" w:cs="Times New Roman"/>
                <w:i/>
                <w:sz w:val="20"/>
                <w:szCs w:val="20"/>
              </w:rPr>
            </w:pPr>
          </w:p>
          <w:p w14:paraId="0A444DEE" w14:textId="2B7620DD" w:rsidR="00BE5C21" w:rsidRPr="0035187E" w:rsidRDefault="00BE5C21" w:rsidP="0035187E">
            <w:pPr>
              <w:jc w:val="both"/>
              <w:rPr>
                <w:rFonts w:ascii="Times New Roman" w:hAnsi="Times New Roman" w:cs="Times New Roman"/>
                <w:i/>
                <w:sz w:val="20"/>
                <w:szCs w:val="20"/>
              </w:rPr>
            </w:pPr>
            <w:r w:rsidRPr="0035187E">
              <w:rPr>
                <w:rFonts w:ascii="Times New Roman" w:hAnsi="Times New Roman" w:cs="Times New Roman"/>
                <w:i/>
                <w:iCs/>
                <w:sz w:val="20"/>
                <w:szCs w:val="20"/>
              </w:rPr>
              <w:t>Vyjádření připomínkového místa po jednání dne 8. dubna 2026: nesouhlasí s vypořádáním, ale nepůjde do rozporu. </w:t>
            </w:r>
          </w:p>
        </w:tc>
      </w:tr>
      <w:tr w:rsidR="0035187E" w:rsidRPr="0035187E" w14:paraId="3F0D99FF"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7B9B5FE" w14:textId="15B0942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74.</w:t>
            </w:r>
          </w:p>
        </w:tc>
        <w:tc>
          <w:tcPr>
            <w:tcW w:w="583" w:type="pct"/>
            <w:tcBorders>
              <w:top w:val="single" w:sz="4" w:space="0" w:color="auto"/>
              <w:left w:val="single" w:sz="4" w:space="0" w:color="auto"/>
              <w:right w:val="single" w:sz="4" w:space="0" w:color="auto"/>
            </w:tcBorders>
            <w:shd w:val="clear" w:color="auto" w:fill="auto"/>
          </w:tcPr>
          <w:p w14:paraId="4A879A2E" w14:textId="32312B0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Svaz průmyslu a dopravy České republiky</w:t>
            </w:r>
          </w:p>
        </w:tc>
        <w:tc>
          <w:tcPr>
            <w:tcW w:w="168" w:type="pct"/>
            <w:tcBorders>
              <w:top w:val="single" w:sz="4" w:space="0" w:color="auto"/>
              <w:left w:val="single" w:sz="4" w:space="0" w:color="auto"/>
              <w:right w:val="single" w:sz="4" w:space="0" w:color="auto"/>
            </w:tcBorders>
            <w:shd w:val="clear" w:color="auto" w:fill="auto"/>
          </w:tcPr>
          <w:p w14:paraId="4F32A66F" w14:textId="75F914B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22.</w:t>
            </w:r>
          </w:p>
        </w:tc>
        <w:tc>
          <w:tcPr>
            <w:tcW w:w="169" w:type="pct"/>
            <w:tcBorders>
              <w:top w:val="single" w:sz="4" w:space="0" w:color="auto"/>
              <w:left w:val="single" w:sz="4" w:space="0" w:color="auto"/>
              <w:right w:val="single" w:sz="4" w:space="0" w:color="auto"/>
            </w:tcBorders>
            <w:shd w:val="clear" w:color="auto" w:fill="auto"/>
          </w:tcPr>
          <w:p w14:paraId="6527D45A" w14:textId="62F645C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0FFA29D" w14:textId="77777777" w:rsidR="000B4BD4" w:rsidRPr="0035187E" w:rsidRDefault="000B4BD4" w:rsidP="0035187E">
            <w:pPr>
              <w:numPr>
                <w:ilvl w:val="0"/>
                <w:numId w:val="59"/>
              </w:numPr>
              <w:ind w:left="0" w:firstLine="0"/>
              <w:contextualSpacing/>
              <w:jc w:val="both"/>
              <w:rPr>
                <w:rFonts w:ascii="Times New Roman" w:eastAsia="Calibri" w:hAnsi="Times New Roman" w:cs="Times New Roman"/>
                <w:b/>
                <w:sz w:val="20"/>
                <w:szCs w:val="20"/>
                <w:lang w:eastAsia="en-US"/>
              </w:rPr>
            </w:pPr>
            <w:r w:rsidRPr="0035187E">
              <w:rPr>
                <w:rFonts w:ascii="Times New Roman" w:eastAsia="Calibri" w:hAnsi="Times New Roman" w:cs="Times New Roman"/>
                <w:b/>
                <w:sz w:val="20"/>
                <w:szCs w:val="20"/>
                <w:lang w:eastAsia="en-US"/>
              </w:rPr>
              <w:t>K § 6 odst. 9 písm. d) č. 2 novely zákona o dani z příjmů</w:t>
            </w:r>
          </w:p>
          <w:p w14:paraId="7A0E39F9"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Navrhujeme v novém znění § 6 odst. 4 písm. d) č. 2 vypustit větu „</w:t>
            </w:r>
            <w:r w:rsidRPr="0035187E">
              <w:rPr>
                <w:rFonts w:ascii="Times New Roman" w:eastAsia="Calibri" w:hAnsi="Times New Roman" w:cs="Times New Roman"/>
                <w:i/>
                <w:iCs/>
                <w:sz w:val="20"/>
                <w:szCs w:val="20"/>
                <w:lang w:eastAsia="en-US"/>
              </w:rPr>
              <w:t>je jejich poskytování zaměstnavateli obvyklé</w:t>
            </w:r>
            <w:r w:rsidRPr="0035187E">
              <w:rPr>
                <w:rFonts w:ascii="Times New Roman" w:eastAsia="Calibri" w:hAnsi="Times New Roman" w:cs="Times New Roman"/>
                <w:sz w:val="20"/>
                <w:szCs w:val="20"/>
                <w:lang w:eastAsia="en-US"/>
              </w:rPr>
              <w:t>“</w:t>
            </w:r>
          </w:p>
          <w:p w14:paraId="42228E79" w14:textId="77777777" w:rsidR="000B4BD4" w:rsidRPr="0035187E" w:rsidRDefault="000B4BD4" w:rsidP="0035187E">
            <w:pPr>
              <w:jc w:val="both"/>
              <w:rPr>
                <w:rFonts w:ascii="Times New Roman" w:eastAsia="Calibri" w:hAnsi="Times New Roman" w:cs="Times New Roman"/>
                <w:b/>
                <w:sz w:val="20"/>
                <w:szCs w:val="20"/>
                <w:lang w:eastAsia="en-US"/>
              </w:rPr>
            </w:pPr>
          </w:p>
          <w:p w14:paraId="0ED2F69A" w14:textId="1452A8CD"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b/>
                <w:sz w:val="20"/>
                <w:szCs w:val="20"/>
                <w:lang w:eastAsia="en-US"/>
              </w:rPr>
              <w:t>Odůvodnění:</w:t>
            </w:r>
            <w:r w:rsidRPr="0035187E">
              <w:rPr>
                <w:rFonts w:ascii="Times New Roman" w:eastAsia="Calibri" w:hAnsi="Times New Roman" w:cs="Times New Roman"/>
                <w:sz w:val="20"/>
                <w:szCs w:val="20"/>
                <w:lang w:eastAsia="en-US"/>
              </w:rPr>
              <w:t xml:space="preserve"> </w:t>
            </w:r>
          </w:p>
          <w:p w14:paraId="4E4B3036"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Navržené ustanovení může v praxi vzbuzovat komplikace a nejasnosti, co se rozumí obvyklou a přiměřenou kulturní, sportovní či společenskou akcí. Domníváme se, že záměrem předkladatele bylo zjednodušit poskytování zaměstnaneckých benefitů. V rámci benefitů bez limitu lze již nyní nalézt dostatečné pojistky proti případnému zneužití, například v nově přidaném kritériu přiměřenosti, které je v daňově praxi poměrně běžné. Kromě něj navíc existuje několik dalších možností, které má finanční správa již nyní k dispozici, např. institut zneužití práva.</w:t>
            </w:r>
          </w:p>
          <w:p w14:paraId="440A6D57" w14:textId="3DB3DBE5" w:rsidR="000B4BD4" w:rsidRPr="0035187E" w:rsidRDefault="000B4BD4" w:rsidP="0035187E">
            <w:pPr>
              <w:jc w:val="both"/>
              <w:rPr>
                <w:rFonts w:ascii="Times New Roman" w:hAnsi="Times New Roman" w:cs="Times New Roman"/>
                <w:sz w:val="20"/>
                <w:szCs w:val="20"/>
              </w:rPr>
            </w:pPr>
            <w:r w:rsidRPr="0035187E">
              <w:rPr>
                <w:rFonts w:ascii="Times New Roman" w:eastAsia="Calibri" w:hAnsi="Times New Roman" w:cs="Times New Roman"/>
                <w:b/>
                <w:sz w:val="20"/>
                <w:szCs w:val="20"/>
              </w:rPr>
              <w:t>Tato připomínka je zásadní.</w:t>
            </w:r>
          </w:p>
        </w:tc>
        <w:tc>
          <w:tcPr>
            <w:tcW w:w="1453" w:type="pct"/>
            <w:tcBorders>
              <w:top w:val="single" w:sz="4" w:space="0" w:color="auto"/>
              <w:left w:val="single" w:sz="4" w:space="0" w:color="auto"/>
              <w:right w:val="single" w:sz="4" w:space="0" w:color="auto"/>
            </w:tcBorders>
            <w:shd w:val="clear" w:color="auto" w:fill="auto"/>
          </w:tcPr>
          <w:p w14:paraId="68CAC4A9"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b/>
                <w:sz w:val="20"/>
                <w:szCs w:val="20"/>
              </w:rPr>
              <w:t>Nevyhověno.</w:t>
            </w:r>
          </w:p>
          <w:p w14:paraId="5A029B87" w14:textId="5730918E"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Kritérium „obvyklosti“ vychází z dosavadního § 6 odst. 9 písm. g) zákona o daních z příjmů, který upravuje daňové osvobození nepeněžních příjmů plynoucích z účasti zaměstnance nebo jeho rodinného příslušníka na společenské akci pořádané zaměstnavatelem pro omezený okruh účastníků, včetně akcí s kulturním či sportovním prvkem. V návaznosti na zrušení stropu v § 6 odst. 9 písm. d) bodu 2 zákona o daních z příjmů budou tyto akce nově podřazeny pod uvedené ustanovení.</w:t>
            </w:r>
          </w:p>
          <w:p w14:paraId="1C2A0C56" w14:textId="7DE86326"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Výklad jednotlivých kritérií uvedených v § 6 odst. 9 písm. g) je rozpracován v metodické informaci GFŘ </w:t>
            </w:r>
            <w:r w:rsidRPr="0035187E">
              <w:rPr>
                <w:rFonts w:ascii="Times New Roman" w:hAnsi="Times New Roman" w:cs="Times New Roman"/>
                <w:sz w:val="20"/>
                <w:szCs w:val="20"/>
              </w:rPr>
              <w:lastRenderedPageBreak/>
              <w:t>k zaměstnaneckým benefitům z roku 2024. Obvyklost pořádání akce se posuzuje s ohledem na běžné standardy v podnikatelské praxi, zejména ve vztahu k okruhu účastníků (např. zaměstnanci, zaměstnanci včetně rodinných příslušníků či obchodní partneři), charakteru akce (např. sportovní den pro děti, zaměstnanecké sportovní hry) a její pravidelnosti.</w:t>
            </w:r>
          </w:p>
          <w:p w14:paraId="6C4A93BD"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Navrhuje se toto kritérium výslovně zakotvit nejen pro akce pořádané přímo zaměstnavatelem, ale i pro sportovní a kulturní akce zajišťované zaměstnavatelem prostřednictvím externích subjektů, například cestovních kanceláří. Takové upřesnění poskytne potřebnou legislativní oporu pro posuzování případů, které mohou spíše nasvědčovat zneužívání daňové podpory než skutečné snaze o podporu a stabilizaci pracovního prostředí.</w:t>
            </w:r>
          </w:p>
          <w:p w14:paraId="5DF55F15" w14:textId="77777777" w:rsidR="00F175F2" w:rsidRPr="0035187E" w:rsidRDefault="00F175F2" w:rsidP="0035187E">
            <w:pPr>
              <w:jc w:val="both"/>
              <w:rPr>
                <w:rFonts w:ascii="Times New Roman" w:hAnsi="Times New Roman" w:cs="Times New Roman"/>
                <w:sz w:val="20"/>
                <w:szCs w:val="20"/>
              </w:rPr>
            </w:pPr>
          </w:p>
          <w:p w14:paraId="73516B75" w14:textId="77777777" w:rsidR="00F175F2" w:rsidRPr="0035187E" w:rsidRDefault="00F175F2"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Vyjádření připomínkového místa: Vysvětlení MF nijak neřeší důvody připomínky, že zaměstnavatelé budou muset pokaždé vstupenky na sportovní utkání nebo kulturní akci na kritérium obvyklosti v daném místě a čase, což vytváří zbytečnou právní nejistotu. Připomínáme, že test přiměřenosti zůstává zachován, stejně jako obecná pravidla proti obcházení smyslu zákona, a tudíž se zavádění podmínky obvyklosti jeví jako nadbytečné.</w:t>
            </w:r>
          </w:p>
          <w:p w14:paraId="136C66C4" w14:textId="77777777" w:rsidR="00BE5C21" w:rsidRPr="0035187E" w:rsidRDefault="00BE5C21" w:rsidP="0035187E">
            <w:pPr>
              <w:jc w:val="both"/>
              <w:rPr>
                <w:rFonts w:ascii="Times New Roman" w:hAnsi="Times New Roman" w:cs="Times New Roman"/>
                <w:i/>
                <w:iCs/>
                <w:sz w:val="20"/>
                <w:szCs w:val="20"/>
              </w:rPr>
            </w:pPr>
          </w:p>
          <w:p w14:paraId="5F118AFB" w14:textId="29831E09" w:rsidR="00BE5C21" w:rsidRPr="0035187E" w:rsidRDefault="00BE5C21"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Vyjádření připomínkového místa po jednání dne 8. dubna 2026: nesouhlasí s vypořádáním, ale nepůjde do rozporu. </w:t>
            </w:r>
          </w:p>
        </w:tc>
      </w:tr>
      <w:tr w:rsidR="0035187E" w:rsidRPr="0035187E" w14:paraId="71DFFD13"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985331F" w14:textId="234CC3F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74.</w:t>
            </w:r>
          </w:p>
        </w:tc>
        <w:tc>
          <w:tcPr>
            <w:tcW w:w="583" w:type="pct"/>
            <w:tcBorders>
              <w:top w:val="single" w:sz="4" w:space="0" w:color="auto"/>
              <w:left w:val="single" w:sz="4" w:space="0" w:color="auto"/>
              <w:right w:val="single" w:sz="4" w:space="0" w:color="auto"/>
            </w:tcBorders>
            <w:shd w:val="clear" w:color="auto" w:fill="auto"/>
          </w:tcPr>
          <w:p w14:paraId="2606E210" w14:textId="5306064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Svaz průmyslu a dopravy České republiky</w:t>
            </w:r>
          </w:p>
        </w:tc>
        <w:tc>
          <w:tcPr>
            <w:tcW w:w="168" w:type="pct"/>
            <w:tcBorders>
              <w:top w:val="single" w:sz="4" w:space="0" w:color="auto"/>
              <w:left w:val="single" w:sz="4" w:space="0" w:color="auto"/>
              <w:right w:val="single" w:sz="4" w:space="0" w:color="auto"/>
            </w:tcBorders>
            <w:shd w:val="clear" w:color="auto" w:fill="auto"/>
          </w:tcPr>
          <w:p w14:paraId="711B4352" w14:textId="6F9C143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23.</w:t>
            </w:r>
          </w:p>
        </w:tc>
        <w:tc>
          <w:tcPr>
            <w:tcW w:w="169" w:type="pct"/>
            <w:tcBorders>
              <w:top w:val="single" w:sz="4" w:space="0" w:color="auto"/>
              <w:left w:val="single" w:sz="4" w:space="0" w:color="auto"/>
              <w:right w:val="single" w:sz="4" w:space="0" w:color="auto"/>
            </w:tcBorders>
            <w:shd w:val="clear" w:color="auto" w:fill="auto"/>
          </w:tcPr>
          <w:p w14:paraId="3DF293E1" w14:textId="1CDF9D7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3380D88" w14:textId="77777777" w:rsidR="000B4BD4" w:rsidRPr="0035187E" w:rsidRDefault="000B4BD4" w:rsidP="0035187E">
            <w:pPr>
              <w:numPr>
                <w:ilvl w:val="0"/>
                <w:numId w:val="59"/>
              </w:numPr>
              <w:ind w:left="0" w:firstLine="0"/>
              <w:contextualSpacing/>
              <w:jc w:val="both"/>
              <w:rPr>
                <w:rFonts w:ascii="Times New Roman" w:eastAsia="Calibri" w:hAnsi="Times New Roman" w:cs="Times New Roman"/>
                <w:b/>
                <w:bCs/>
                <w:sz w:val="20"/>
                <w:szCs w:val="20"/>
              </w:rPr>
            </w:pPr>
            <w:r w:rsidRPr="0035187E">
              <w:rPr>
                <w:rFonts w:ascii="Times New Roman" w:eastAsia="Calibri" w:hAnsi="Times New Roman" w:cs="Times New Roman"/>
                <w:b/>
                <w:bCs/>
                <w:sz w:val="20"/>
                <w:szCs w:val="20"/>
              </w:rPr>
              <w:t>K § 6 odst. 9 písm. m) novely zákona o dani z příjmů</w:t>
            </w:r>
          </w:p>
          <w:p w14:paraId="786BF2F8"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Navrhujeme zavést samostatné osvobození příspěvků na daňově podporované produkty na stáří, které jsou zaměstnavatelem poskytovány povinně ze zákona. </w:t>
            </w:r>
          </w:p>
          <w:p w14:paraId="71EA4116" w14:textId="77777777" w:rsidR="000B4BD4" w:rsidRPr="0035187E" w:rsidRDefault="000B4BD4" w:rsidP="0035187E">
            <w:pPr>
              <w:jc w:val="both"/>
              <w:rPr>
                <w:rFonts w:ascii="Times New Roman" w:eastAsia="Calibri" w:hAnsi="Times New Roman" w:cs="Times New Roman"/>
                <w:b/>
                <w:bCs/>
                <w:sz w:val="20"/>
                <w:szCs w:val="20"/>
                <w:lang w:eastAsia="en-US"/>
              </w:rPr>
            </w:pPr>
          </w:p>
          <w:p w14:paraId="605508C1" w14:textId="44E72103" w:rsidR="000B4BD4" w:rsidRPr="0035187E" w:rsidRDefault="000B4BD4" w:rsidP="0035187E">
            <w:pPr>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 xml:space="preserve">Odůvodnění: </w:t>
            </w:r>
          </w:p>
          <w:p w14:paraId="393DCD46" w14:textId="42CFD065"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Podle §6 odst. 9 písm. m) zákona o daních z příjmů je do úhrnné výše 50.000, - Kč osvobozen příjem zaměstnance   v podobě příspěvku uhrazeného zaměstnavatelem na daňově podporované produkty na stáří. Od roku 2026 má však zaměstnavatel nejen možnost přispívat dobrovolně, ale ve vybraných případech i povinnost přispívat povinně na penzijní připojištění ve výši 4 % z vyměřovacího základu zaměstnance na pojistné na sociální zabezpečení. Dobrovolné i povinné příspěvky mají nicméně společný limit pro osvobození příjmů zaměstnance. </w:t>
            </w:r>
          </w:p>
          <w:p w14:paraId="397A7FA5" w14:textId="77777777" w:rsidR="000B4BD4" w:rsidRPr="0035187E" w:rsidRDefault="000B4BD4" w:rsidP="0035187E">
            <w:pPr>
              <w:jc w:val="both"/>
              <w:rPr>
                <w:rFonts w:ascii="Times New Roman" w:eastAsia="Calibri" w:hAnsi="Times New Roman" w:cs="Times New Roman"/>
                <w:sz w:val="20"/>
                <w:szCs w:val="20"/>
                <w:lang w:eastAsia="en-US"/>
              </w:rPr>
            </w:pPr>
          </w:p>
          <w:p w14:paraId="12F8C542" w14:textId="2B7FA553"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lastRenderedPageBreak/>
              <w:t xml:space="preserve">V praxi může docházet k situacím, kdy povinné příspěvky v součtu s dobrovolnými přesáhnou hranici pro osvobození, část příspěvků je pak zdaněna a podléhá odvodům sociálního i zdravotního pojištění. V takovém případě dochází k distorznímu zdanění benefitů u zaměstnanců jednoho zaměstnavatele (zaměstnanci bez povinných příspěvků limit pro osvobození nepřesahují). </w:t>
            </w:r>
          </w:p>
          <w:p w14:paraId="5AF62676" w14:textId="77777777" w:rsidR="000B4BD4" w:rsidRPr="0035187E" w:rsidRDefault="000B4BD4" w:rsidP="0035187E">
            <w:pPr>
              <w:jc w:val="both"/>
              <w:rPr>
                <w:rFonts w:ascii="Times New Roman" w:eastAsia="Calibri" w:hAnsi="Times New Roman" w:cs="Times New Roman"/>
                <w:sz w:val="20"/>
                <w:szCs w:val="20"/>
                <w:lang w:eastAsia="en-US"/>
              </w:rPr>
            </w:pPr>
          </w:p>
          <w:p w14:paraId="6CB42BBF"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Rozumíme se, že důvodem pro zavedení povinného příspěvku na spoření na stáří byla podpora fyzicky náročných profesí a umožnění jejich dřívějšího odchodu do důchodu s přiměřeným finančním zabezpečením a nikoli jejich dodatečné daňové zatížení a distorzní zdanění. V takovém případě ale nedává smysl tyto povinné příspěvky zároveň zdaňovat. </w:t>
            </w:r>
          </w:p>
          <w:p w14:paraId="1E1FF894" w14:textId="4328C90C" w:rsidR="000B4BD4" w:rsidRPr="0035187E" w:rsidRDefault="000B4BD4" w:rsidP="0035187E">
            <w:pPr>
              <w:jc w:val="both"/>
              <w:rPr>
                <w:rFonts w:ascii="Times New Roman" w:hAnsi="Times New Roman" w:cs="Times New Roman"/>
                <w:sz w:val="20"/>
                <w:szCs w:val="20"/>
              </w:rPr>
            </w:pPr>
            <w:r w:rsidRPr="0035187E">
              <w:rPr>
                <w:rFonts w:ascii="Times New Roman" w:eastAsia="Calibri" w:hAnsi="Times New Roman" w:cs="Times New Roman"/>
                <w:b/>
                <w:bCs/>
                <w:sz w:val="20"/>
                <w:szCs w:val="20"/>
                <w:lang w:eastAsia="en-US"/>
              </w:rPr>
              <w:t xml:space="preserve">Tato připomínka je zásadní. </w:t>
            </w:r>
          </w:p>
        </w:tc>
        <w:tc>
          <w:tcPr>
            <w:tcW w:w="1453" w:type="pct"/>
            <w:tcBorders>
              <w:top w:val="single" w:sz="4" w:space="0" w:color="auto"/>
              <w:left w:val="single" w:sz="4" w:space="0" w:color="auto"/>
              <w:right w:val="single" w:sz="4" w:space="0" w:color="auto"/>
            </w:tcBorders>
            <w:shd w:val="clear" w:color="auto" w:fill="auto"/>
          </w:tcPr>
          <w:p w14:paraId="23CF5EE8" w14:textId="77777777"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Nevyhověno.</w:t>
            </w:r>
          </w:p>
          <w:p w14:paraId="6000E4DF" w14:textId="656D1B53"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Podnět přesahuje rámec navrhované úpravy zákona o evidenci tržeb.</w:t>
            </w:r>
          </w:p>
          <w:p w14:paraId="7EC1ED5D" w14:textId="25BE1B9E"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Současná úprava podle § 6 odst. 9 písm. m) zákona o daních z příjmů stanovuje jednotný limit pro daňové osvobození příspěvků zaměstnavatele na daňově podporované produkty spoření na stáří a daňově podporované pojištění dlouhodobé péče, a to bez ohledu na to, zda se jedná o příspěvek dobrovolný nebo povinný.</w:t>
            </w:r>
          </w:p>
          <w:p w14:paraId="774D33B1" w14:textId="0936356C"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Zavádění samostatného limitu pro povinné příspěvky by znamenalo zásadní změnu koncepce zaměstnanec</w:t>
            </w:r>
            <w:r w:rsidRPr="0035187E">
              <w:rPr>
                <w:rFonts w:ascii="Times New Roman" w:hAnsi="Times New Roman" w:cs="Times New Roman"/>
                <w:sz w:val="20"/>
                <w:szCs w:val="20"/>
              </w:rPr>
              <w:lastRenderedPageBreak/>
              <w:t>kých benefitů a narušilo by jednotný systém osvobození. Současný režim je konzistentní a umožňuje jednoduchou administraci jak pro zaměstnavatele, tak pro správce daně.</w:t>
            </w:r>
          </w:p>
          <w:p w14:paraId="0AB8813D" w14:textId="7FAC2C79"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Zároveň není žádoucí rozlišovat mezi povinnými a dobrovolnými příspěvky z hlediska daňového, protože oba typy příspěvků mají shodný účel, kterým je podpora spoření zaměstnanců na stáří, a jejich odlišné zdanění by mohlo vést k nespravedlivé diferenciaci mezi zaměstnanci a komplikovanější správě daní.</w:t>
            </w:r>
          </w:p>
          <w:p w14:paraId="4B901770" w14:textId="0B331FA9"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Nedochází tedy ke zdanění povinných příspěvků nad rámec limitu, současná úprava zajišťuje konzistentní a transparentní systém osvobození pro všechny zaměstnance bez zbytečné administrativní složitosti.</w:t>
            </w:r>
          </w:p>
        </w:tc>
      </w:tr>
      <w:tr w:rsidR="0035187E" w:rsidRPr="0035187E" w14:paraId="70AE94F0"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8FCB67E" w14:textId="292C038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74.</w:t>
            </w:r>
          </w:p>
        </w:tc>
        <w:tc>
          <w:tcPr>
            <w:tcW w:w="583" w:type="pct"/>
            <w:tcBorders>
              <w:top w:val="single" w:sz="4" w:space="0" w:color="auto"/>
              <w:left w:val="single" w:sz="4" w:space="0" w:color="auto"/>
              <w:right w:val="single" w:sz="4" w:space="0" w:color="auto"/>
            </w:tcBorders>
            <w:shd w:val="clear" w:color="auto" w:fill="auto"/>
          </w:tcPr>
          <w:p w14:paraId="51F1CB86" w14:textId="188FFFD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Svaz průmyslu a dopravy České republiky</w:t>
            </w:r>
          </w:p>
        </w:tc>
        <w:tc>
          <w:tcPr>
            <w:tcW w:w="168" w:type="pct"/>
            <w:tcBorders>
              <w:top w:val="single" w:sz="4" w:space="0" w:color="auto"/>
              <w:left w:val="single" w:sz="4" w:space="0" w:color="auto"/>
              <w:right w:val="single" w:sz="4" w:space="0" w:color="auto"/>
            </w:tcBorders>
            <w:shd w:val="clear" w:color="auto" w:fill="auto"/>
          </w:tcPr>
          <w:p w14:paraId="4419C605" w14:textId="51C1095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24.</w:t>
            </w:r>
          </w:p>
        </w:tc>
        <w:tc>
          <w:tcPr>
            <w:tcW w:w="169" w:type="pct"/>
            <w:tcBorders>
              <w:top w:val="single" w:sz="4" w:space="0" w:color="auto"/>
              <w:left w:val="single" w:sz="4" w:space="0" w:color="auto"/>
              <w:right w:val="single" w:sz="4" w:space="0" w:color="auto"/>
            </w:tcBorders>
            <w:shd w:val="clear" w:color="auto" w:fill="auto"/>
          </w:tcPr>
          <w:p w14:paraId="2BCE8EB3" w14:textId="49A7A9B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D6A15BA" w14:textId="77777777" w:rsidR="000B4BD4" w:rsidRPr="0035187E" w:rsidRDefault="000B4BD4" w:rsidP="0035187E">
            <w:pPr>
              <w:numPr>
                <w:ilvl w:val="0"/>
                <w:numId w:val="59"/>
              </w:numPr>
              <w:ind w:left="0" w:firstLine="0"/>
              <w:contextualSpacing/>
              <w:jc w:val="both"/>
              <w:rPr>
                <w:rFonts w:ascii="Times New Roman" w:eastAsia="Calibri" w:hAnsi="Times New Roman" w:cs="Times New Roman"/>
                <w:b/>
                <w:bCs/>
                <w:sz w:val="20"/>
                <w:szCs w:val="20"/>
                <w:lang w:eastAsia="en-US"/>
              </w:rPr>
            </w:pPr>
            <w:r w:rsidRPr="0035187E">
              <w:rPr>
                <w:rFonts w:ascii="Times New Roman" w:eastAsia="Aptos" w:hAnsi="Times New Roman" w:cs="Times New Roman"/>
                <w:b/>
                <w:bCs/>
                <w:sz w:val="20"/>
                <w:szCs w:val="20"/>
                <w:lang w:eastAsia="en-US"/>
              </w:rPr>
              <w:t>Přechodná ustanovení k novele zákona o dani z přidané hodnoty</w:t>
            </w:r>
          </w:p>
          <w:p w14:paraId="59D03911"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Z textu zákona je nejasné, jak se má přistupovat u vracení odpočtu na DPH u nezaplacených pohledávek po splatnosti dle § 74b v případě, kdy k 31.12.2026 bude pohledávka po splatnosti 4 měsíce. V ten okamžik podle starého znění není třeba vracet odpočet, ale od 1.1.2027 je to pohledávka, ze které se mělo již dávno vracet.</w:t>
            </w:r>
          </w:p>
          <w:p w14:paraId="242A195E"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Doporučujeme sepsat samostatné přechodné ustanovení, že nová lhůta 3 měsíců se vztahuje např. jen na pohledávky vzniklé po 1.1.2027.</w:t>
            </w:r>
          </w:p>
          <w:p w14:paraId="2E453D8C" w14:textId="61D51D0C" w:rsidR="000B4BD4" w:rsidRPr="0035187E" w:rsidRDefault="000B4BD4" w:rsidP="0035187E">
            <w:pPr>
              <w:jc w:val="both"/>
              <w:rPr>
                <w:rFonts w:ascii="Times New Roman" w:hAnsi="Times New Roman" w:cs="Times New Roman"/>
                <w:sz w:val="20"/>
                <w:szCs w:val="20"/>
              </w:rPr>
            </w:pPr>
            <w:r w:rsidRPr="0035187E">
              <w:rPr>
                <w:rFonts w:ascii="Times New Roman" w:eastAsia="Calibri" w:hAnsi="Times New Roman" w:cs="Times New Roman"/>
                <w:b/>
                <w:bCs/>
                <w:sz w:val="20"/>
                <w:szCs w:val="20"/>
                <w:lang w:eastAsia="en-US"/>
              </w:rPr>
              <w:t xml:space="preserve">Tato připomínka je zásadní. </w:t>
            </w:r>
          </w:p>
        </w:tc>
        <w:tc>
          <w:tcPr>
            <w:tcW w:w="1453" w:type="pct"/>
            <w:tcBorders>
              <w:top w:val="single" w:sz="4" w:space="0" w:color="auto"/>
              <w:left w:val="single" w:sz="4" w:space="0" w:color="auto"/>
              <w:right w:val="single" w:sz="4" w:space="0" w:color="auto"/>
            </w:tcBorders>
            <w:shd w:val="clear" w:color="auto" w:fill="auto"/>
          </w:tcPr>
          <w:p w14:paraId="4F8D276C"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Vysvětleno.</w:t>
            </w:r>
          </w:p>
          <w:p w14:paraId="293A8B7A"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Na tuto problematiku lze použít první přechodné ustanovení. V důvodové zprávě k prvnímu přechodnému ustanovení je explicitně uvedeno následující:</w:t>
            </w:r>
          </w:p>
          <w:p w14:paraId="46058F67" w14:textId="4D562958"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“Jinak řečeno, v případě zdanitelného plnění přijatého dlužníkem do 31. prosincem 2026 (přede dnem nabytí účinnosti tohoto zákona), se aplikuje stará úprava § 74b odst. 3 zákona o DPH, tedy lhůta 6 měsíců po splatnosti. A až na zdanitelná plnění přijatá dlužníkem od 1. ledna 2027 se aplikuje lhůta 3 měsíců po splatnosti.”.</w:t>
            </w:r>
          </w:p>
          <w:p w14:paraId="3156F981" w14:textId="5E5B323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sz w:val="20"/>
                <w:szCs w:val="20"/>
              </w:rPr>
              <w:t>Není tedy podstatné, jak dlouho po splatnosti je pohledávka do konce roku 2026, protože se na takovou pohledávku aplikuje úprava účinná do konce roku 2026. Klíčové pro použití příslušné úpravy je datum uskutečnění daného (neuhrazeného) plnění.</w:t>
            </w:r>
          </w:p>
        </w:tc>
      </w:tr>
      <w:tr w:rsidR="0035187E" w:rsidRPr="0035187E" w14:paraId="36BF2F99"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494BB89" w14:textId="67561AD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74.</w:t>
            </w:r>
          </w:p>
        </w:tc>
        <w:tc>
          <w:tcPr>
            <w:tcW w:w="583" w:type="pct"/>
            <w:tcBorders>
              <w:top w:val="single" w:sz="4" w:space="0" w:color="auto"/>
              <w:left w:val="single" w:sz="4" w:space="0" w:color="auto"/>
              <w:right w:val="single" w:sz="4" w:space="0" w:color="auto"/>
            </w:tcBorders>
            <w:shd w:val="clear" w:color="auto" w:fill="auto"/>
          </w:tcPr>
          <w:p w14:paraId="08EB7CD2" w14:textId="6D4FA39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Svaz průmyslu a dopravy České republiky</w:t>
            </w:r>
          </w:p>
        </w:tc>
        <w:tc>
          <w:tcPr>
            <w:tcW w:w="168" w:type="pct"/>
            <w:tcBorders>
              <w:top w:val="single" w:sz="4" w:space="0" w:color="auto"/>
              <w:left w:val="single" w:sz="4" w:space="0" w:color="auto"/>
              <w:right w:val="single" w:sz="4" w:space="0" w:color="auto"/>
            </w:tcBorders>
            <w:shd w:val="clear" w:color="auto" w:fill="auto"/>
          </w:tcPr>
          <w:p w14:paraId="4D20361E" w14:textId="7590AD8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25.</w:t>
            </w:r>
          </w:p>
        </w:tc>
        <w:tc>
          <w:tcPr>
            <w:tcW w:w="169" w:type="pct"/>
            <w:tcBorders>
              <w:top w:val="single" w:sz="4" w:space="0" w:color="auto"/>
              <w:left w:val="single" w:sz="4" w:space="0" w:color="auto"/>
              <w:right w:val="single" w:sz="4" w:space="0" w:color="auto"/>
            </w:tcBorders>
            <w:shd w:val="clear" w:color="auto" w:fill="auto"/>
          </w:tcPr>
          <w:p w14:paraId="67C8EEB8" w14:textId="40272ED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3EFDBD0C" w14:textId="77777777" w:rsidR="000B4BD4" w:rsidRPr="0035187E" w:rsidRDefault="000B4BD4" w:rsidP="0035187E">
            <w:pPr>
              <w:numPr>
                <w:ilvl w:val="0"/>
                <w:numId w:val="59"/>
              </w:numPr>
              <w:ind w:left="0" w:hanging="27"/>
              <w:contextualSpacing/>
              <w:jc w:val="both"/>
              <w:rPr>
                <w:rFonts w:ascii="Times New Roman" w:eastAsia="Aptos" w:hAnsi="Times New Roman" w:cs="Times New Roman"/>
                <w:b/>
                <w:bCs/>
                <w:sz w:val="20"/>
                <w:szCs w:val="20"/>
                <w:lang w:eastAsia="en-US"/>
              </w:rPr>
            </w:pPr>
            <w:r w:rsidRPr="0035187E">
              <w:rPr>
                <w:rFonts w:ascii="Times New Roman" w:eastAsia="Aptos" w:hAnsi="Times New Roman" w:cs="Times New Roman"/>
                <w:b/>
                <w:bCs/>
                <w:sz w:val="20"/>
                <w:szCs w:val="20"/>
                <w:lang w:eastAsia="en-US"/>
              </w:rPr>
              <w:t>K Příloze 2 k novele zákona o dani z přidané hodnoty</w:t>
            </w:r>
          </w:p>
          <w:p w14:paraId="274A533F"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Navrhujeme sjednotit DPH na nealkoholické nápoje v gastronomii i v obchodě na 12 %. </w:t>
            </w:r>
          </w:p>
          <w:p w14:paraId="58154415" w14:textId="77777777" w:rsidR="000B4BD4" w:rsidRPr="0035187E" w:rsidRDefault="000B4BD4" w:rsidP="0035187E">
            <w:pPr>
              <w:jc w:val="both"/>
              <w:rPr>
                <w:rFonts w:ascii="Times New Roman" w:eastAsia="Calibri" w:hAnsi="Times New Roman" w:cs="Times New Roman"/>
                <w:b/>
                <w:bCs/>
                <w:sz w:val="20"/>
                <w:szCs w:val="20"/>
                <w:lang w:eastAsia="en-US"/>
              </w:rPr>
            </w:pPr>
          </w:p>
          <w:p w14:paraId="69686237" w14:textId="5573D73E" w:rsidR="000B4BD4" w:rsidRPr="0035187E" w:rsidRDefault="000B4BD4" w:rsidP="0035187E">
            <w:pPr>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Odůvodnění</w:t>
            </w:r>
          </w:p>
          <w:p w14:paraId="648CB903"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Navrhujeme narovnat DPH na nealkoholické nápoje s DPH na potraviny ve výši 12 </w:t>
            </w:r>
            <w:proofErr w:type="gramStart"/>
            <w:r w:rsidRPr="0035187E">
              <w:rPr>
                <w:rFonts w:ascii="Times New Roman" w:eastAsia="Calibri" w:hAnsi="Times New Roman" w:cs="Times New Roman"/>
                <w:sz w:val="20"/>
                <w:szCs w:val="20"/>
                <w:lang w:eastAsia="en-US"/>
              </w:rPr>
              <w:t>%.Dřívější</w:t>
            </w:r>
            <w:proofErr w:type="gramEnd"/>
            <w:r w:rsidRPr="0035187E">
              <w:rPr>
                <w:rFonts w:ascii="Times New Roman" w:eastAsia="Calibri" w:hAnsi="Times New Roman" w:cs="Times New Roman"/>
                <w:sz w:val="20"/>
                <w:szCs w:val="20"/>
                <w:lang w:eastAsia="en-US"/>
              </w:rPr>
              <w:t xml:space="preserve"> přesun nealkoholických nápojů do nejvyšší sazby byl nesystémový a způsobil zbytečné komplikace. Navrhujeme proto, aby se DPH ve výši 12 % aplikovala na nealkoholické nápoje jako celek – v gastronomii i v obchodech. </w:t>
            </w:r>
          </w:p>
          <w:p w14:paraId="227AF02C" w14:textId="72D63730" w:rsidR="000B4BD4" w:rsidRPr="0035187E" w:rsidRDefault="000B4BD4" w:rsidP="0035187E">
            <w:pPr>
              <w:jc w:val="both"/>
              <w:rPr>
                <w:rFonts w:ascii="Times New Roman" w:hAnsi="Times New Roman" w:cs="Times New Roman"/>
                <w:sz w:val="20"/>
                <w:szCs w:val="20"/>
              </w:rPr>
            </w:pPr>
            <w:r w:rsidRPr="0035187E">
              <w:rPr>
                <w:rFonts w:ascii="Times New Roman" w:eastAsia="Calibri" w:hAnsi="Times New Roman" w:cs="Times New Roman"/>
                <w:b/>
                <w:bCs/>
                <w:sz w:val="20"/>
                <w:szCs w:val="20"/>
                <w:lang w:eastAsia="en-US"/>
              </w:rPr>
              <w:t xml:space="preserve">Tato připomínka je zásadní. </w:t>
            </w:r>
          </w:p>
        </w:tc>
        <w:tc>
          <w:tcPr>
            <w:tcW w:w="1453" w:type="pct"/>
            <w:tcBorders>
              <w:top w:val="single" w:sz="4" w:space="0" w:color="auto"/>
              <w:left w:val="single" w:sz="4" w:space="0" w:color="auto"/>
              <w:right w:val="single" w:sz="4" w:space="0" w:color="auto"/>
            </w:tcBorders>
            <w:shd w:val="clear" w:color="auto" w:fill="auto"/>
          </w:tcPr>
          <w:p w14:paraId="0972107C"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Nevyhověno.</w:t>
            </w:r>
          </w:p>
          <w:p w14:paraId="77EF0F87"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Podnět přesahuje rámec navrhované úpravy zákona o evidenci tržeb.</w:t>
            </w:r>
          </w:p>
          <w:p w14:paraId="615C8DF7" w14:textId="651C323B" w:rsidR="000B4BD4" w:rsidRPr="0035187E" w:rsidRDefault="000B4BD4" w:rsidP="0035187E">
            <w:pPr>
              <w:jc w:val="both"/>
              <w:rPr>
                <w:rFonts w:ascii="Times New Roman" w:hAnsi="Times New Roman" w:cs="Times New Roman"/>
                <w:b/>
                <w:bCs/>
                <w:sz w:val="20"/>
                <w:szCs w:val="20"/>
              </w:rPr>
            </w:pPr>
          </w:p>
        </w:tc>
      </w:tr>
      <w:tr w:rsidR="0035187E" w:rsidRPr="0035187E" w14:paraId="5DE6BBFE"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F91C584" w14:textId="23446FC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74.</w:t>
            </w:r>
          </w:p>
        </w:tc>
        <w:tc>
          <w:tcPr>
            <w:tcW w:w="583" w:type="pct"/>
            <w:tcBorders>
              <w:top w:val="single" w:sz="4" w:space="0" w:color="auto"/>
              <w:left w:val="single" w:sz="4" w:space="0" w:color="auto"/>
              <w:right w:val="single" w:sz="4" w:space="0" w:color="auto"/>
            </w:tcBorders>
            <w:shd w:val="clear" w:color="auto" w:fill="auto"/>
          </w:tcPr>
          <w:p w14:paraId="765336FC" w14:textId="1381633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Svaz průmyslu a dopravy České republiky</w:t>
            </w:r>
          </w:p>
        </w:tc>
        <w:tc>
          <w:tcPr>
            <w:tcW w:w="168" w:type="pct"/>
            <w:tcBorders>
              <w:top w:val="single" w:sz="4" w:space="0" w:color="auto"/>
              <w:left w:val="single" w:sz="4" w:space="0" w:color="auto"/>
              <w:right w:val="single" w:sz="4" w:space="0" w:color="auto"/>
            </w:tcBorders>
            <w:shd w:val="clear" w:color="auto" w:fill="auto"/>
          </w:tcPr>
          <w:p w14:paraId="7171602C" w14:textId="4A5D896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26.</w:t>
            </w:r>
          </w:p>
        </w:tc>
        <w:tc>
          <w:tcPr>
            <w:tcW w:w="169" w:type="pct"/>
            <w:tcBorders>
              <w:top w:val="single" w:sz="4" w:space="0" w:color="auto"/>
              <w:left w:val="single" w:sz="4" w:space="0" w:color="auto"/>
              <w:right w:val="single" w:sz="4" w:space="0" w:color="auto"/>
            </w:tcBorders>
            <w:shd w:val="clear" w:color="auto" w:fill="auto"/>
          </w:tcPr>
          <w:p w14:paraId="2583774A" w14:textId="3A3BF77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E1EDAAE" w14:textId="77777777" w:rsidR="000B4BD4" w:rsidRPr="0035187E" w:rsidRDefault="000B4BD4" w:rsidP="0035187E">
            <w:pPr>
              <w:jc w:val="both"/>
              <w:rPr>
                <w:rFonts w:ascii="Times New Roman" w:hAnsi="Times New Roman" w:cs="Times New Roman"/>
                <w:b/>
                <w:bCs/>
                <w:caps/>
                <w:sz w:val="20"/>
                <w:szCs w:val="20"/>
              </w:rPr>
            </w:pPr>
            <w:r w:rsidRPr="0035187E">
              <w:rPr>
                <w:rFonts w:ascii="Times New Roman" w:hAnsi="Times New Roman" w:cs="Times New Roman"/>
                <w:b/>
                <w:bCs/>
                <w:caps/>
                <w:sz w:val="20"/>
                <w:szCs w:val="20"/>
              </w:rPr>
              <w:t>Nad rámec připomínek</w:t>
            </w:r>
          </w:p>
          <w:p w14:paraId="60B82544" w14:textId="77777777" w:rsidR="000B4BD4" w:rsidRPr="0035187E" w:rsidRDefault="000B4BD4" w:rsidP="0035187E">
            <w:pPr>
              <w:jc w:val="both"/>
              <w:rPr>
                <w:rFonts w:ascii="Times New Roman" w:eastAsia="Calibri" w:hAnsi="Times New Roman" w:cs="Times New Roman"/>
                <w:b/>
                <w:sz w:val="20"/>
                <w:szCs w:val="20"/>
              </w:rPr>
            </w:pPr>
          </w:p>
          <w:p w14:paraId="137A9CAA" w14:textId="77777777" w:rsidR="000B4BD4" w:rsidRPr="0035187E" w:rsidRDefault="000B4BD4" w:rsidP="0035187E">
            <w:pPr>
              <w:numPr>
                <w:ilvl w:val="0"/>
                <w:numId w:val="59"/>
              </w:numPr>
              <w:ind w:left="0" w:firstLine="0"/>
              <w:contextualSpacing/>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K § 24 odst. 2 písm. j) bod 2 zákona o dani z </w:t>
            </w:r>
            <w:proofErr w:type="gramStart"/>
            <w:r w:rsidRPr="0035187E">
              <w:rPr>
                <w:rFonts w:ascii="Times New Roman" w:eastAsia="Calibri" w:hAnsi="Times New Roman" w:cs="Times New Roman"/>
                <w:b/>
                <w:bCs/>
                <w:sz w:val="20"/>
                <w:szCs w:val="20"/>
                <w:lang w:eastAsia="en-US"/>
              </w:rPr>
              <w:t>příjmů - zatraktivnění</w:t>
            </w:r>
            <w:proofErr w:type="gramEnd"/>
            <w:r w:rsidRPr="0035187E">
              <w:rPr>
                <w:rFonts w:ascii="Times New Roman" w:eastAsia="Calibri" w:hAnsi="Times New Roman" w:cs="Times New Roman"/>
                <w:b/>
                <w:bCs/>
                <w:sz w:val="20"/>
                <w:szCs w:val="20"/>
                <w:lang w:eastAsia="en-US"/>
              </w:rPr>
              <w:t xml:space="preserve"> zdravotních preventivních programů pro zaměstnance</w:t>
            </w:r>
          </w:p>
          <w:p w14:paraId="61D8DC01"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lastRenderedPageBreak/>
              <w:t xml:space="preserve">Navrhujeme rozšířit ustanovení § 24 odst. 2 písm. j) bod 2 zákona o dani z příjmů, aby programy podpory zdraví (zahrnuté v rámci zákona č. 373/2011 Sb., o specifických zdravotních službách) byly výslovně zahrnuty jako samostatný titul daňově uznatelných výdajů zaměstnavatele. </w:t>
            </w:r>
          </w:p>
          <w:p w14:paraId="577CFFAF"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Navrhujeme toto znění: </w:t>
            </w:r>
          </w:p>
          <w:p w14:paraId="7169B6EF" w14:textId="77777777" w:rsidR="000B4BD4" w:rsidRPr="0035187E" w:rsidRDefault="000B4BD4" w:rsidP="0035187E">
            <w:pPr>
              <w:jc w:val="both"/>
              <w:rPr>
                <w:rFonts w:ascii="Times New Roman" w:eastAsia="Calibri" w:hAnsi="Times New Roman" w:cs="Times New Roman"/>
                <w:i/>
                <w:iCs/>
                <w:sz w:val="20"/>
                <w:szCs w:val="20"/>
                <w:lang w:eastAsia="en-US"/>
              </w:rPr>
            </w:pPr>
            <w:r w:rsidRPr="0035187E">
              <w:rPr>
                <w:rFonts w:ascii="Times New Roman" w:eastAsia="Calibri" w:hAnsi="Times New Roman" w:cs="Times New Roman"/>
                <w:i/>
                <w:iCs/>
                <w:sz w:val="20"/>
                <w:szCs w:val="20"/>
                <w:lang w:eastAsia="en-US"/>
              </w:rPr>
              <w:t>„§ 24</w:t>
            </w:r>
          </w:p>
          <w:p w14:paraId="7F9BF145" w14:textId="77777777" w:rsidR="000B4BD4" w:rsidRPr="0035187E" w:rsidRDefault="000B4BD4" w:rsidP="0035187E">
            <w:pPr>
              <w:jc w:val="both"/>
              <w:rPr>
                <w:rFonts w:ascii="Times New Roman" w:eastAsia="Calibri" w:hAnsi="Times New Roman" w:cs="Times New Roman"/>
                <w:i/>
                <w:iCs/>
                <w:sz w:val="20"/>
                <w:szCs w:val="20"/>
                <w:lang w:eastAsia="en-US"/>
              </w:rPr>
            </w:pPr>
            <w:r w:rsidRPr="0035187E">
              <w:rPr>
                <w:rFonts w:ascii="Times New Roman" w:eastAsia="Calibri" w:hAnsi="Times New Roman" w:cs="Times New Roman"/>
                <w:i/>
                <w:iCs/>
                <w:sz w:val="20"/>
                <w:szCs w:val="20"/>
                <w:lang w:eastAsia="en-US"/>
              </w:rPr>
              <w:t xml:space="preserve"> (2) Výdaji (náklady) podle odstavce 1 jsou také:</w:t>
            </w:r>
          </w:p>
          <w:p w14:paraId="1C83ED6A" w14:textId="77777777" w:rsidR="000B4BD4" w:rsidRPr="0035187E" w:rsidRDefault="000B4BD4" w:rsidP="0035187E">
            <w:pPr>
              <w:jc w:val="both"/>
              <w:rPr>
                <w:rFonts w:ascii="Times New Roman" w:eastAsia="Calibri" w:hAnsi="Times New Roman" w:cs="Times New Roman"/>
                <w:i/>
                <w:iCs/>
                <w:sz w:val="20"/>
                <w:szCs w:val="20"/>
                <w:lang w:eastAsia="en-US"/>
              </w:rPr>
            </w:pPr>
            <w:r w:rsidRPr="0035187E">
              <w:rPr>
                <w:rFonts w:ascii="Times New Roman" w:eastAsia="Calibri" w:hAnsi="Times New Roman" w:cs="Times New Roman"/>
                <w:i/>
                <w:iCs/>
                <w:sz w:val="20"/>
                <w:szCs w:val="20"/>
                <w:lang w:eastAsia="en-US"/>
              </w:rPr>
              <w:t>(….)</w:t>
            </w:r>
          </w:p>
          <w:p w14:paraId="0C37AD0A" w14:textId="77777777" w:rsidR="000B4BD4" w:rsidRPr="0035187E" w:rsidRDefault="000B4BD4" w:rsidP="0035187E">
            <w:pPr>
              <w:jc w:val="both"/>
              <w:rPr>
                <w:rFonts w:ascii="Times New Roman" w:eastAsia="Calibri" w:hAnsi="Times New Roman" w:cs="Times New Roman"/>
                <w:i/>
                <w:iCs/>
                <w:sz w:val="20"/>
                <w:szCs w:val="20"/>
                <w:lang w:eastAsia="en-US"/>
              </w:rPr>
            </w:pPr>
            <w:r w:rsidRPr="0035187E">
              <w:rPr>
                <w:rFonts w:ascii="Times New Roman" w:eastAsia="Calibri" w:hAnsi="Times New Roman" w:cs="Times New Roman"/>
                <w:i/>
                <w:iCs/>
                <w:sz w:val="20"/>
                <w:szCs w:val="20"/>
                <w:lang w:eastAsia="en-US"/>
              </w:rPr>
              <w:t>j) výdaje (náklady) na pracovní a sociální podmínky, péči o zdraví a zvýšený rozsah doby odpočinku zaměstnanců vynaložené na</w:t>
            </w:r>
          </w:p>
          <w:p w14:paraId="4EF60E95" w14:textId="77777777" w:rsidR="000B4BD4" w:rsidRPr="0035187E" w:rsidRDefault="000B4BD4" w:rsidP="0035187E">
            <w:pPr>
              <w:jc w:val="both"/>
              <w:rPr>
                <w:rFonts w:ascii="Times New Roman" w:eastAsia="Calibri" w:hAnsi="Times New Roman" w:cs="Times New Roman"/>
                <w:i/>
                <w:iCs/>
                <w:sz w:val="20"/>
                <w:szCs w:val="20"/>
                <w:lang w:eastAsia="en-US"/>
              </w:rPr>
            </w:pPr>
            <w:r w:rsidRPr="0035187E">
              <w:rPr>
                <w:rFonts w:ascii="Times New Roman" w:eastAsia="Calibri" w:hAnsi="Times New Roman" w:cs="Times New Roman"/>
                <w:i/>
                <w:iCs/>
                <w:sz w:val="20"/>
                <w:szCs w:val="20"/>
                <w:lang w:eastAsia="en-US"/>
              </w:rPr>
              <w:t>1. bezpečnost a ochranu zdraví při práci a hygienické vybavení pracovišť; výdaje (náklady) na pořízení ochranných nápojů lze uplatnit v rozsahu stanoveném zvláštními právními předpisy</w:t>
            </w:r>
            <w:hyperlink r:id="rId16" w:anchor="f1462948" w:history="1">
              <w:r w:rsidRPr="0035187E">
                <w:rPr>
                  <w:rFonts w:ascii="Times New Roman" w:eastAsia="Calibri" w:hAnsi="Times New Roman" w:cs="Times New Roman"/>
                  <w:i/>
                  <w:iCs/>
                  <w:sz w:val="20"/>
                  <w:szCs w:val="20"/>
                  <w:lang w:eastAsia="en-US"/>
                </w:rPr>
                <w:t>122)</w:t>
              </w:r>
            </w:hyperlink>
            <w:r w:rsidRPr="0035187E">
              <w:rPr>
                <w:rFonts w:ascii="Times New Roman" w:eastAsia="Calibri" w:hAnsi="Times New Roman" w:cs="Times New Roman"/>
                <w:i/>
                <w:iCs/>
                <w:sz w:val="20"/>
                <w:szCs w:val="20"/>
                <w:lang w:eastAsia="en-US"/>
              </w:rPr>
              <w:t>,</w:t>
            </w:r>
          </w:p>
          <w:p w14:paraId="509A3B93" w14:textId="77777777" w:rsidR="000B4BD4" w:rsidRPr="0035187E" w:rsidRDefault="000B4BD4" w:rsidP="0035187E">
            <w:pPr>
              <w:jc w:val="both"/>
              <w:rPr>
                <w:rFonts w:ascii="Times New Roman" w:eastAsia="Calibri" w:hAnsi="Times New Roman" w:cs="Times New Roman"/>
                <w:b/>
                <w:bCs/>
                <w:i/>
                <w:iCs/>
                <w:sz w:val="20"/>
                <w:szCs w:val="20"/>
                <w:lang w:eastAsia="en-US"/>
              </w:rPr>
            </w:pPr>
            <w:r w:rsidRPr="0035187E">
              <w:rPr>
                <w:rFonts w:ascii="Times New Roman" w:eastAsia="Calibri" w:hAnsi="Times New Roman" w:cs="Times New Roman"/>
                <w:b/>
                <w:bCs/>
                <w:i/>
                <w:iCs/>
                <w:sz w:val="20"/>
                <w:szCs w:val="20"/>
                <w:lang w:eastAsia="en-US"/>
              </w:rPr>
              <w:t>2. výdaje vynaložené na programy podpory zdraví v rozsahu stanoveném zvláštními předpisy a nehrazeném zdravotní pojišťovnou.</w:t>
            </w:r>
          </w:p>
          <w:p w14:paraId="47EC6140"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i/>
                <w:iCs/>
                <w:strike/>
                <w:sz w:val="20"/>
                <w:szCs w:val="20"/>
                <w:lang w:eastAsia="en-US"/>
              </w:rPr>
              <w:t>2.</w:t>
            </w:r>
            <w:r w:rsidRPr="0035187E">
              <w:rPr>
                <w:rFonts w:ascii="Times New Roman" w:eastAsia="Calibri" w:hAnsi="Times New Roman" w:cs="Times New Roman"/>
                <w:i/>
                <w:iCs/>
                <w:sz w:val="20"/>
                <w:szCs w:val="20"/>
                <w:lang w:eastAsia="en-US"/>
              </w:rPr>
              <w:t> </w:t>
            </w:r>
            <w:r w:rsidRPr="0035187E">
              <w:rPr>
                <w:rFonts w:ascii="Times New Roman" w:eastAsia="Calibri" w:hAnsi="Times New Roman" w:cs="Times New Roman"/>
                <w:b/>
                <w:bCs/>
                <w:i/>
                <w:iCs/>
                <w:sz w:val="20"/>
                <w:szCs w:val="20"/>
                <w:lang w:eastAsia="en-US"/>
              </w:rPr>
              <w:t>3.</w:t>
            </w:r>
            <w:r w:rsidRPr="0035187E">
              <w:rPr>
                <w:rFonts w:ascii="Times New Roman" w:eastAsia="Calibri" w:hAnsi="Times New Roman" w:cs="Times New Roman"/>
                <w:i/>
                <w:iCs/>
                <w:sz w:val="20"/>
                <w:szCs w:val="20"/>
                <w:lang w:eastAsia="en-US"/>
              </w:rPr>
              <w:t xml:space="preserve"> pracovnělékařské služby poskytované poskytovatelem těchto služeb v rozsahu stanoveném zvláštními předpisy</w:t>
            </w:r>
            <w:hyperlink r:id="rId17" w:anchor="f1462722" w:history="1">
              <w:r w:rsidRPr="0035187E">
                <w:rPr>
                  <w:rFonts w:ascii="Times New Roman" w:eastAsia="Calibri" w:hAnsi="Times New Roman" w:cs="Times New Roman"/>
                  <w:i/>
                  <w:iCs/>
                  <w:sz w:val="20"/>
                  <w:szCs w:val="20"/>
                  <w:lang w:eastAsia="en-US"/>
                </w:rPr>
                <w:t>23)</w:t>
              </w:r>
            </w:hyperlink>
            <w:r w:rsidRPr="0035187E">
              <w:rPr>
                <w:rFonts w:ascii="Times New Roman" w:eastAsia="Calibri" w:hAnsi="Times New Roman" w:cs="Times New Roman"/>
                <w:i/>
                <w:iCs/>
                <w:sz w:val="20"/>
                <w:szCs w:val="20"/>
                <w:lang w:eastAsia="en-US"/>
              </w:rPr>
              <w:t> a nehrazeném zdravotní pojišťovnou, na lékařské prohlídky a lékařská vyšetření stanovené zvláštními předpisy</w:t>
            </w:r>
            <w:r w:rsidRPr="0035187E">
              <w:rPr>
                <w:rFonts w:ascii="Times New Roman" w:eastAsia="Calibri" w:hAnsi="Times New Roman" w:cs="Times New Roman"/>
                <w:sz w:val="20"/>
                <w:szCs w:val="20"/>
                <w:lang w:eastAsia="en-US"/>
              </w:rPr>
              <w:t>,“</w:t>
            </w:r>
          </w:p>
          <w:p w14:paraId="79BCFBF7" w14:textId="77777777" w:rsidR="000B4BD4" w:rsidRPr="0035187E" w:rsidRDefault="000B4BD4" w:rsidP="0035187E">
            <w:pPr>
              <w:jc w:val="both"/>
              <w:rPr>
                <w:rFonts w:ascii="Times New Roman" w:eastAsia="Calibri" w:hAnsi="Times New Roman" w:cs="Times New Roman"/>
                <w:b/>
                <w:bCs/>
                <w:sz w:val="20"/>
                <w:szCs w:val="20"/>
                <w:lang w:eastAsia="en-US"/>
              </w:rPr>
            </w:pPr>
          </w:p>
          <w:p w14:paraId="525BAED6" w14:textId="3828366E" w:rsidR="000B4BD4" w:rsidRPr="0035187E" w:rsidRDefault="000B4BD4" w:rsidP="0035187E">
            <w:pPr>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 xml:space="preserve">Odůvodnění: </w:t>
            </w:r>
          </w:p>
          <w:p w14:paraId="224F38BC" w14:textId="621B230C"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Programy podpory zdraví (zavedené novelou zákona č. 373/2011 Sb., o specifických zdravotních službách, s účinností od 1. června 2025), jsou nástrojem zaměřeným na prevenci a podporu zdraví zaměstnanců na pracovištích. Jejich obsahem je zejména zlepšení fyzické a psychické zdravotní kondice, prevence a včasné odhalení závažnějších onemocnění, které by mu znemožnily výkon práce, a dlouhodobou udržitelnost pracovní schopnosti apod. Dlouhodobý efekt těchto programů tedy spočívá nejenom ve snížení nemocnosti zaměstnanců, ale i ke zvýšení produktivity práce a v konečném důsledku k vyššímu výběru daní či pojistného a nižším nákladům na veřejné zdravotní pojištění. Netřeba zdůrazňovat, že v době demografické krize, strukturálním nedostatku pracovní síly a očekávaných vyšších nákladů na zdravotní péči se jedná o stěžejní zájem zaměstnavatelů i státu. </w:t>
            </w:r>
          </w:p>
          <w:p w14:paraId="461C67FD" w14:textId="77777777" w:rsidR="000B4BD4" w:rsidRPr="0035187E" w:rsidRDefault="000B4BD4" w:rsidP="0035187E">
            <w:pPr>
              <w:jc w:val="both"/>
              <w:rPr>
                <w:rFonts w:ascii="Times New Roman" w:eastAsia="Calibri" w:hAnsi="Times New Roman" w:cs="Times New Roman"/>
                <w:sz w:val="20"/>
                <w:szCs w:val="20"/>
                <w:lang w:eastAsia="en-US"/>
              </w:rPr>
            </w:pPr>
          </w:p>
          <w:p w14:paraId="54405AD7" w14:textId="4ACE2C93"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Aby však byly tyto programy v praxi aplikovatelné a mohly být zaměstnavatelem i zaměstnanci plošně využívány, je nutné, aby byly dostatečně atraktivní jak pro zaměstnavatele, tak pro zaměstnance, a to nejen z hlediska administrativní náročnosti, ale zejména vhodně nastaveného daňového režimu. Daňový rámec by tedy měl být nastaven tak, aby byl pro zaměstnavatele dostatečně motivační, aniž by sledování a uplatňování jednotlivých nákladů z hlediska daňových dopadů představovalo nepřiměřenou administrativní a finanční zátěž, která by mohla bránit praktické aplikaci a širokému využívání těchto programů ve prospěch zaměstnanců.</w:t>
            </w:r>
          </w:p>
          <w:p w14:paraId="6290F12C" w14:textId="77777777" w:rsidR="000B4BD4" w:rsidRPr="0035187E" w:rsidRDefault="000B4BD4" w:rsidP="0035187E">
            <w:pPr>
              <w:jc w:val="both"/>
              <w:rPr>
                <w:rFonts w:ascii="Times New Roman" w:eastAsia="Calibri" w:hAnsi="Times New Roman" w:cs="Times New Roman"/>
                <w:sz w:val="20"/>
                <w:szCs w:val="20"/>
                <w:lang w:eastAsia="en-US"/>
              </w:rPr>
            </w:pPr>
          </w:p>
          <w:p w14:paraId="43E9BC14"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V této souvislosti – a vzhledem k významu programů podpory zdraví jakožto úzce vymezených aktivit zaměřených na zdraví zaměstnanců – by tyto programy zdraví mohly být </w:t>
            </w:r>
            <w:r w:rsidRPr="0035187E">
              <w:rPr>
                <w:rFonts w:ascii="Times New Roman" w:eastAsia="Calibri" w:hAnsi="Times New Roman" w:cs="Times New Roman"/>
                <w:sz w:val="20"/>
                <w:szCs w:val="20"/>
                <w:lang w:eastAsia="en-US"/>
              </w:rPr>
              <w:lastRenderedPageBreak/>
              <w:t xml:space="preserve">brány dle uvedeného § 24 odst. 2 písm. j) ZDP jakožto součást výdajů (nákladů) zaměstnavatele na pracovní a sociální podmínky, péči o zdraví a zvýšený rozsah odpočinku zaměstnanců. A tedy ze strany samotného zaměstnance by se nejednalo o zdanitelný příjem. </w:t>
            </w:r>
          </w:p>
          <w:p w14:paraId="3F841CBD" w14:textId="4D5370D4" w:rsidR="000B4BD4" w:rsidRPr="0035187E" w:rsidRDefault="000B4BD4" w:rsidP="0035187E">
            <w:pPr>
              <w:jc w:val="both"/>
              <w:rPr>
                <w:rFonts w:ascii="Times New Roman" w:hAnsi="Times New Roman" w:cs="Times New Roman"/>
                <w:sz w:val="20"/>
                <w:szCs w:val="20"/>
              </w:rPr>
            </w:pPr>
            <w:r w:rsidRPr="0035187E">
              <w:rPr>
                <w:rFonts w:ascii="Times New Roman" w:eastAsia="Calibri" w:hAnsi="Times New Roman" w:cs="Times New Roman"/>
                <w:b/>
                <w:bCs/>
                <w:sz w:val="20"/>
                <w:szCs w:val="20"/>
                <w:lang w:eastAsia="en-US"/>
              </w:rPr>
              <w:t xml:space="preserve">Tato připomínka je zásadní. </w:t>
            </w:r>
          </w:p>
        </w:tc>
        <w:tc>
          <w:tcPr>
            <w:tcW w:w="1453" w:type="pct"/>
            <w:tcBorders>
              <w:top w:val="single" w:sz="4" w:space="0" w:color="auto"/>
              <w:left w:val="single" w:sz="4" w:space="0" w:color="auto"/>
              <w:right w:val="single" w:sz="4" w:space="0" w:color="auto"/>
            </w:tcBorders>
            <w:shd w:val="clear" w:color="auto" w:fill="auto"/>
          </w:tcPr>
          <w:p w14:paraId="3BF53E1C" w14:textId="0F316D26"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Nevyhověno.</w:t>
            </w:r>
            <w:r w:rsidR="001E2875" w:rsidRPr="0035187E">
              <w:rPr>
                <w:rFonts w:ascii="Times New Roman" w:hAnsi="Times New Roman" w:cs="Times New Roman"/>
                <w:b/>
                <w:bCs/>
                <w:sz w:val="20"/>
                <w:szCs w:val="20"/>
              </w:rPr>
              <w:t xml:space="preserve"> </w:t>
            </w:r>
            <w:r w:rsidR="001E2875" w:rsidRPr="00356B47">
              <w:rPr>
                <w:rFonts w:ascii="Times New Roman" w:hAnsi="Times New Roman" w:cs="Times New Roman"/>
                <w:b/>
                <w:bCs/>
                <w:color w:val="FF0000"/>
                <w:sz w:val="20"/>
                <w:szCs w:val="20"/>
              </w:rPr>
              <w:t>ROZPOR</w:t>
            </w:r>
          </w:p>
          <w:p w14:paraId="4A5C8353"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Navrhované ustanovení není vhodné, protože pokud by výdaje vynaložené na tyto programy měly být da</w:t>
            </w:r>
            <w:r w:rsidRPr="0035187E">
              <w:rPr>
                <w:rFonts w:ascii="Times New Roman" w:hAnsi="Times New Roman" w:cs="Times New Roman"/>
                <w:sz w:val="20"/>
                <w:szCs w:val="20"/>
              </w:rPr>
              <w:lastRenderedPageBreak/>
              <w:t>ňově uznatelné, byly by související příjmy u zaměstnanců zdaňovány jako mzda. (Osvobození dle ustanovení § 6 odst. 9 písm. d) platí pouze v případě, že jsou související náklady nedaňové.) Důsledkem této úpravy by tedy bylo zhoršení daňového režimu, což není záměrem.</w:t>
            </w:r>
          </w:p>
          <w:p w14:paraId="7427B42C" w14:textId="77777777" w:rsidR="000B4BD4" w:rsidRPr="0035187E" w:rsidRDefault="000B4BD4" w:rsidP="0035187E">
            <w:pPr>
              <w:jc w:val="both"/>
              <w:rPr>
                <w:rFonts w:ascii="Times New Roman" w:hAnsi="Times New Roman" w:cs="Times New Roman"/>
                <w:sz w:val="20"/>
                <w:szCs w:val="20"/>
              </w:rPr>
            </w:pPr>
          </w:p>
          <w:p w14:paraId="4A4F43BE" w14:textId="0A968652" w:rsidR="00BE5C21" w:rsidRPr="0035187E" w:rsidRDefault="00BE5C21"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Vyjádření připomínkového místa po jednání dne 8. dubna 2026: zůstává rozpor.</w:t>
            </w:r>
          </w:p>
        </w:tc>
      </w:tr>
      <w:tr w:rsidR="0035187E" w:rsidRPr="0035187E" w14:paraId="0B399E4C"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7C6F5A8" w14:textId="65C8E03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74.</w:t>
            </w:r>
          </w:p>
        </w:tc>
        <w:tc>
          <w:tcPr>
            <w:tcW w:w="583" w:type="pct"/>
            <w:tcBorders>
              <w:top w:val="single" w:sz="4" w:space="0" w:color="auto"/>
              <w:left w:val="single" w:sz="4" w:space="0" w:color="auto"/>
              <w:right w:val="single" w:sz="4" w:space="0" w:color="auto"/>
            </w:tcBorders>
            <w:shd w:val="clear" w:color="auto" w:fill="auto"/>
          </w:tcPr>
          <w:p w14:paraId="26CB2DF0" w14:textId="664F967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Svaz průmyslu a dopravy České republiky</w:t>
            </w:r>
          </w:p>
        </w:tc>
        <w:tc>
          <w:tcPr>
            <w:tcW w:w="168" w:type="pct"/>
            <w:tcBorders>
              <w:top w:val="single" w:sz="4" w:space="0" w:color="auto"/>
              <w:left w:val="single" w:sz="4" w:space="0" w:color="auto"/>
              <w:right w:val="single" w:sz="4" w:space="0" w:color="auto"/>
            </w:tcBorders>
            <w:shd w:val="clear" w:color="auto" w:fill="auto"/>
          </w:tcPr>
          <w:p w14:paraId="5BAE060F" w14:textId="016D165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27.</w:t>
            </w:r>
          </w:p>
        </w:tc>
        <w:tc>
          <w:tcPr>
            <w:tcW w:w="169" w:type="pct"/>
            <w:tcBorders>
              <w:top w:val="single" w:sz="4" w:space="0" w:color="auto"/>
              <w:left w:val="single" w:sz="4" w:space="0" w:color="auto"/>
              <w:right w:val="single" w:sz="4" w:space="0" w:color="auto"/>
            </w:tcBorders>
            <w:shd w:val="clear" w:color="auto" w:fill="auto"/>
          </w:tcPr>
          <w:p w14:paraId="3E2B5E4B" w14:textId="2992885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A9AF764" w14:textId="77777777" w:rsidR="000B4BD4" w:rsidRPr="0035187E" w:rsidRDefault="000B4BD4" w:rsidP="0035187E">
            <w:pPr>
              <w:numPr>
                <w:ilvl w:val="0"/>
                <w:numId w:val="59"/>
              </w:numPr>
              <w:ind w:left="0" w:hanging="27"/>
              <w:contextualSpacing/>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K § 34 a k § 38r zákona o dani z příjmů – uplatňování daňové ztráty</w:t>
            </w:r>
          </w:p>
          <w:p w14:paraId="16117260"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Navrhujeme prodloužit lhůtu pro uplatňování daňové </w:t>
            </w:r>
            <w:proofErr w:type="gramStart"/>
            <w:r w:rsidRPr="0035187E">
              <w:rPr>
                <w:rFonts w:ascii="Times New Roman" w:eastAsia="Calibri" w:hAnsi="Times New Roman" w:cs="Times New Roman"/>
                <w:sz w:val="20"/>
                <w:szCs w:val="20"/>
                <w:lang w:eastAsia="en-US"/>
              </w:rPr>
              <w:t>ztráty  „</w:t>
            </w:r>
            <w:proofErr w:type="gramEnd"/>
            <w:r w:rsidRPr="0035187E">
              <w:rPr>
                <w:rFonts w:ascii="Times New Roman" w:eastAsia="Calibri" w:hAnsi="Times New Roman" w:cs="Times New Roman"/>
                <w:sz w:val="20"/>
                <w:szCs w:val="20"/>
                <w:lang w:eastAsia="en-US"/>
              </w:rPr>
              <w:t xml:space="preserve">dopředu“ ze současných pěti let. Zároveň omezit prekluzivní lhůtu pro daňovou kontrolu, která trvá dle nynější praxe až 8 let. </w:t>
            </w:r>
          </w:p>
          <w:p w14:paraId="60BE41CC" w14:textId="77777777" w:rsidR="000B4BD4" w:rsidRPr="0035187E" w:rsidRDefault="000B4BD4" w:rsidP="0035187E">
            <w:pPr>
              <w:jc w:val="both"/>
              <w:rPr>
                <w:rFonts w:ascii="Times New Roman" w:eastAsia="Calibri" w:hAnsi="Times New Roman" w:cs="Times New Roman"/>
                <w:b/>
                <w:bCs/>
                <w:sz w:val="20"/>
                <w:szCs w:val="20"/>
                <w:lang w:eastAsia="en-US"/>
              </w:rPr>
            </w:pPr>
          </w:p>
          <w:p w14:paraId="365D8572" w14:textId="748D0323" w:rsidR="000B4BD4" w:rsidRPr="0035187E" w:rsidRDefault="000B4BD4" w:rsidP="0035187E">
            <w:pPr>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 xml:space="preserve">Odůvodnění: </w:t>
            </w:r>
          </w:p>
          <w:p w14:paraId="3CD54593"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ČR má nejkratší lhůtu pro odpočet daňových ztrát v rámci EU (resp. patří mezi státy s nejkratší lhůtou), což snižuje efektivitu tzv. daňového štítu a adresné pomoci konkrétním firmám.</w:t>
            </w:r>
          </w:p>
          <w:p w14:paraId="5CDAE61A"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Současně je však třeba zamezit tomu, aby uplatnění daňové ztráty prolamovalo tříletou prekluzivní lhůtu a aby umožňovalo správci daně provádět po řadu let daňovou kontrolu zdaňovacích období v minulosti. Navrhujeme tedy omezit platnost souvisejících sankcí po dobu tří let od dosažení daňové ztráty (resp. pokud by byla daňová ztráta uplatněna v nesprávné výši např. po 5 letech od dosažení této ztráty, výše daňové ztráty by byla upravena/případně zamítnuta, avšak již bez následků v podobě souvisejících sankcí).</w:t>
            </w:r>
          </w:p>
          <w:p w14:paraId="54BA5B25"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Nynější praxe daňových kontrol a potenciálních sankcí v až osmileté lhůtě způsobuje vysoké nejistoty a potenciální administrativní zátěž firem. </w:t>
            </w:r>
          </w:p>
          <w:p w14:paraId="20CD2BDB" w14:textId="501657E8" w:rsidR="000B4BD4" w:rsidRPr="0035187E" w:rsidRDefault="000B4BD4" w:rsidP="0035187E">
            <w:pPr>
              <w:jc w:val="both"/>
              <w:rPr>
                <w:rFonts w:ascii="Times New Roman" w:hAnsi="Times New Roman" w:cs="Times New Roman"/>
                <w:sz w:val="20"/>
                <w:szCs w:val="20"/>
              </w:rPr>
            </w:pPr>
            <w:r w:rsidRPr="0035187E">
              <w:rPr>
                <w:rFonts w:ascii="Times New Roman" w:eastAsia="Calibri" w:hAnsi="Times New Roman" w:cs="Times New Roman"/>
                <w:b/>
                <w:bCs/>
                <w:sz w:val="20"/>
                <w:szCs w:val="20"/>
                <w:lang w:eastAsia="en-US"/>
              </w:rPr>
              <w:t xml:space="preserve">Tato připomínka je zásadní. </w:t>
            </w:r>
          </w:p>
        </w:tc>
        <w:tc>
          <w:tcPr>
            <w:tcW w:w="1453" w:type="pct"/>
            <w:tcBorders>
              <w:top w:val="single" w:sz="4" w:space="0" w:color="auto"/>
              <w:left w:val="single" w:sz="4" w:space="0" w:color="auto"/>
              <w:right w:val="single" w:sz="4" w:space="0" w:color="auto"/>
            </w:tcBorders>
            <w:shd w:val="clear" w:color="auto" w:fill="auto"/>
          </w:tcPr>
          <w:p w14:paraId="37DCD582"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Nevyhověno.</w:t>
            </w:r>
          </w:p>
          <w:p w14:paraId="2DF7B5C4"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Podnět přesahuje rámec navrhované úpravy zákona o evidenci tržeb.</w:t>
            </w:r>
          </w:p>
          <w:p w14:paraId="7A182468" w14:textId="2DCD4BAC" w:rsidR="000B4BD4" w:rsidRPr="0035187E" w:rsidRDefault="000B4BD4" w:rsidP="0035187E">
            <w:pPr>
              <w:jc w:val="both"/>
              <w:rPr>
                <w:rFonts w:ascii="Times New Roman" w:hAnsi="Times New Roman" w:cs="Times New Roman"/>
                <w:sz w:val="20"/>
                <w:szCs w:val="20"/>
              </w:rPr>
            </w:pPr>
          </w:p>
        </w:tc>
      </w:tr>
      <w:tr w:rsidR="0035187E" w:rsidRPr="0035187E" w14:paraId="188CA6A8"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8A7433B" w14:textId="164D562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74.</w:t>
            </w:r>
          </w:p>
        </w:tc>
        <w:tc>
          <w:tcPr>
            <w:tcW w:w="583" w:type="pct"/>
            <w:tcBorders>
              <w:top w:val="single" w:sz="4" w:space="0" w:color="auto"/>
              <w:left w:val="single" w:sz="4" w:space="0" w:color="auto"/>
              <w:right w:val="single" w:sz="4" w:space="0" w:color="auto"/>
            </w:tcBorders>
            <w:shd w:val="clear" w:color="auto" w:fill="auto"/>
          </w:tcPr>
          <w:p w14:paraId="33CAF05F" w14:textId="2FEF3C6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Svaz průmyslu a dopravy České republiky</w:t>
            </w:r>
          </w:p>
        </w:tc>
        <w:tc>
          <w:tcPr>
            <w:tcW w:w="168" w:type="pct"/>
            <w:tcBorders>
              <w:top w:val="single" w:sz="4" w:space="0" w:color="auto"/>
              <w:left w:val="single" w:sz="4" w:space="0" w:color="auto"/>
              <w:right w:val="single" w:sz="4" w:space="0" w:color="auto"/>
            </w:tcBorders>
            <w:shd w:val="clear" w:color="auto" w:fill="auto"/>
          </w:tcPr>
          <w:p w14:paraId="0B74405C" w14:textId="50FF3DA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28.</w:t>
            </w:r>
          </w:p>
        </w:tc>
        <w:tc>
          <w:tcPr>
            <w:tcW w:w="169" w:type="pct"/>
            <w:tcBorders>
              <w:top w:val="single" w:sz="4" w:space="0" w:color="auto"/>
              <w:left w:val="single" w:sz="4" w:space="0" w:color="auto"/>
              <w:right w:val="single" w:sz="4" w:space="0" w:color="auto"/>
            </w:tcBorders>
            <w:shd w:val="clear" w:color="auto" w:fill="auto"/>
          </w:tcPr>
          <w:p w14:paraId="05D5C6B8" w14:textId="7586780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E6054D5" w14:textId="52C1E8C9" w:rsidR="000B4BD4" w:rsidRPr="0035187E" w:rsidRDefault="000B4BD4" w:rsidP="0035187E">
            <w:pPr>
              <w:numPr>
                <w:ilvl w:val="0"/>
                <w:numId w:val="59"/>
              </w:numPr>
              <w:ind w:left="0" w:firstLine="0"/>
              <w:contextualSpacing/>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K části čtyřicáté páté až čtyřicáté sedmé zákona č. 261/2007 Sb., o stabilizaci veřejných rozpočtů (daň ze zemního plynu a některých dalších plynů, daň z pevných paliv a daň z elektřiny)</w:t>
            </w:r>
          </w:p>
          <w:p w14:paraId="30A349F8" w14:textId="77777777" w:rsidR="000B4BD4" w:rsidRPr="0035187E" w:rsidRDefault="000B4BD4" w:rsidP="0035187E">
            <w:pPr>
              <w:contextualSpacing/>
              <w:jc w:val="both"/>
              <w:rPr>
                <w:rFonts w:ascii="Times New Roman" w:eastAsia="Calibri" w:hAnsi="Times New Roman" w:cs="Times New Roman"/>
                <w:b/>
                <w:bCs/>
                <w:sz w:val="20"/>
                <w:szCs w:val="20"/>
                <w:lang w:eastAsia="en-US"/>
              </w:rPr>
            </w:pPr>
          </w:p>
          <w:p w14:paraId="035979BA" w14:textId="77777777" w:rsidR="000B4BD4" w:rsidRPr="0035187E" w:rsidRDefault="000B4BD4" w:rsidP="0035187E">
            <w:pPr>
              <w:numPr>
                <w:ilvl w:val="0"/>
                <w:numId w:val="65"/>
              </w:numPr>
              <w:ind w:left="0" w:firstLine="0"/>
              <w:contextualSpacing/>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V době stávajících vysokých cen energií požadujeme obnovit osvobození metalurgických procesů a mineralogických postupů od daně ze zemního plynu a některých dalších plynů (v části čtyřicáté páté nový bod v § 8 odst. 1), daně z pevných paliv (v části čtyřicáté šesté nový bod v § 8 odst. 1) a daně z elektřiny (v části čtyřicáté sedmé nový bod v § 8 odst. 2). Za tímto účelem jsme připraveni podat komplexní návrh legislativní úpravy. </w:t>
            </w:r>
          </w:p>
          <w:p w14:paraId="1A9F84C0" w14:textId="77777777" w:rsidR="000B4BD4" w:rsidRPr="0035187E" w:rsidRDefault="000B4BD4" w:rsidP="0035187E">
            <w:pPr>
              <w:contextualSpacing/>
              <w:jc w:val="both"/>
              <w:rPr>
                <w:rFonts w:ascii="Times New Roman" w:eastAsia="Calibri" w:hAnsi="Times New Roman" w:cs="Times New Roman"/>
                <w:sz w:val="20"/>
                <w:szCs w:val="20"/>
                <w:lang w:eastAsia="en-US"/>
              </w:rPr>
            </w:pPr>
          </w:p>
          <w:p w14:paraId="74B48BB8" w14:textId="77777777" w:rsidR="000B4BD4" w:rsidRPr="0035187E" w:rsidRDefault="000B4BD4" w:rsidP="0035187E">
            <w:pPr>
              <w:numPr>
                <w:ilvl w:val="0"/>
                <w:numId w:val="65"/>
              </w:numPr>
              <w:ind w:left="0" w:firstLine="0"/>
              <w:contextualSpacing/>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Upozorňujeme na potřebu osvobození paliva pro kombinovanou výrobu elektřiny a tepla nejen pro domácnosti, ale i průmysl dle zásady rovného přístupu (v návaznosti na nedávný rozsudek Nejvyššího správního soudu k výkladu osvobození daného paliva v rozsahu dodávek tepla domácnostem).</w:t>
            </w:r>
          </w:p>
          <w:p w14:paraId="4D61071B" w14:textId="77777777" w:rsidR="000B4BD4" w:rsidRPr="0035187E" w:rsidRDefault="000B4BD4" w:rsidP="0035187E">
            <w:pPr>
              <w:contextualSpacing/>
              <w:jc w:val="both"/>
              <w:rPr>
                <w:rFonts w:ascii="Times New Roman" w:eastAsia="Calibri" w:hAnsi="Times New Roman" w:cs="Times New Roman"/>
                <w:sz w:val="20"/>
                <w:szCs w:val="20"/>
                <w:lang w:eastAsia="en-US"/>
              </w:rPr>
            </w:pPr>
          </w:p>
          <w:p w14:paraId="1E5A7AFD" w14:textId="77777777" w:rsidR="000B4BD4" w:rsidRPr="0035187E" w:rsidRDefault="000B4BD4" w:rsidP="0035187E">
            <w:pPr>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Odůvodnění:</w:t>
            </w:r>
          </w:p>
          <w:p w14:paraId="102D1022" w14:textId="77777777" w:rsidR="000B4BD4" w:rsidRPr="0035187E" w:rsidRDefault="000B4BD4" w:rsidP="0035187E">
            <w:pPr>
              <w:numPr>
                <w:ilvl w:val="0"/>
                <w:numId w:val="66"/>
              </w:numPr>
              <w:ind w:left="0" w:firstLine="0"/>
              <w:contextualSpacing/>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Změnou žádáme o obnovení pravidla osvobození od zdanění energetických produktů v rámci metalurgických a mineralogických procesů, které probíhají zejména v odvětvích jako je ocelářství, sklářství či stavební hmoty. Pravidlo tohoto daňového osvobo</w:t>
            </w:r>
            <w:r w:rsidRPr="0035187E">
              <w:rPr>
                <w:rFonts w:ascii="Times New Roman" w:eastAsia="Calibri" w:hAnsi="Times New Roman" w:cs="Times New Roman"/>
                <w:sz w:val="20"/>
                <w:szCs w:val="20"/>
                <w:lang w:eastAsia="en-US"/>
              </w:rPr>
              <w:lastRenderedPageBreak/>
              <w:t>zení vychází ze směrnice Rady č. 2003/96/ES, kterou se mění struktura rámcových předpisů Společenství o zdanění energetických produktů a elektřiny (článek 2). Obecným důvodem tohoto opatření je ochrana konkurenceschopnosti evropských firem.</w:t>
            </w:r>
          </w:p>
          <w:p w14:paraId="2BD0A21F" w14:textId="77777777" w:rsidR="000B4BD4" w:rsidRPr="0035187E" w:rsidRDefault="000B4BD4" w:rsidP="0035187E">
            <w:pPr>
              <w:contextualSpacing/>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Do roku 2023 měla ČR toto pravidlo zanesené v zákoně 261/2007 Sb., o stabilizaci veřejných rozpočtů. Bylo však od r. 2024 zrušeno a tím byla snížena již tak oslabená konkurenceschopnost českých firem nejen na světovém, ale i na vnitřním trhu v EU. Podle našich informací totiž žádný jiný průmyslově významný členský stát toto daňové osvobození nezrušil – české firmy jsou tedy v disproporční nevýhodě. </w:t>
            </w:r>
          </w:p>
          <w:p w14:paraId="7DE85AD2" w14:textId="77777777" w:rsidR="000B4BD4" w:rsidRPr="0035187E" w:rsidRDefault="000B4BD4" w:rsidP="0035187E">
            <w:pPr>
              <w:contextualSpacing/>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Připomínáme, že se zejména energeticky náročný průmysl, který v případě ČR tvoří významnou část národní ekonomiky, nachází celoevropsky v historické krizi. To potvrzuje například </w:t>
            </w:r>
            <w:proofErr w:type="spellStart"/>
            <w:r w:rsidRPr="0035187E">
              <w:rPr>
                <w:rFonts w:ascii="Times New Roman" w:eastAsia="Calibri" w:hAnsi="Times New Roman" w:cs="Times New Roman"/>
                <w:sz w:val="20"/>
                <w:szCs w:val="20"/>
                <w:lang w:eastAsia="en-US"/>
              </w:rPr>
              <w:t>Draghiho</w:t>
            </w:r>
            <w:proofErr w:type="spellEnd"/>
            <w:r w:rsidRPr="0035187E">
              <w:rPr>
                <w:rFonts w:ascii="Times New Roman" w:eastAsia="Calibri" w:hAnsi="Times New Roman" w:cs="Times New Roman"/>
                <w:sz w:val="20"/>
                <w:szCs w:val="20"/>
                <w:lang w:eastAsia="en-US"/>
              </w:rPr>
              <w:t xml:space="preserve"> zpráva a problém je identifikován i ve strategických dokumentech EU (</w:t>
            </w:r>
            <w:proofErr w:type="spellStart"/>
            <w:r w:rsidRPr="0035187E">
              <w:rPr>
                <w:rFonts w:ascii="Times New Roman" w:eastAsia="Calibri" w:hAnsi="Times New Roman" w:cs="Times New Roman"/>
                <w:sz w:val="20"/>
                <w:szCs w:val="20"/>
                <w:lang w:eastAsia="en-US"/>
              </w:rPr>
              <w:t>Clean</w:t>
            </w:r>
            <w:proofErr w:type="spellEnd"/>
            <w:r w:rsidRPr="0035187E">
              <w:rPr>
                <w:rFonts w:ascii="Times New Roman" w:eastAsia="Calibri" w:hAnsi="Times New Roman" w:cs="Times New Roman"/>
                <w:sz w:val="20"/>
                <w:szCs w:val="20"/>
                <w:lang w:eastAsia="en-US"/>
              </w:rPr>
              <w:t xml:space="preserve"> </w:t>
            </w:r>
            <w:proofErr w:type="spellStart"/>
            <w:r w:rsidRPr="0035187E">
              <w:rPr>
                <w:rFonts w:ascii="Times New Roman" w:eastAsia="Calibri" w:hAnsi="Times New Roman" w:cs="Times New Roman"/>
                <w:sz w:val="20"/>
                <w:szCs w:val="20"/>
                <w:lang w:eastAsia="en-US"/>
              </w:rPr>
              <w:t>Industrial</w:t>
            </w:r>
            <w:proofErr w:type="spellEnd"/>
            <w:r w:rsidRPr="0035187E">
              <w:rPr>
                <w:rFonts w:ascii="Times New Roman" w:eastAsia="Calibri" w:hAnsi="Times New Roman" w:cs="Times New Roman"/>
                <w:sz w:val="20"/>
                <w:szCs w:val="20"/>
                <w:lang w:eastAsia="en-US"/>
              </w:rPr>
              <w:t xml:space="preserve"> </w:t>
            </w:r>
            <w:proofErr w:type="spellStart"/>
            <w:r w:rsidRPr="0035187E">
              <w:rPr>
                <w:rFonts w:ascii="Times New Roman" w:eastAsia="Calibri" w:hAnsi="Times New Roman" w:cs="Times New Roman"/>
                <w:sz w:val="20"/>
                <w:szCs w:val="20"/>
                <w:lang w:eastAsia="en-US"/>
              </w:rPr>
              <w:t>Deal</w:t>
            </w:r>
            <w:proofErr w:type="spellEnd"/>
            <w:r w:rsidRPr="0035187E">
              <w:rPr>
                <w:rFonts w:ascii="Times New Roman" w:eastAsia="Calibri" w:hAnsi="Times New Roman" w:cs="Times New Roman"/>
                <w:sz w:val="20"/>
                <w:szCs w:val="20"/>
                <w:lang w:eastAsia="en-US"/>
              </w:rPr>
              <w:t xml:space="preserve">, </w:t>
            </w:r>
            <w:proofErr w:type="spellStart"/>
            <w:r w:rsidRPr="0035187E">
              <w:rPr>
                <w:rFonts w:ascii="Times New Roman" w:eastAsia="Calibri" w:hAnsi="Times New Roman" w:cs="Times New Roman"/>
                <w:sz w:val="20"/>
                <w:szCs w:val="20"/>
                <w:lang w:eastAsia="en-US"/>
              </w:rPr>
              <w:t>Action</w:t>
            </w:r>
            <w:proofErr w:type="spellEnd"/>
            <w:r w:rsidRPr="0035187E">
              <w:rPr>
                <w:rFonts w:ascii="Times New Roman" w:eastAsia="Calibri" w:hAnsi="Times New Roman" w:cs="Times New Roman"/>
                <w:sz w:val="20"/>
                <w:szCs w:val="20"/>
                <w:lang w:eastAsia="en-US"/>
              </w:rPr>
              <w:t xml:space="preserve"> </w:t>
            </w:r>
            <w:proofErr w:type="spellStart"/>
            <w:r w:rsidRPr="0035187E">
              <w:rPr>
                <w:rFonts w:ascii="Times New Roman" w:eastAsia="Calibri" w:hAnsi="Times New Roman" w:cs="Times New Roman"/>
                <w:sz w:val="20"/>
                <w:szCs w:val="20"/>
                <w:lang w:eastAsia="en-US"/>
              </w:rPr>
              <w:t>plan</w:t>
            </w:r>
            <w:proofErr w:type="spellEnd"/>
            <w:r w:rsidRPr="0035187E">
              <w:rPr>
                <w:rFonts w:ascii="Times New Roman" w:eastAsia="Calibri" w:hAnsi="Times New Roman" w:cs="Times New Roman"/>
                <w:sz w:val="20"/>
                <w:szCs w:val="20"/>
                <w:lang w:eastAsia="en-US"/>
              </w:rPr>
              <w:t xml:space="preserve"> </w:t>
            </w:r>
            <w:proofErr w:type="spellStart"/>
            <w:r w:rsidRPr="0035187E">
              <w:rPr>
                <w:rFonts w:ascii="Times New Roman" w:eastAsia="Calibri" w:hAnsi="Times New Roman" w:cs="Times New Roman"/>
                <w:sz w:val="20"/>
                <w:szCs w:val="20"/>
                <w:lang w:eastAsia="en-US"/>
              </w:rPr>
              <w:t>for</w:t>
            </w:r>
            <w:proofErr w:type="spellEnd"/>
            <w:r w:rsidRPr="0035187E">
              <w:rPr>
                <w:rFonts w:ascii="Times New Roman" w:eastAsia="Calibri" w:hAnsi="Times New Roman" w:cs="Times New Roman"/>
                <w:sz w:val="20"/>
                <w:szCs w:val="20"/>
                <w:lang w:eastAsia="en-US"/>
              </w:rPr>
              <w:t xml:space="preserve"> </w:t>
            </w:r>
            <w:proofErr w:type="spellStart"/>
            <w:r w:rsidRPr="0035187E">
              <w:rPr>
                <w:rFonts w:ascii="Times New Roman" w:eastAsia="Calibri" w:hAnsi="Times New Roman" w:cs="Times New Roman"/>
                <w:sz w:val="20"/>
                <w:szCs w:val="20"/>
                <w:lang w:eastAsia="en-US"/>
              </w:rPr>
              <w:t>affordable</w:t>
            </w:r>
            <w:proofErr w:type="spellEnd"/>
            <w:r w:rsidRPr="0035187E">
              <w:rPr>
                <w:rFonts w:ascii="Times New Roman" w:eastAsia="Calibri" w:hAnsi="Times New Roman" w:cs="Times New Roman"/>
                <w:sz w:val="20"/>
                <w:szCs w:val="20"/>
                <w:lang w:eastAsia="en-US"/>
              </w:rPr>
              <w:t xml:space="preserve"> </w:t>
            </w:r>
            <w:proofErr w:type="spellStart"/>
            <w:r w:rsidRPr="0035187E">
              <w:rPr>
                <w:rFonts w:ascii="Times New Roman" w:eastAsia="Calibri" w:hAnsi="Times New Roman" w:cs="Times New Roman"/>
                <w:sz w:val="20"/>
                <w:szCs w:val="20"/>
                <w:lang w:eastAsia="en-US"/>
              </w:rPr>
              <w:t>energy</w:t>
            </w:r>
            <w:proofErr w:type="spellEnd"/>
            <w:r w:rsidRPr="0035187E">
              <w:rPr>
                <w:rFonts w:ascii="Times New Roman" w:eastAsia="Calibri" w:hAnsi="Times New Roman" w:cs="Times New Roman"/>
                <w:sz w:val="20"/>
                <w:szCs w:val="20"/>
                <w:lang w:eastAsia="en-US"/>
              </w:rPr>
              <w:t xml:space="preserve">, </w:t>
            </w:r>
            <w:proofErr w:type="spellStart"/>
            <w:r w:rsidRPr="0035187E">
              <w:rPr>
                <w:rFonts w:ascii="Times New Roman" w:eastAsia="Calibri" w:hAnsi="Times New Roman" w:cs="Times New Roman"/>
                <w:sz w:val="20"/>
                <w:szCs w:val="20"/>
                <w:lang w:eastAsia="en-US"/>
              </w:rPr>
              <w:t>Action</w:t>
            </w:r>
            <w:proofErr w:type="spellEnd"/>
            <w:r w:rsidRPr="0035187E">
              <w:rPr>
                <w:rFonts w:ascii="Times New Roman" w:eastAsia="Calibri" w:hAnsi="Times New Roman" w:cs="Times New Roman"/>
                <w:sz w:val="20"/>
                <w:szCs w:val="20"/>
                <w:lang w:eastAsia="en-US"/>
              </w:rPr>
              <w:t xml:space="preserve"> </w:t>
            </w:r>
            <w:proofErr w:type="spellStart"/>
            <w:r w:rsidRPr="0035187E">
              <w:rPr>
                <w:rFonts w:ascii="Times New Roman" w:eastAsia="Calibri" w:hAnsi="Times New Roman" w:cs="Times New Roman"/>
                <w:sz w:val="20"/>
                <w:szCs w:val="20"/>
                <w:lang w:eastAsia="en-US"/>
              </w:rPr>
              <w:t>plan</w:t>
            </w:r>
            <w:proofErr w:type="spellEnd"/>
            <w:r w:rsidRPr="0035187E">
              <w:rPr>
                <w:rFonts w:ascii="Times New Roman" w:eastAsia="Calibri" w:hAnsi="Times New Roman" w:cs="Times New Roman"/>
                <w:sz w:val="20"/>
                <w:szCs w:val="20"/>
                <w:lang w:eastAsia="en-US"/>
              </w:rPr>
              <w:t xml:space="preserve"> </w:t>
            </w:r>
            <w:proofErr w:type="spellStart"/>
            <w:r w:rsidRPr="0035187E">
              <w:rPr>
                <w:rFonts w:ascii="Times New Roman" w:eastAsia="Calibri" w:hAnsi="Times New Roman" w:cs="Times New Roman"/>
                <w:sz w:val="20"/>
                <w:szCs w:val="20"/>
                <w:lang w:eastAsia="en-US"/>
              </w:rPr>
              <w:t>for</w:t>
            </w:r>
            <w:proofErr w:type="spellEnd"/>
            <w:r w:rsidRPr="0035187E">
              <w:rPr>
                <w:rFonts w:ascii="Times New Roman" w:eastAsia="Calibri" w:hAnsi="Times New Roman" w:cs="Times New Roman"/>
                <w:sz w:val="20"/>
                <w:szCs w:val="20"/>
                <w:lang w:eastAsia="en-US"/>
              </w:rPr>
              <w:t xml:space="preserve"> </w:t>
            </w:r>
            <w:proofErr w:type="spellStart"/>
            <w:r w:rsidRPr="0035187E">
              <w:rPr>
                <w:rFonts w:ascii="Times New Roman" w:eastAsia="Calibri" w:hAnsi="Times New Roman" w:cs="Times New Roman"/>
                <w:sz w:val="20"/>
                <w:szCs w:val="20"/>
                <w:lang w:eastAsia="en-US"/>
              </w:rPr>
              <w:t>steel</w:t>
            </w:r>
            <w:proofErr w:type="spellEnd"/>
            <w:r w:rsidRPr="0035187E">
              <w:rPr>
                <w:rFonts w:ascii="Times New Roman" w:eastAsia="Calibri" w:hAnsi="Times New Roman" w:cs="Times New Roman"/>
                <w:sz w:val="20"/>
                <w:szCs w:val="20"/>
                <w:lang w:eastAsia="en-US"/>
              </w:rPr>
              <w:t xml:space="preserve"> and </w:t>
            </w:r>
            <w:proofErr w:type="gramStart"/>
            <w:r w:rsidRPr="0035187E">
              <w:rPr>
                <w:rFonts w:ascii="Times New Roman" w:eastAsia="Calibri" w:hAnsi="Times New Roman" w:cs="Times New Roman"/>
                <w:sz w:val="20"/>
                <w:szCs w:val="20"/>
                <w:lang w:eastAsia="en-US"/>
              </w:rPr>
              <w:t>metals,</w:t>
            </w:r>
            <w:proofErr w:type="gramEnd"/>
            <w:r w:rsidRPr="0035187E">
              <w:rPr>
                <w:rFonts w:ascii="Times New Roman" w:eastAsia="Calibri" w:hAnsi="Times New Roman" w:cs="Times New Roman"/>
                <w:sz w:val="20"/>
                <w:szCs w:val="20"/>
                <w:lang w:eastAsia="en-US"/>
              </w:rPr>
              <w:t xml:space="preserve"> atd.). Tato krize se nyní skokově prohlubuje také v důsledku geopolitických nejistoty a Íránské krize s dopadem na zvýšení cen zemního plynu a energií v EU. S nejvyšší mírou věcné a časové urgence tak žádáme vládu, aby provedla žádanou legislativní změnu a pomohla tak zachovat existenci zmíněných odvětví v ČR. Je navíc nutno upozornit, že rozpočtové dopady obnovení osvobození se odhadují pouze na stovky milionů Kč (pozn. dle </w:t>
            </w:r>
            <w:hyperlink r:id="rId18" w:history="1">
              <w:r w:rsidRPr="0035187E">
                <w:rPr>
                  <w:rFonts w:ascii="Times New Roman" w:eastAsia="Calibri" w:hAnsi="Times New Roman" w:cs="Times New Roman"/>
                  <w:sz w:val="20"/>
                  <w:szCs w:val="20"/>
                  <w:u w:val="single"/>
                  <w:lang w:eastAsia="en-US"/>
                </w:rPr>
                <w:t>Zprávy</w:t>
              </w:r>
            </w:hyperlink>
            <w:r w:rsidRPr="0035187E">
              <w:rPr>
                <w:rFonts w:ascii="Times New Roman" w:eastAsia="Calibri" w:hAnsi="Times New Roman" w:cs="Times New Roman"/>
                <w:sz w:val="20"/>
                <w:szCs w:val="20"/>
                <w:lang w:eastAsia="en-US"/>
              </w:rPr>
              <w:t xml:space="preserve"> o činnosti Finanční a Celní správy stouply za rok 2024 příjmy z tzv. energetických daní po zrušení výjimky pro metalurgické a mineralogické procesy o 0,3 mld. Kč oproti roku 2023). </w:t>
            </w:r>
          </w:p>
          <w:p w14:paraId="55F12924" w14:textId="77777777" w:rsidR="000B4BD4" w:rsidRPr="0035187E" w:rsidRDefault="000B4BD4" w:rsidP="0035187E">
            <w:pPr>
              <w:numPr>
                <w:ilvl w:val="0"/>
                <w:numId w:val="66"/>
              </w:numPr>
              <w:ind w:left="0" w:firstLine="0"/>
              <w:contextualSpacing/>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Dle rozsudku Nejvyššího správního soudu je upraven výklad osvobození paliva pro kombinovanou výrobu elektřiny a tepla (KVET) pouze v rozsahu dodávky tepla domácnostem (nikoliv jako doposud veškeré palivo využívané pro kombinovanou výboru elektřiny a tepla dodávané alespoň dvěma domácnostem). Tento výklad by vedl ke skokovému navýšení zdanění tepla zejména pro průmysl, který má už tak vysoké ceny energií, a současně by výrazně narostla administrativa spojená se správou daně, a to jak na straně státu, tak na straně povinných subjektů. Navrhujeme zahájit diskuzi o možnostech legislativní úpravy, která zajistí paliva pro KVET i pro průmysl, mj. v návaznosti na možnosti osvobození dle Směrnice Rady 2003/96/ES, kterou se mění struktura rámcových předpisů Společenství o zdanění energetických produktů a elektřiny. </w:t>
            </w:r>
          </w:p>
          <w:p w14:paraId="75352448" w14:textId="4E2C59E2" w:rsidR="000B4BD4" w:rsidRPr="0035187E" w:rsidRDefault="000B4BD4" w:rsidP="0035187E">
            <w:pPr>
              <w:jc w:val="both"/>
              <w:rPr>
                <w:rFonts w:ascii="Times New Roman" w:hAnsi="Times New Roman" w:cs="Times New Roman"/>
                <w:sz w:val="20"/>
                <w:szCs w:val="20"/>
              </w:rPr>
            </w:pPr>
            <w:r w:rsidRPr="0035187E">
              <w:rPr>
                <w:rFonts w:ascii="Times New Roman" w:eastAsia="Calibri" w:hAnsi="Times New Roman" w:cs="Times New Roman"/>
                <w:b/>
                <w:bCs/>
                <w:sz w:val="20"/>
                <w:szCs w:val="20"/>
                <w:lang w:eastAsia="en-US"/>
              </w:rPr>
              <w:t xml:space="preserve">Tato připomínka je zásadní. </w:t>
            </w:r>
          </w:p>
        </w:tc>
        <w:tc>
          <w:tcPr>
            <w:tcW w:w="1453" w:type="pct"/>
            <w:tcBorders>
              <w:top w:val="single" w:sz="4" w:space="0" w:color="auto"/>
              <w:left w:val="single" w:sz="4" w:space="0" w:color="auto"/>
              <w:right w:val="single" w:sz="4" w:space="0" w:color="auto"/>
            </w:tcBorders>
            <w:shd w:val="clear" w:color="auto" w:fill="auto"/>
          </w:tcPr>
          <w:p w14:paraId="2086648C"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Nevyhověno.</w:t>
            </w:r>
          </w:p>
          <w:p w14:paraId="4B206F6D"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Podnět přesahuje rámec navrhované úpravy zákona o evidenci tržeb.</w:t>
            </w:r>
          </w:p>
          <w:p w14:paraId="557F3806" w14:textId="77777777" w:rsidR="000B4BD4" w:rsidRPr="0035187E" w:rsidRDefault="000B4BD4" w:rsidP="0035187E">
            <w:pPr>
              <w:jc w:val="both"/>
              <w:rPr>
                <w:rFonts w:ascii="Times New Roman" w:hAnsi="Times New Roman" w:cs="Times New Roman"/>
                <w:b/>
                <w:bCs/>
                <w:sz w:val="20"/>
                <w:szCs w:val="20"/>
              </w:rPr>
            </w:pPr>
          </w:p>
          <w:p w14:paraId="73DC06ED" w14:textId="18812F63"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K písmenu a):</w:t>
            </w:r>
          </w:p>
          <w:p w14:paraId="0D3DA295"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Jde o nesystémovou daňovou výjimku, která může vést k riziku zneužití a implikuje složitou správu daně (v době osvobození vznikaly vleklé soudní spory, které činnosti lze osvobodit, včetně českého sporu u SDEU). Dále je toto opatření spojeno s negativním rozpočtovým dopadem ve výši stamiliónů Kč ročně. Navíc dopady do nákladů dotčených sektorů jsou relativně nízké (stávající daňová sazba je velmi nízká v porovnání s cenou dotčených energetických produktů a strukturou celkových nákladů odvětví). Daňové zvýhodnění těchto sektorů není explicitně uvedeno v programovém prohlášení vlády ani Hospodářské strategii (Česko země pro budoucnost 2.0).</w:t>
            </w:r>
          </w:p>
          <w:p w14:paraId="6C1CBD8A" w14:textId="77777777" w:rsidR="000B4BD4" w:rsidRPr="0035187E" w:rsidRDefault="000B4BD4" w:rsidP="0035187E">
            <w:pPr>
              <w:jc w:val="both"/>
              <w:rPr>
                <w:rFonts w:ascii="Times New Roman" w:hAnsi="Times New Roman" w:cs="Times New Roman"/>
                <w:sz w:val="20"/>
                <w:szCs w:val="20"/>
              </w:rPr>
            </w:pPr>
          </w:p>
          <w:p w14:paraId="0D1930BF" w14:textId="77777777"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K písmenu b):</w:t>
            </w:r>
          </w:p>
          <w:p w14:paraId="12BDDB24" w14:textId="570F380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lastRenderedPageBreak/>
              <w:t>Jedná se o opatření, které je spojeno s negativními rozpočtovými dopady v řádu 0,1 mld. Kč ročně (oproti situaci vyložené NSS). V současné době je zároveň správcem daně zpracovávána podrobná informace, jak mají subjekty v této věci postupovat. Tato informace bude publikována na webových stránkách správce daně v nejbližší době.</w:t>
            </w:r>
          </w:p>
        </w:tc>
      </w:tr>
      <w:tr w:rsidR="0035187E" w:rsidRPr="0035187E" w14:paraId="2E264991"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41C7A57" w14:textId="4514374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76.</w:t>
            </w:r>
          </w:p>
        </w:tc>
        <w:tc>
          <w:tcPr>
            <w:tcW w:w="583" w:type="pct"/>
            <w:tcBorders>
              <w:top w:val="single" w:sz="4" w:space="0" w:color="auto"/>
              <w:left w:val="single" w:sz="4" w:space="0" w:color="auto"/>
              <w:right w:val="single" w:sz="4" w:space="0" w:color="auto"/>
            </w:tcBorders>
            <w:shd w:val="clear" w:color="auto" w:fill="auto"/>
          </w:tcPr>
          <w:p w14:paraId="638E50B7" w14:textId="04073DB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Unie zaměstnavatelských svazů České republiky</w:t>
            </w:r>
          </w:p>
        </w:tc>
        <w:tc>
          <w:tcPr>
            <w:tcW w:w="168" w:type="pct"/>
            <w:tcBorders>
              <w:top w:val="single" w:sz="4" w:space="0" w:color="auto"/>
              <w:left w:val="single" w:sz="4" w:space="0" w:color="auto"/>
              <w:right w:val="single" w:sz="4" w:space="0" w:color="auto"/>
            </w:tcBorders>
            <w:shd w:val="clear" w:color="auto" w:fill="auto"/>
          </w:tcPr>
          <w:p w14:paraId="65BB7902" w14:textId="1E842B7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641E3D95" w14:textId="4F8532C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3F27763F" w14:textId="77777777" w:rsidR="000B4BD4" w:rsidRPr="0035187E" w:rsidRDefault="000B4BD4" w:rsidP="0035187E">
            <w:pPr>
              <w:jc w:val="both"/>
              <w:rPr>
                <w:rFonts w:ascii="Times New Roman" w:eastAsia="Calibri" w:hAnsi="Times New Roman" w:cs="Times New Roman"/>
                <w:b/>
                <w:sz w:val="20"/>
                <w:szCs w:val="20"/>
                <w:u w:val="single"/>
                <w:lang w:eastAsia="en-US"/>
              </w:rPr>
            </w:pPr>
            <w:r w:rsidRPr="0035187E">
              <w:rPr>
                <w:rFonts w:ascii="Times New Roman" w:eastAsia="Calibri" w:hAnsi="Times New Roman" w:cs="Times New Roman"/>
                <w:b/>
                <w:sz w:val="20"/>
                <w:szCs w:val="20"/>
                <w:u w:val="single"/>
                <w:lang w:eastAsia="en-US"/>
              </w:rPr>
              <w:t>Konkrétní připomínky</w:t>
            </w:r>
          </w:p>
          <w:p w14:paraId="36B6D8B3" w14:textId="77777777" w:rsidR="000B4BD4" w:rsidRPr="0035187E" w:rsidRDefault="000B4BD4" w:rsidP="0035187E">
            <w:pPr>
              <w:tabs>
                <w:tab w:val="left" w:pos="720"/>
              </w:tabs>
              <w:jc w:val="both"/>
              <w:rPr>
                <w:rFonts w:ascii="Times New Roman" w:eastAsia="Calibri" w:hAnsi="Times New Roman" w:cs="Times New Roman"/>
                <w:sz w:val="20"/>
                <w:szCs w:val="20"/>
                <w:lang w:eastAsia="en-US"/>
              </w:rPr>
            </w:pPr>
          </w:p>
          <w:p w14:paraId="67F02940" w14:textId="7D7B585E" w:rsidR="000B4BD4" w:rsidRPr="0035187E" w:rsidRDefault="000B4BD4" w:rsidP="0035187E">
            <w:pPr>
              <w:tabs>
                <w:tab w:val="left" w:pos="720"/>
              </w:tabs>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K § 12 odst.</w:t>
            </w:r>
            <w:r w:rsidR="009700F1" w:rsidRPr="0035187E">
              <w:rPr>
                <w:rFonts w:ascii="Times New Roman" w:eastAsia="Calibri" w:hAnsi="Times New Roman" w:cs="Times New Roman"/>
                <w:sz w:val="20"/>
                <w:szCs w:val="20"/>
                <w:lang w:eastAsia="en-US"/>
              </w:rPr>
              <w:t xml:space="preserve"> </w:t>
            </w:r>
            <w:r w:rsidRPr="0035187E">
              <w:rPr>
                <w:rFonts w:ascii="Times New Roman" w:eastAsia="Calibri" w:hAnsi="Times New Roman" w:cs="Times New Roman"/>
                <w:sz w:val="20"/>
                <w:szCs w:val="20"/>
                <w:lang w:eastAsia="en-US"/>
              </w:rPr>
              <w:t xml:space="preserve">2 návrhu zákona o evidenci tržeb – </w:t>
            </w:r>
            <w:r w:rsidRPr="0035187E">
              <w:rPr>
                <w:rFonts w:ascii="Times New Roman" w:eastAsia="Calibri" w:hAnsi="Times New Roman" w:cs="Times New Roman"/>
                <w:i/>
                <w:iCs/>
                <w:sz w:val="20"/>
                <w:szCs w:val="20"/>
                <w:lang w:eastAsia="en-US"/>
              </w:rPr>
              <w:t>Vynětí z evidence tržeb podle poplatníka</w:t>
            </w:r>
            <w:r w:rsidRPr="0035187E">
              <w:rPr>
                <w:rFonts w:ascii="Times New Roman" w:eastAsia="Calibri" w:hAnsi="Times New Roman" w:cs="Times New Roman"/>
                <w:sz w:val="20"/>
                <w:szCs w:val="20"/>
                <w:lang w:eastAsia="en-US"/>
              </w:rPr>
              <w:t xml:space="preserve"> </w:t>
            </w:r>
          </w:p>
          <w:p w14:paraId="7FB9E1CE" w14:textId="77777777" w:rsidR="000B4BD4" w:rsidRPr="0035187E" w:rsidRDefault="000B4BD4" w:rsidP="0035187E">
            <w:pPr>
              <w:tabs>
                <w:tab w:val="left" w:pos="720"/>
              </w:tabs>
              <w:jc w:val="both"/>
              <w:rPr>
                <w:rFonts w:ascii="Times New Roman" w:eastAsia="Calibri" w:hAnsi="Times New Roman" w:cs="Times New Roman"/>
                <w:sz w:val="20"/>
                <w:szCs w:val="20"/>
                <w:lang w:eastAsia="en-US"/>
              </w:rPr>
            </w:pPr>
          </w:p>
          <w:p w14:paraId="036B5857" w14:textId="12088D1D" w:rsidR="000B4BD4" w:rsidRPr="0035187E" w:rsidRDefault="000B4BD4" w:rsidP="0035187E">
            <w:pPr>
              <w:jc w:val="both"/>
              <w:rPr>
                <w:rFonts w:ascii="Times New Roman" w:eastAsia="Calibri" w:hAnsi="Times New Roman" w:cs="Times New Roman"/>
                <w:sz w:val="20"/>
                <w:szCs w:val="20"/>
              </w:rPr>
            </w:pPr>
            <w:r w:rsidRPr="0035187E">
              <w:rPr>
                <w:rFonts w:ascii="Times New Roman" w:eastAsia="Calibri" w:hAnsi="Times New Roman" w:cs="Times New Roman"/>
                <w:sz w:val="20"/>
                <w:szCs w:val="20"/>
              </w:rPr>
              <w:t>Navrhujeme</w:t>
            </w:r>
            <w:r w:rsidRPr="0035187E">
              <w:rPr>
                <w:rFonts w:ascii="Times New Roman" w:eastAsia="Calibri" w:hAnsi="Times New Roman" w:cs="Times New Roman"/>
                <w:b/>
                <w:bCs/>
                <w:sz w:val="20"/>
                <w:szCs w:val="20"/>
              </w:rPr>
              <w:t xml:space="preserve"> </w:t>
            </w:r>
            <w:r w:rsidRPr="0035187E">
              <w:rPr>
                <w:rFonts w:ascii="Times New Roman" w:eastAsia="Calibri" w:hAnsi="Times New Roman" w:cs="Times New Roman"/>
                <w:sz w:val="20"/>
                <w:szCs w:val="20"/>
              </w:rPr>
              <w:t>doplnění „zdravotních pojišťoven“ do ustanovení § 12 odst. 2 návrhu nového zákona o evidenci tržeb, tzn.  mezi poplatníky vyňaté z evidence tržeb, přičemž toto ustanovení navrhujeme upravit následujícím způsobem:</w:t>
            </w:r>
          </w:p>
          <w:p w14:paraId="6D1A57D1" w14:textId="77777777" w:rsidR="000B4BD4" w:rsidRPr="0035187E" w:rsidRDefault="000B4BD4" w:rsidP="0035187E">
            <w:pPr>
              <w:jc w:val="both"/>
              <w:rPr>
                <w:rFonts w:ascii="Times New Roman" w:eastAsia="Calibri" w:hAnsi="Times New Roman" w:cs="Times New Roman"/>
                <w:sz w:val="20"/>
                <w:szCs w:val="20"/>
                <w:u w:val="single"/>
                <w:lang w:eastAsia="en-US"/>
              </w:rPr>
            </w:pPr>
          </w:p>
          <w:p w14:paraId="4828BE26" w14:textId="77777777" w:rsidR="000B4BD4" w:rsidRPr="0035187E" w:rsidRDefault="000B4BD4" w:rsidP="0035187E">
            <w:pPr>
              <w:ind w:firstLine="425"/>
              <w:jc w:val="both"/>
              <w:rPr>
                <w:rFonts w:ascii="Times New Roman" w:eastAsia="Calibri" w:hAnsi="Times New Roman" w:cs="Times New Roman"/>
                <w:i/>
                <w:iCs/>
                <w:sz w:val="20"/>
                <w:szCs w:val="20"/>
              </w:rPr>
            </w:pPr>
            <w:r w:rsidRPr="0035187E">
              <w:rPr>
                <w:rFonts w:ascii="Times New Roman" w:eastAsia="Calibri" w:hAnsi="Times New Roman" w:cs="Times New Roman"/>
                <w:i/>
                <w:iCs/>
                <w:sz w:val="20"/>
                <w:szCs w:val="20"/>
                <w:lang w:eastAsia="en-US"/>
              </w:rPr>
              <w:t>(2) Evidovanou tržbou nejsou také tržby</w:t>
            </w:r>
          </w:p>
          <w:p w14:paraId="5E1388A7" w14:textId="77777777" w:rsidR="000B4BD4" w:rsidRPr="0035187E" w:rsidRDefault="000B4BD4" w:rsidP="0035187E">
            <w:pPr>
              <w:jc w:val="both"/>
              <w:rPr>
                <w:rFonts w:ascii="Times New Roman" w:eastAsia="Calibri" w:hAnsi="Times New Roman" w:cs="Times New Roman"/>
                <w:i/>
                <w:iCs/>
                <w:sz w:val="20"/>
                <w:szCs w:val="20"/>
              </w:rPr>
            </w:pPr>
            <w:r w:rsidRPr="0035187E">
              <w:rPr>
                <w:rFonts w:ascii="Times New Roman" w:eastAsia="Calibri" w:hAnsi="Times New Roman" w:cs="Times New Roman"/>
                <w:i/>
                <w:iCs/>
                <w:sz w:val="20"/>
                <w:szCs w:val="20"/>
                <w:lang w:eastAsia="en-US"/>
              </w:rPr>
              <w:t>a)  banky, včetně zahraniční banky,</w:t>
            </w:r>
          </w:p>
          <w:p w14:paraId="2E6E4822" w14:textId="77777777" w:rsidR="000B4BD4" w:rsidRPr="0035187E" w:rsidRDefault="000B4BD4" w:rsidP="0035187E">
            <w:pPr>
              <w:jc w:val="both"/>
              <w:rPr>
                <w:rFonts w:ascii="Times New Roman" w:eastAsia="Calibri" w:hAnsi="Times New Roman" w:cs="Times New Roman"/>
                <w:i/>
                <w:iCs/>
                <w:sz w:val="20"/>
                <w:szCs w:val="20"/>
                <w:lang w:eastAsia="en-US"/>
              </w:rPr>
            </w:pPr>
            <w:r w:rsidRPr="0035187E">
              <w:rPr>
                <w:rFonts w:ascii="Times New Roman" w:eastAsia="Calibri" w:hAnsi="Times New Roman" w:cs="Times New Roman"/>
                <w:i/>
                <w:iCs/>
                <w:sz w:val="20"/>
                <w:szCs w:val="20"/>
                <w:lang w:eastAsia="en-US"/>
              </w:rPr>
              <w:t>b)  spořitelního a úvěrního družstva,</w:t>
            </w:r>
          </w:p>
          <w:p w14:paraId="57D2158B" w14:textId="77777777" w:rsidR="000B4BD4" w:rsidRPr="0035187E" w:rsidRDefault="000B4BD4" w:rsidP="0035187E">
            <w:pPr>
              <w:jc w:val="both"/>
              <w:rPr>
                <w:rFonts w:ascii="Times New Roman" w:eastAsia="Calibri" w:hAnsi="Times New Roman" w:cs="Times New Roman"/>
                <w:i/>
                <w:iCs/>
                <w:sz w:val="20"/>
                <w:szCs w:val="20"/>
                <w:lang w:eastAsia="en-US"/>
              </w:rPr>
            </w:pPr>
            <w:r w:rsidRPr="0035187E">
              <w:rPr>
                <w:rFonts w:ascii="Times New Roman" w:eastAsia="Calibri" w:hAnsi="Times New Roman" w:cs="Times New Roman"/>
                <w:i/>
                <w:iCs/>
                <w:sz w:val="20"/>
                <w:szCs w:val="20"/>
                <w:lang w:eastAsia="en-US"/>
              </w:rPr>
              <w:t>c)  pojišťovny a zajišťovny,</w:t>
            </w:r>
          </w:p>
          <w:p w14:paraId="3191637E" w14:textId="77777777" w:rsidR="000B4BD4" w:rsidRPr="0035187E" w:rsidRDefault="000B4BD4" w:rsidP="0035187E">
            <w:pPr>
              <w:jc w:val="both"/>
              <w:rPr>
                <w:rFonts w:ascii="Times New Roman" w:eastAsia="Calibri" w:hAnsi="Times New Roman" w:cs="Times New Roman"/>
                <w:b/>
                <w:bCs/>
                <w:i/>
                <w:iCs/>
                <w:sz w:val="20"/>
                <w:szCs w:val="20"/>
                <w:lang w:eastAsia="en-US"/>
              </w:rPr>
            </w:pPr>
            <w:r w:rsidRPr="0035187E">
              <w:rPr>
                <w:rFonts w:ascii="Times New Roman" w:eastAsia="Calibri" w:hAnsi="Times New Roman" w:cs="Times New Roman"/>
                <w:b/>
                <w:bCs/>
                <w:i/>
                <w:iCs/>
                <w:sz w:val="20"/>
                <w:szCs w:val="20"/>
                <w:lang w:eastAsia="en-US"/>
              </w:rPr>
              <w:lastRenderedPageBreak/>
              <w:t>d) zdravotní pojišťovny,</w:t>
            </w:r>
          </w:p>
          <w:p w14:paraId="31A2A520" w14:textId="77777777" w:rsidR="000B4BD4" w:rsidRPr="0035187E" w:rsidRDefault="000B4BD4" w:rsidP="0035187E">
            <w:pPr>
              <w:jc w:val="both"/>
              <w:rPr>
                <w:rFonts w:ascii="Times New Roman" w:eastAsia="Calibri" w:hAnsi="Times New Roman" w:cs="Times New Roman"/>
                <w:i/>
                <w:iCs/>
                <w:sz w:val="20"/>
                <w:szCs w:val="20"/>
                <w:lang w:eastAsia="en-US"/>
              </w:rPr>
            </w:pPr>
            <w:r w:rsidRPr="0035187E">
              <w:rPr>
                <w:rFonts w:ascii="Times New Roman" w:eastAsia="Calibri" w:hAnsi="Times New Roman" w:cs="Times New Roman"/>
                <w:i/>
                <w:iCs/>
                <w:strike/>
                <w:sz w:val="20"/>
                <w:szCs w:val="20"/>
                <w:lang w:eastAsia="en-US"/>
              </w:rPr>
              <w:t>d)</w:t>
            </w:r>
            <w:r w:rsidRPr="0035187E">
              <w:rPr>
                <w:rFonts w:ascii="Times New Roman" w:eastAsia="Calibri" w:hAnsi="Times New Roman" w:cs="Times New Roman"/>
                <w:i/>
                <w:iCs/>
                <w:sz w:val="20"/>
                <w:szCs w:val="20"/>
                <w:lang w:eastAsia="en-US"/>
              </w:rPr>
              <w:t xml:space="preserve"> e) investiční společnosti a investičního fondu,</w:t>
            </w:r>
          </w:p>
          <w:p w14:paraId="47A599FC" w14:textId="77777777" w:rsidR="000B4BD4" w:rsidRPr="0035187E" w:rsidRDefault="000B4BD4" w:rsidP="0035187E">
            <w:pPr>
              <w:jc w:val="both"/>
              <w:rPr>
                <w:rFonts w:ascii="Times New Roman" w:eastAsia="Calibri" w:hAnsi="Times New Roman" w:cs="Times New Roman"/>
                <w:i/>
                <w:iCs/>
                <w:sz w:val="20"/>
                <w:szCs w:val="20"/>
                <w:lang w:eastAsia="en-US"/>
              </w:rPr>
            </w:pPr>
            <w:r w:rsidRPr="0035187E">
              <w:rPr>
                <w:rFonts w:ascii="Times New Roman" w:eastAsia="Calibri" w:hAnsi="Times New Roman" w:cs="Times New Roman"/>
                <w:i/>
                <w:iCs/>
                <w:strike/>
                <w:sz w:val="20"/>
                <w:szCs w:val="20"/>
                <w:lang w:eastAsia="en-US"/>
              </w:rPr>
              <w:t>e)</w:t>
            </w:r>
            <w:r w:rsidRPr="0035187E">
              <w:rPr>
                <w:rFonts w:ascii="Times New Roman" w:eastAsia="Calibri" w:hAnsi="Times New Roman" w:cs="Times New Roman"/>
                <w:i/>
                <w:iCs/>
                <w:sz w:val="20"/>
                <w:szCs w:val="20"/>
                <w:lang w:eastAsia="en-US"/>
              </w:rPr>
              <w:t xml:space="preserve"> f) obchodníka s cennými papíry,</w:t>
            </w:r>
          </w:p>
          <w:p w14:paraId="37113ED3" w14:textId="77777777" w:rsidR="000B4BD4" w:rsidRPr="0035187E" w:rsidRDefault="000B4BD4" w:rsidP="0035187E">
            <w:pPr>
              <w:jc w:val="both"/>
              <w:rPr>
                <w:rFonts w:ascii="Times New Roman" w:eastAsia="Calibri" w:hAnsi="Times New Roman" w:cs="Times New Roman"/>
                <w:i/>
                <w:iCs/>
                <w:sz w:val="20"/>
                <w:szCs w:val="20"/>
                <w:lang w:eastAsia="en-US"/>
              </w:rPr>
            </w:pPr>
            <w:r w:rsidRPr="0035187E">
              <w:rPr>
                <w:rFonts w:ascii="Times New Roman" w:eastAsia="Calibri" w:hAnsi="Times New Roman" w:cs="Times New Roman"/>
                <w:i/>
                <w:iCs/>
                <w:strike/>
                <w:sz w:val="20"/>
                <w:szCs w:val="20"/>
                <w:lang w:eastAsia="en-US"/>
              </w:rPr>
              <w:t>f)</w:t>
            </w:r>
            <w:r w:rsidRPr="0035187E">
              <w:rPr>
                <w:rFonts w:ascii="Times New Roman" w:eastAsia="Calibri" w:hAnsi="Times New Roman" w:cs="Times New Roman"/>
                <w:i/>
                <w:iCs/>
                <w:sz w:val="20"/>
                <w:szCs w:val="20"/>
                <w:lang w:eastAsia="en-US"/>
              </w:rPr>
              <w:t>  g) centrálního depozitáře,</w:t>
            </w:r>
          </w:p>
          <w:p w14:paraId="2BA3FC2C" w14:textId="77777777" w:rsidR="000B4BD4" w:rsidRPr="0035187E" w:rsidRDefault="000B4BD4" w:rsidP="0035187E">
            <w:pPr>
              <w:jc w:val="both"/>
              <w:rPr>
                <w:rFonts w:ascii="Times New Roman" w:eastAsia="Calibri" w:hAnsi="Times New Roman" w:cs="Times New Roman"/>
                <w:i/>
                <w:iCs/>
                <w:sz w:val="20"/>
                <w:szCs w:val="20"/>
                <w:lang w:eastAsia="en-US"/>
              </w:rPr>
            </w:pPr>
            <w:r w:rsidRPr="0035187E">
              <w:rPr>
                <w:rFonts w:ascii="Times New Roman" w:eastAsia="Calibri" w:hAnsi="Times New Roman" w:cs="Times New Roman"/>
                <w:i/>
                <w:iCs/>
                <w:strike/>
                <w:sz w:val="20"/>
                <w:szCs w:val="20"/>
                <w:lang w:eastAsia="en-US"/>
              </w:rPr>
              <w:t>g)</w:t>
            </w:r>
            <w:r w:rsidRPr="0035187E">
              <w:rPr>
                <w:rFonts w:ascii="Times New Roman" w:eastAsia="Calibri" w:hAnsi="Times New Roman" w:cs="Times New Roman"/>
                <w:i/>
                <w:iCs/>
                <w:sz w:val="20"/>
                <w:szCs w:val="20"/>
                <w:lang w:eastAsia="en-US"/>
              </w:rPr>
              <w:t>  h) penzijní společnosti,</w:t>
            </w:r>
          </w:p>
          <w:p w14:paraId="4D0DDD74"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i/>
                <w:iCs/>
                <w:strike/>
                <w:sz w:val="20"/>
                <w:szCs w:val="20"/>
                <w:lang w:eastAsia="en-US"/>
              </w:rPr>
              <w:t>h)</w:t>
            </w:r>
            <w:r w:rsidRPr="0035187E">
              <w:rPr>
                <w:rFonts w:ascii="Times New Roman" w:eastAsia="Calibri" w:hAnsi="Times New Roman" w:cs="Times New Roman"/>
                <w:i/>
                <w:iCs/>
                <w:sz w:val="20"/>
                <w:szCs w:val="20"/>
                <w:lang w:eastAsia="en-US"/>
              </w:rPr>
              <w:t>  i) penzijního fondu.</w:t>
            </w:r>
          </w:p>
          <w:p w14:paraId="27F59132" w14:textId="77777777" w:rsidR="000B4BD4" w:rsidRPr="0035187E" w:rsidRDefault="000B4BD4" w:rsidP="0035187E">
            <w:pPr>
              <w:autoSpaceDE w:val="0"/>
              <w:autoSpaceDN w:val="0"/>
              <w:jc w:val="both"/>
              <w:rPr>
                <w:rFonts w:ascii="Times New Roman" w:eastAsia="Calibri" w:hAnsi="Times New Roman" w:cs="Times New Roman"/>
                <w:sz w:val="20"/>
                <w:szCs w:val="20"/>
              </w:rPr>
            </w:pPr>
          </w:p>
          <w:p w14:paraId="12CFEDC7" w14:textId="77777777" w:rsidR="000B4BD4" w:rsidRPr="0035187E" w:rsidRDefault="000B4BD4" w:rsidP="0035187E">
            <w:pPr>
              <w:autoSpaceDE w:val="0"/>
              <w:autoSpaceDN w:val="0"/>
              <w:jc w:val="both"/>
              <w:rPr>
                <w:rFonts w:ascii="Times New Roman" w:eastAsia="Calibri" w:hAnsi="Times New Roman" w:cs="Times New Roman"/>
                <w:sz w:val="20"/>
                <w:szCs w:val="20"/>
                <w:u w:val="single"/>
              </w:rPr>
            </w:pPr>
            <w:r w:rsidRPr="0035187E">
              <w:rPr>
                <w:rFonts w:ascii="Times New Roman" w:eastAsia="Calibri" w:hAnsi="Times New Roman" w:cs="Times New Roman"/>
                <w:sz w:val="20"/>
                <w:szCs w:val="20"/>
                <w:u w:val="single"/>
              </w:rPr>
              <w:t>Odůvodnění:</w:t>
            </w:r>
          </w:p>
          <w:p w14:paraId="4DE1B120" w14:textId="26A7D54E" w:rsidR="000B4BD4" w:rsidRPr="0035187E" w:rsidRDefault="000B4BD4" w:rsidP="0035187E">
            <w:pPr>
              <w:jc w:val="both"/>
              <w:rPr>
                <w:rFonts w:ascii="Times New Roman" w:eastAsia="Calibri" w:hAnsi="Times New Roman" w:cs="Times New Roman"/>
                <w:sz w:val="20"/>
                <w:szCs w:val="20"/>
              </w:rPr>
            </w:pPr>
            <w:r w:rsidRPr="0035187E">
              <w:rPr>
                <w:rFonts w:ascii="Times New Roman" w:eastAsia="Calibri" w:hAnsi="Times New Roman" w:cs="Times New Roman"/>
                <w:sz w:val="20"/>
                <w:szCs w:val="20"/>
              </w:rPr>
              <w:t xml:space="preserve">S ohledem na celkové pojetí § 12 návrhu nového zákona o evidenci tržeb se domníváme, že v případě, kdy budou evidenci tržeb podléhat bezhotovostní tržby, není výčet osvobozených poplatníků kompletní a schází v něm „zdravotní pojišťovny“. </w:t>
            </w:r>
          </w:p>
          <w:p w14:paraId="0FAEC5DD" w14:textId="77777777" w:rsidR="000B4BD4" w:rsidRPr="0035187E" w:rsidRDefault="000B4BD4" w:rsidP="0035187E">
            <w:pPr>
              <w:jc w:val="both"/>
              <w:rPr>
                <w:rFonts w:ascii="Times New Roman" w:eastAsia="Calibri" w:hAnsi="Times New Roman" w:cs="Times New Roman"/>
                <w:sz w:val="20"/>
                <w:szCs w:val="20"/>
              </w:rPr>
            </w:pPr>
          </w:p>
          <w:p w14:paraId="6654FD8D" w14:textId="3EE96F6D" w:rsidR="000B4BD4" w:rsidRPr="0035187E" w:rsidRDefault="000B4BD4" w:rsidP="0035187E">
            <w:pPr>
              <w:jc w:val="both"/>
              <w:rPr>
                <w:rFonts w:ascii="Times New Roman" w:eastAsia="Calibri" w:hAnsi="Times New Roman" w:cs="Times New Roman"/>
                <w:sz w:val="20"/>
                <w:szCs w:val="20"/>
              </w:rPr>
            </w:pPr>
            <w:r w:rsidRPr="0035187E">
              <w:rPr>
                <w:rFonts w:ascii="Times New Roman" w:eastAsia="Calibri" w:hAnsi="Times New Roman" w:cs="Times New Roman"/>
                <w:sz w:val="20"/>
                <w:szCs w:val="20"/>
              </w:rPr>
              <w:t xml:space="preserve">Zdravotní pojišťovny dle zavedených právních výkladů nespadají pod pojem „pojišťovny a zajišťovny“, neboť tento pojem takto označuje subjekty podnikající podle zákona č. 277/2009 Sb., o pojišťovnictví, ve znění pozdějších předpisů, tj. komerční subjekty poskytující soukromé neživotní a životní pojištění, případně zajištění. </w:t>
            </w:r>
          </w:p>
          <w:p w14:paraId="1C646EA8" w14:textId="77777777" w:rsidR="000B4BD4" w:rsidRPr="0035187E" w:rsidRDefault="000B4BD4" w:rsidP="0035187E">
            <w:pPr>
              <w:jc w:val="both"/>
              <w:rPr>
                <w:rFonts w:ascii="Times New Roman" w:eastAsia="Calibri" w:hAnsi="Times New Roman" w:cs="Times New Roman"/>
                <w:sz w:val="20"/>
                <w:szCs w:val="20"/>
              </w:rPr>
            </w:pPr>
          </w:p>
          <w:p w14:paraId="658FFDC3" w14:textId="77777777" w:rsidR="000B4BD4" w:rsidRPr="0035187E" w:rsidRDefault="000B4BD4" w:rsidP="0035187E">
            <w:pPr>
              <w:jc w:val="both"/>
              <w:rPr>
                <w:rFonts w:ascii="Times New Roman" w:eastAsia="Calibri" w:hAnsi="Times New Roman" w:cs="Times New Roman"/>
                <w:sz w:val="20"/>
                <w:szCs w:val="20"/>
              </w:rPr>
            </w:pPr>
            <w:r w:rsidRPr="0035187E">
              <w:rPr>
                <w:rFonts w:ascii="Times New Roman" w:eastAsia="Calibri" w:hAnsi="Times New Roman" w:cs="Times New Roman"/>
                <w:sz w:val="20"/>
                <w:szCs w:val="20"/>
              </w:rPr>
              <w:t>Navrhujeme proto, aby bylo v ustanovení § 12 odst. 2 návrhu nového zákona o evidenci tržeb doplněno za písm. c) nové písmeno d) ve znění „</w:t>
            </w:r>
            <w:r w:rsidRPr="0035187E">
              <w:rPr>
                <w:rFonts w:ascii="Times New Roman" w:eastAsia="Calibri" w:hAnsi="Times New Roman" w:cs="Times New Roman"/>
                <w:i/>
                <w:iCs/>
                <w:sz w:val="20"/>
                <w:szCs w:val="20"/>
              </w:rPr>
              <w:t>zdravotní pojišťovny</w:t>
            </w:r>
            <w:r w:rsidRPr="0035187E">
              <w:rPr>
                <w:rFonts w:ascii="Times New Roman" w:eastAsia="Calibri" w:hAnsi="Times New Roman" w:cs="Times New Roman"/>
                <w:sz w:val="20"/>
                <w:szCs w:val="20"/>
              </w:rPr>
              <w:t>“. Dosavadní písmena d) až h) bude třeba odpovídajícím způsobem přeznačit jako písm. e) až i).</w:t>
            </w:r>
          </w:p>
          <w:p w14:paraId="772D60A1" w14:textId="7EF18645" w:rsidR="000B4BD4" w:rsidRPr="0035187E" w:rsidRDefault="000B4BD4" w:rsidP="0035187E">
            <w:pPr>
              <w:jc w:val="right"/>
              <w:rPr>
                <w:rFonts w:ascii="Times New Roman" w:eastAsia="Aptos" w:hAnsi="Times New Roman" w:cs="Times New Roman"/>
                <w:sz w:val="20"/>
                <w:szCs w:val="20"/>
              </w:rPr>
            </w:pPr>
            <w:r w:rsidRPr="0035187E">
              <w:rPr>
                <w:rFonts w:ascii="Times New Roman" w:eastAsia="Aptos" w:hAnsi="Times New Roman" w:cs="Times New Roman"/>
                <w:sz w:val="20"/>
                <w:szCs w:val="20"/>
              </w:rPr>
              <w:t>tato připomínka je zásadní</w:t>
            </w:r>
          </w:p>
        </w:tc>
        <w:tc>
          <w:tcPr>
            <w:tcW w:w="1453" w:type="pct"/>
            <w:tcBorders>
              <w:top w:val="single" w:sz="4" w:space="0" w:color="auto"/>
              <w:left w:val="single" w:sz="4" w:space="0" w:color="auto"/>
              <w:right w:val="single" w:sz="4" w:space="0" w:color="auto"/>
            </w:tcBorders>
            <w:shd w:val="clear" w:color="auto" w:fill="auto"/>
          </w:tcPr>
          <w:p w14:paraId="49D3B39D" w14:textId="77777777" w:rsidR="000B4BD4" w:rsidRPr="0035187E" w:rsidRDefault="000B4BD4" w:rsidP="0035187E">
            <w:pPr>
              <w:jc w:val="both"/>
              <w:rPr>
                <w:rFonts w:ascii="Times New Roman" w:hAnsi="Times New Roman" w:cs="Times New Roman"/>
                <w:b/>
                <w:iCs/>
                <w:sz w:val="20"/>
                <w:szCs w:val="20"/>
              </w:rPr>
            </w:pPr>
            <w:r w:rsidRPr="0035187E">
              <w:rPr>
                <w:rFonts w:ascii="Times New Roman" w:hAnsi="Times New Roman" w:cs="Times New Roman"/>
                <w:b/>
                <w:iCs/>
                <w:sz w:val="20"/>
                <w:szCs w:val="20"/>
              </w:rPr>
              <w:lastRenderedPageBreak/>
              <w:t>Nevyhověno.</w:t>
            </w:r>
          </w:p>
          <w:p w14:paraId="22E10916" w14:textId="599E5E82"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iCs/>
                <w:sz w:val="20"/>
                <w:szCs w:val="20"/>
              </w:rPr>
              <w:t>Záměrem návrhu není (obdobně jako u původního zákona o evidenci tržeb) plošné vyloučení zdravotních pojišťoven z povinnosti evidovat tržby. Zdravotní pojišťovny neposkytují služby regulované zákonem o pojišťovnictví, a proto se na ně vynětí pro subjekty z oblasti finančního trhu nevztahuje.</w:t>
            </w:r>
          </w:p>
        </w:tc>
      </w:tr>
      <w:tr w:rsidR="0035187E" w:rsidRPr="0035187E" w14:paraId="445BFB9A"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9A4808F" w14:textId="05C48A1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76.</w:t>
            </w:r>
          </w:p>
        </w:tc>
        <w:tc>
          <w:tcPr>
            <w:tcW w:w="583" w:type="pct"/>
            <w:tcBorders>
              <w:top w:val="single" w:sz="4" w:space="0" w:color="auto"/>
              <w:left w:val="single" w:sz="4" w:space="0" w:color="auto"/>
              <w:right w:val="single" w:sz="4" w:space="0" w:color="auto"/>
            </w:tcBorders>
            <w:shd w:val="clear" w:color="auto" w:fill="auto"/>
          </w:tcPr>
          <w:p w14:paraId="76E4AE03" w14:textId="5FF1E6F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Unie zaměstnavatelských svazů České republiky</w:t>
            </w:r>
          </w:p>
        </w:tc>
        <w:tc>
          <w:tcPr>
            <w:tcW w:w="168" w:type="pct"/>
            <w:tcBorders>
              <w:top w:val="single" w:sz="4" w:space="0" w:color="auto"/>
              <w:left w:val="single" w:sz="4" w:space="0" w:color="auto"/>
              <w:right w:val="single" w:sz="4" w:space="0" w:color="auto"/>
            </w:tcBorders>
            <w:shd w:val="clear" w:color="auto" w:fill="auto"/>
          </w:tcPr>
          <w:p w14:paraId="3DF48E8B" w14:textId="3B3D8D5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w:t>
            </w:r>
          </w:p>
        </w:tc>
        <w:tc>
          <w:tcPr>
            <w:tcW w:w="169" w:type="pct"/>
            <w:tcBorders>
              <w:top w:val="single" w:sz="4" w:space="0" w:color="auto"/>
              <w:left w:val="single" w:sz="4" w:space="0" w:color="auto"/>
              <w:right w:val="single" w:sz="4" w:space="0" w:color="auto"/>
            </w:tcBorders>
            <w:shd w:val="clear" w:color="auto" w:fill="auto"/>
          </w:tcPr>
          <w:p w14:paraId="6A0D423C" w14:textId="4362FCC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6998E12" w14:textId="19189EBD" w:rsidR="000B4BD4" w:rsidRPr="0035187E" w:rsidRDefault="000B4BD4" w:rsidP="0035187E">
            <w:pPr>
              <w:tabs>
                <w:tab w:val="left" w:pos="720"/>
              </w:tabs>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K § 12 odst.2 návrhu zákona o evidenci tržeb – </w:t>
            </w:r>
            <w:r w:rsidRPr="0035187E">
              <w:rPr>
                <w:rFonts w:ascii="Times New Roman" w:eastAsia="Calibri" w:hAnsi="Times New Roman" w:cs="Times New Roman"/>
                <w:i/>
                <w:iCs/>
                <w:sz w:val="20"/>
                <w:szCs w:val="20"/>
                <w:lang w:eastAsia="en-US"/>
              </w:rPr>
              <w:t>Vynětí z evidence tržeb podle poplatníka</w:t>
            </w:r>
            <w:r w:rsidRPr="0035187E">
              <w:rPr>
                <w:rFonts w:ascii="Times New Roman" w:eastAsia="Calibri" w:hAnsi="Times New Roman" w:cs="Times New Roman"/>
                <w:sz w:val="20"/>
                <w:szCs w:val="20"/>
                <w:lang w:eastAsia="en-US"/>
              </w:rPr>
              <w:t xml:space="preserve"> </w:t>
            </w:r>
          </w:p>
          <w:p w14:paraId="608E78B9" w14:textId="77777777" w:rsidR="000B4BD4" w:rsidRPr="0035187E" w:rsidRDefault="000B4BD4" w:rsidP="0035187E">
            <w:pPr>
              <w:tabs>
                <w:tab w:val="left" w:pos="720"/>
              </w:tabs>
              <w:jc w:val="both"/>
              <w:rPr>
                <w:rFonts w:ascii="Times New Roman" w:eastAsia="Calibri" w:hAnsi="Times New Roman" w:cs="Times New Roman"/>
                <w:sz w:val="20"/>
                <w:szCs w:val="20"/>
                <w:lang w:eastAsia="en-US"/>
              </w:rPr>
            </w:pPr>
          </w:p>
          <w:p w14:paraId="4BEC0E12" w14:textId="77777777" w:rsidR="000B4BD4" w:rsidRPr="0035187E" w:rsidRDefault="000B4BD4" w:rsidP="0035187E">
            <w:pPr>
              <w:tabs>
                <w:tab w:val="left" w:pos="720"/>
              </w:tabs>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Navrhujeme doplnit do ustanovení nová písmena ve znění:</w:t>
            </w:r>
          </w:p>
          <w:p w14:paraId="39E4B7F5" w14:textId="77777777" w:rsidR="000B4BD4" w:rsidRPr="0035187E" w:rsidRDefault="000B4BD4" w:rsidP="0035187E">
            <w:pPr>
              <w:tabs>
                <w:tab w:val="left" w:pos="567"/>
              </w:tabs>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x) poplatníka poskytujícího spotřebitelské financování</w:t>
            </w:r>
          </w:p>
          <w:p w14:paraId="16720FAB" w14:textId="77777777" w:rsidR="000B4BD4" w:rsidRPr="0035187E" w:rsidRDefault="000B4BD4" w:rsidP="0035187E">
            <w:pPr>
              <w:tabs>
                <w:tab w:val="left" w:pos="567"/>
              </w:tabs>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x) poplatníka poskytujícího operativní či finanční pronájem</w:t>
            </w:r>
          </w:p>
          <w:p w14:paraId="30CFC88C" w14:textId="77777777" w:rsidR="000B4BD4" w:rsidRPr="0035187E" w:rsidRDefault="000B4BD4" w:rsidP="0035187E">
            <w:pPr>
              <w:tabs>
                <w:tab w:val="left" w:pos="567"/>
              </w:tabs>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x) poplatníka poskytujícího faktoringové služby</w:t>
            </w:r>
          </w:p>
          <w:p w14:paraId="2E4D69E5" w14:textId="77777777" w:rsidR="000B4BD4" w:rsidRPr="0035187E" w:rsidRDefault="000B4BD4" w:rsidP="0035187E">
            <w:pPr>
              <w:tabs>
                <w:tab w:val="left" w:pos="567"/>
              </w:tabs>
              <w:contextualSpacing/>
              <w:jc w:val="both"/>
              <w:rPr>
                <w:rFonts w:ascii="Times New Roman" w:eastAsia="Calibri" w:hAnsi="Times New Roman" w:cs="Times New Roman"/>
                <w:b/>
                <w:sz w:val="20"/>
                <w:szCs w:val="20"/>
                <w:lang w:eastAsia="en-US"/>
              </w:rPr>
            </w:pPr>
          </w:p>
          <w:p w14:paraId="6AE43128" w14:textId="77777777" w:rsidR="000B4BD4" w:rsidRPr="0035187E" w:rsidRDefault="000B4BD4" w:rsidP="0035187E">
            <w:pPr>
              <w:autoSpaceDE w:val="0"/>
              <w:autoSpaceDN w:val="0"/>
              <w:jc w:val="both"/>
              <w:rPr>
                <w:rFonts w:ascii="Times New Roman" w:eastAsia="Calibri" w:hAnsi="Times New Roman" w:cs="Times New Roman"/>
                <w:sz w:val="20"/>
                <w:szCs w:val="20"/>
                <w:u w:val="single"/>
              </w:rPr>
            </w:pPr>
            <w:r w:rsidRPr="0035187E">
              <w:rPr>
                <w:rFonts w:ascii="Times New Roman" w:eastAsia="Calibri" w:hAnsi="Times New Roman" w:cs="Times New Roman"/>
                <w:sz w:val="20"/>
                <w:szCs w:val="20"/>
                <w:u w:val="single"/>
              </w:rPr>
              <w:t xml:space="preserve">Odůvodnění: </w:t>
            </w:r>
          </w:p>
          <w:p w14:paraId="4F3EC9DC" w14:textId="77777777" w:rsidR="000B4BD4" w:rsidRPr="0035187E" w:rsidRDefault="000B4BD4" w:rsidP="0035187E">
            <w:pPr>
              <w:jc w:val="both"/>
              <w:rPr>
                <w:rFonts w:ascii="Times New Roman" w:eastAsia="Calibri" w:hAnsi="Times New Roman" w:cs="Times New Roman"/>
                <w:sz w:val="20"/>
                <w:szCs w:val="20"/>
              </w:rPr>
            </w:pPr>
            <w:r w:rsidRPr="0035187E">
              <w:rPr>
                <w:rFonts w:ascii="Times New Roman" w:eastAsia="Calibri" w:hAnsi="Times New Roman" w:cs="Times New Roman"/>
                <w:sz w:val="20"/>
                <w:szCs w:val="20"/>
              </w:rPr>
              <w:t>Přestože není příliš pravděpodobné, že by ke kontaktní platbě docházelo i v případě jiných entit poskytující finanční služby, doporučujeme toto postavit najisto a z předmětu EET specificky vyčlenit i subjekty poskytující spotřebitelské financování, faktoringové služby a leasing.</w:t>
            </w:r>
          </w:p>
          <w:p w14:paraId="19B2EC8A" w14:textId="2E461989" w:rsidR="000B4BD4" w:rsidRPr="0035187E" w:rsidRDefault="000B4BD4" w:rsidP="0035187E">
            <w:pPr>
              <w:jc w:val="right"/>
              <w:rPr>
                <w:rFonts w:ascii="Times New Roman" w:eastAsia="Aptos" w:hAnsi="Times New Roman" w:cs="Times New Roman"/>
                <w:sz w:val="20"/>
                <w:szCs w:val="20"/>
              </w:rPr>
            </w:pPr>
            <w:r w:rsidRPr="0035187E">
              <w:rPr>
                <w:rFonts w:ascii="Times New Roman" w:eastAsia="Aptos" w:hAnsi="Times New Roman" w:cs="Times New Roman"/>
                <w:sz w:val="20"/>
                <w:szCs w:val="20"/>
              </w:rPr>
              <w:t>tato připomínka je zásadní</w:t>
            </w:r>
          </w:p>
        </w:tc>
        <w:tc>
          <w:tcPr>
            <w:tcW w:w="1453" w:type="pct"/>
            <w:tcBorders>
              <w:top w:val="single" w:sz="4" w:space="0" w:color="auto"/>
              <w:left w:val="single" w:sz="4" w:space="0" w:color="auto"/>
              <w:right w:val="single" w:sz="4" w:space="0" w:color="auto"/>
            </w:tcBorders>
            <w:shd w:val="clear" w:color="auto" w:fill="auto"/>
          </w:tcPr>
          <w:p w14:paraId="15F99D92" w14:textId="77777777" w:rsidR="000B4BD4" w:rsidRPr="0035187E" w:rsidRDefault="000B4BD4" w:rsidP="0035187E">
            <w:pPr>
              <w:jc w:val="both"/>
              <w:rPr>
                <w:rFonts w:ascii="Times New Roman" w:hAnsi="Times New Roman" w:cs="Times New Roman"/>
                <w:b/>
                <w:iCs/>
                <w:sz w:val="20"/>
                <w:szCs w:val="20"/>
              </w:rPr>
            </w:pPr>
            <w:r w:rsidRPr="0035187E">
              <w:rPr>
                <w:rFonts w:ascii="Times New Roman" w:hAnsi="Times New Roman" w:cs="Times New Roman"/>
                <w:b/>
                <w:iCs/>
                <w:sz w:val="20"/>
                <w:szCs w:val="20"/>
              </w:rPr>
              <w:t>Nevyhověno.</w:t>
            </w:r>
          </w:p>
          <w:p w14:paraId="241EB0A0" w14:textId="77777777" w:rsidR="000B4BD4" w:rsidRPr="0035187E" w:rsidRDefault="000B4BD4"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Záměrem návrhu není (obdobně jako u původního zákona o evidenci tržeb) plošné vyloučení veškerých tržeb poplatníků, které (byť jen nepatrně) provádí vyjmenované činnosti. Takové řešení by bylo nelogické a popíralo by účel zákona tím, že by poskytlo snadný návod na vyhnutí se povinnosti evidovat tržby.</w:t>
            </w:r>
          </w:p>
          <w:p w14:paraId="00291D77" w14:textId="5DAB76CE" w:rsidR="000B4BD4" w:rsidRPr="0035187E" w:rsidRDefault="000B4BD4" w:rsidP="0035187E">
            <w:pPr>
              <w:jc w:val="both"/>
              <w:rPr>
                <w:rFonts w:ascii="Times New Roman" w:hAnsi="Times New Roman" w:cs="Times New Roman"/>
                <w:sz w:val="20"/>
                <w:szCs w:val="20"/>
              </w:rPr>
            </w:pPr>
          </w:p>
        </w:tc>
      </w:tr>
      <w:tr w:rsidR="0035187E" w:rsidRPr="0035187E" w14:paraId="2D6DF552"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41665FB" w14:textId="5E35CF4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76.</w:t>
            </w:r>
          </w:p>
        </w:tc>
        <w:tc>
          <w:tcPr>
            <w:tcW w:w="583" w:type="pct"/>
            <w:tcBorders>
              <w:top w:val="single" w:sz="4" w:space="0" w:color="auto"/>
              <w:left w:val="single" w:sz="4" w:space="0" w:color="auto"/>
              <w:right w:val="single" w:sz="4" w:space="0" w:color="auto"/>
            </w:tcBorders>
            <w:shd w:val="clear" w:color="auto" w:fill="auto"/>
          </w:tcPr>
          <w:p w14:paraId="6A52EE8D" w14:textId="515D5F7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Unie zaměstnavatelských svazů České republiky</w:t>
            </w:r>
          </w:p>
        </w:tc>
        <w:tc>
          <w:tcPr>
            <w:tcW w:w="168" w:type="pct"/>
            <w:tcBorders>
              <w:top w:val="single" w:sz="4" w:space="0" w:color="auto"/>
              <w:left w:val="single" w:sz="4" w:space="0" w:color="auto"/>
              <w:right w:val="single" w:sz="4" w:space="0" w:color="auto"/>
            </w:tcBorders>
            <w:shd w:val="clear" w:color="auto" w:fill="auto"/>
          </w:tcPr>
          <w:p w14:paraId="0A96830C" w14:textId="698F1A2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3.</w:t>
            </w:r>
          </w:p>
        </w:tc>
        <w:tc>
          <w:tcPr>
            <w:tcW w:w="169" w:type="pct"/>
            <w:tcBorders>
              <w:top w:val="single" w:sz="4" w:space="0" w:color="auto"/>
              <w:left w:val="single" w:sz="4" w:space="0" w:color="auto"/>
              <w:right w:val="single" w:sz="4" w:space="0" w:color="auto"/>
            </w:tcBorders>
            <w:shd w:val="clear" w:color="auto" w:fill="auto"/>
          </w:tcPr>
          <w:p w14:paraId="4B2E2572" w14:textId="31EA1F6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390537C4" w14:textId="54BA36A9" w:rsidR="000B4BD4" w:rsidRPr="0035187E" w:rsidRDefault="000B4BD4" w:rsidP="0035187E">
            <w:pPr>
              <w:tabs>
                <w:tab w:val="left" w:pos="720"/>
              </w:tabs>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K § 12 odst.2 návrhu zákona o evidenci tržeb – </w:t>
            </w:r>
            <w:r w:rsidRPr="0035187E">
              <w:rPr>
                <w:rFonts w:ascii="Times New Roman" w:eastAsia="Calibri" w:hAnsi="Times New Roman" w:cs="Times New Roman"/>
                <w:i/>
                <w:iCs/>
                <w:sz w:val="20"/>
                <w:szCs w:val="20"/>
                <w:lang w:eastAsia="en-US"/>
              </w:rPr>
              <w:t>Vynětí z evidence tržeb podle poplatníka</w:t>
            </w:r>
            <w:r w:rsidRPr="0035187E">
              <w:rPr>
                <w:rFonts w:ascii="Times New Roman" w:eastAsia="Calibri" w:hAnsi="Times New Roman" w:cs="Times New Roman"/>
                <w:sz w:val="20"/>
                <w:szCs w:val="20"/>
                <w:lang w:eastAsia="en-US"/>
              </w:rPr>
              <w:t xml:space="preserve"> </w:t>
            </w:r>
          </w:p>
          <w:p w14:paraId="06CFC8FD" w14:textId="77777777" w:rsidR="000B4BD4" w:rsidRPr="0035187E" w:rsidRDefault="000B4BD4" w:rsidP="0035187E">
            <w:pPr>
              <w:tabs>
                <w:tab w:val="left" w:pos="720"/>
              </w:tabs>
              <w:jc w:val="both"/>
              <w:rPr>
                <w:rFonts w:ascii="Times New Roman" w:eastAsia="Calibri" w:hAnsi="Times New Roman" w:cs="Times New Roman"/>
                <w:sz w:val="20"/>
                <w:szCs w:val="20"/>
                <w:lang w:eastAsia="en-US"/>
              </w:rPr>
            </w:pPr>
          </w:p>
          <w:p w14:paraId="1839323F" w14:textId="77777777" w:rsidR="000B4BD4" w:rsidRPr="0035187E" w:rsidRDefault="000B4BD4" w:rsidP="0035187E">
            <w:pPr>
              <w:tabs>
                <w:tab w:val="left" w:pos="720"/>
              </w:tabs>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Navrhujeme doplnit do ustanovení nové písmeno ve znění:</w:t>
            </w:r>
          </w:p>
          <w:p w14:paraId="65495EC5" w14:textId="6C5E5259" w:rsidR="000B4BD4" w:rsidRPr="0035187E" w:rsidRDefault="000B4BD4" w:rsidP="0035187E">
            <w:pPr>
              <w:jc w:val="both"/>
              <w:rPr>
                <w:rFonts w:ascii="Times New Roman" w:eastAsia="Calibri" w:hAnsi="Times New Roman" w:cs="Times New Roman"/>
                <w:b/>
                <w:bCs/>
                <w:sz w:val="20"/>
                <w:szCs w:val="20"/>
                <w:lang w:eastAsia="en-US"/>
              </w:rPr>
            </w:pPr>
            <w:r w:rsidRPr="0035187E">
              <w:rPr>
                <w:rFonts w:ascii="Times New Roman" w:eastAsia="Calibri" w:hAnsi="Times New Roman" w:cs="Times New Roman"/>
                <w:b/>
                <w:bCs/>
                <w:sz w:val="20"/>
                <w:szCs w:val="20"/>
                <w:lang w:eastAsia="en-US"/>
              </w:rPr>
              <w:t>x) nebankovního poskytovatele spotřebitelského úvěru.</w:t>
            </w:r>
          </w:p>
          <w:p w14:paraId="798A0243" w14:textId="77777777" w:rsidR="000B4BD4" w:rsidRPr="0035187E" w:rsidRDefault="000B4BD4" w:rsidP="0035187E">
            <w:pPr>
              <w:jc w:val="both"/>
              <w:rPr>
                <w:rFonts w:ascii="Times New Roman" w:eastAsia="Calibri" w:hAnsi="Times New Roman" w:cs="Times New Roman"/>
                <w:b/>
                <w:bCs/>
                <w:sz w:val="20"/>
                <w:szCs w:val="20"/>
                <w:lang w:eastAsia="en-US"/>
              </w:rPr>
            </w:pPr>
          </w:p>
          <w:p w14:paraId="4AC59B22" w14:textId="77777777" w:rsidR="000B4BD4" w:rsidRPr="0035187E" w:rsidRDefault="000B4BD4" w:rsidP="0035187E">
            <w:pPr>
              <w:jc w:val="both"/>
              <w:rPr>
                <w:rFonts w:ascii="Times New Roman" w:eastAsia="Calibri" w:hAnsi="Times New Roman" w:cs="Times New Roman"/>
                <w:sz w:val="20"/>
                <w:szCs w:val="20"/>
                <w:u w:val="single"/>
                <w:lang w:eastAsia="en-US"/>
              </w:rPr>
            </w:pPr>
            <w:r w:rsidRPr="0035187E">
              <w:rPr>
                <w:rFonts w:ascii="Times New Roman" w:eastAsia="Calibri" w:hAnsi="Times New Roman" w:cs="Times New Roman"/>
                <w:sz w:val="20"/>
                <w:szCs w:val="20"/>
                <w:u w:val="single"/>
                <w:lang w:eastAsia="en-US"/>
              </w:rPr>
              <w:t>Odůvodnění:</w:t>
            </w:r>
          </w:p>
          <w:p w14:paraId="19DD52F4" w14:textId="3E85ADC4"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Navrhujeme doplnit nebankovní poskytovatele spotřebitelského úvěru do seznamu poplatníků z oblasti finančního trhu, kteří jsou vyňati z povinnosti evidovat tržby. Máme za to, </w:t>
            </w:r>
            <w:r w:rsidRPr="0035187E">
              <w:rPr>
                <w:rFonts w:ascii="Times New Roman" w:eastAsia="Calibri" w:hAnsi="Times New Roman" w:cs="Times New Roman"/>
                <w:sz w:val="20"/>
                <w:szCs w:val="20"/>
                <w:lang w:eastAsia="en-US"/>
              </w:rPr>
              <w:lastRenderedPageBreak/>
              <w:t xml:space="preserve">že nezahrnutí nebankovních poskytovatelů v navrhovaném seznamu představuje ze strany předkladatele opomenutí. </w:t>
            </w:r>
          </w:p>
          <w:p w14:paraId="2968018F" w14:textId="77777777" w:rsidR="000B4BD4" w:rsidRPr="0035187E" w:rsidRDefault="000B4BD4" w:rsidP="0035187E">
            <w:pPr>
              <w:jc w:val="both"/>
              <w:rPr>
                <w:rFonts w:ascii="Times New Roman" w:eastAsia="Calibri" w:hAnsi="Times New Roman" w:cs="Times New Roman"/>
                <w:sz w:val="20"/>
                <w:szCs w:val="20"/>
                <w:lang w:eastAsia="en-US"/>
              </w:rPr>
            </w:pPr>
          </w:p>
          <w:p w14:paraId="5AC407D2" w14:textId="16109E1F"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Stejně jako v případě ostatních poplatníků v této kategorii je již v současnosti transparentní kontrola nebankovních poskytovatelů pro účely správy daně zajištěna řadou dalších právních mechanismů. Zejména je třeba upozornit, že nebankovní poskytovatelé spotřebitelských úvěrů stejně jako banky, pojišťovny a další vyňaté finanční instituce shodně podléhají přísnému dohledu ze strany České národní banky (ČNB), pokud jde o povinnosti dle zákona o spotřebitelském úvěru, nebo Finančního analytického úřadu (FAU), pokud jde o povinnosti dle zákona o některých opatřeních proti legalizaci výnosů z trestné činnosti a financování terorismu (AML). Z dohledových povinností tak vyplývá pravidelné a detailní poskytování finančních výkazů a AML ukazatelů poskytovatele ČNB. Z pravidel AML zároveň vyplývá adresnost každé finanční operace spotřebitele, která je spojena s konkrétním rodným číslem, číslem smlouvy a historií spotřebitele. Riziko zatajení tržeb nebankovními poskytovateli spotřebních úvěrů proto není žádné. </w:t>
            </w:r>
          </w:p>
          <w:p w14:paraId="168ED691" w14:textId="77777777" w:rsidR="000B4BD4" w:rsidRPr="0035187E" w:rsidRDefault="000B4BD4" w:rsidP="0035187E">
            <w:pPr>
              <w:jc w:val="both"/>
              <w:rPr>
                <w:rFonts w:ascii="Times New Roman" w:eastAsia="Calibri" w:hAnsi="Times New Roman" w:cs="Times New Roman"/>
                <w:sz w:val="20"/>
                <w:szCs w:val="20"/>
                <w:lang w:eastAsia="en-US"/>
              </w:rPr>
            </w:pPr>
          </w:p>
          <w:p w14:paraId="2D6CF16F" w14:textId="00CA4136"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U subjektů finančního trhu předkladatel argumentuje, že evidování jejich tržeb by bylo </w:t>
            </w:r>
            <w:r w:rsidRPr="0035187E">
              <w:rPr>
                <w:rFonts w:ascii="Times New Roman" w:eastAsia="Calibri" w:hAnsi="Times New Roman" w:cs="Times New Roman"/>
                <w:i/>
                <w:iCs/>
                <w:sz w:val="20"/>
                <w:szCs w:val="20"/>
                <w:lang w:eastAsia="en-US"/>
              </w:rPr>
              <w:t>„nehospodárné“</w:t>
            </w:r>
            <w:r w:rsidRPr="0035187E">
              <w:rPr>
                <w:rFonts w:ascii="Times New Roman" w:eastAsia="Calibri" w:hAnsi="Times New Roman" w:cs="Times New Roman"/>
                <w:sz w:val="20"/>
                <w:szCs w:val="20"/>
                <w:lang w:eastAsia="en-US"/>
              </w:rPr>
              <w:t xml:space="preserve">, neboť jejich hotovostní tržby jsou „mizivé v poměru k nákladům“, které by musely na evidenci vynaložit. Tato premisa přitom plně dopadá i na nebankovní poskytovatele úvěrů, kde drtivá většina transakcí (poskytnutí i splácení úvěru) probíhá v současnosti bezhotovostně, přičemž tento trend dlouhodobě posiluje. Nelze proto očekávat, že by případné zavedení evidence tržeb i pro nebankovní poskytovatele mělo významný fiskální přínos. </w:t>
            </w:r>
          </w:p>
          <w:p w14:paraId="6A34617F" w14:textId="77777777" w:rsidR="000B4BD4" w:rsidRPr="0035187E" w:rsidRDefault="000B4BD4" w:rsidP="0035187E">
            <w:pPr>
              <w:jc w:val="both"/>
              <w:rPr>
                <w:rFonts w:ascii="Times New Roman" w:eastAsia="Calibri" w:hAnsi="Times New Roman" w:cs="Times New Roman"/>
                <w:sz w:val="20"/>
                <w:szCs w:val="20"/>
                <w:lang w:eastAsia="en-US"/>
              </w:rPr>
            </w:pPr>
          </w:p>
          <w:p w14:paraId="4777099D"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Mimo to je vhodné také připomenout, že finanční služby jako celek, tedy včetně poskytování spotřebitelských úvěrů, jsou v současnosti vyňaty z daně z přidané hodnoty. Riziko nezákonné optimalizace tržeb ze strany subjektů v tomto segmentu je tedy z povahy věci oproti jiným významně nižší.  Zároveň ani není známo, že by poskytovatelů finančních služeb využívali optimalizace tržeb, pokud jde o jiné daně. </w:t>
            </w:r>
          </w:p>
          <w:p w14:paraId="3CB8A127"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Předkladatel deklaruje mimo jiné cíl </w:t>
            </w:r>
            <w:r w:rsidRPr="0035187E">
              <w:rPr>
                <w:rFonts w:ascii="Times New Roman" w:eastAsia="Calibri" w:hAnsi="Times New Roman" w:cs="Times New Roman"/>
                <w:i/>
                <w:iCs/>
                <w:sz w:val="20"/>
                <w:szCs w:val="20"/>
                <w:lang w:eastAsia="en-US"/>
              </w:rPr>
              <w:t>„eliminovat nadbytečnou finanční a administrativní zátěž na straně dotčených subjektů“</w:t>
            </w:r>
            <w:r w:rsidRPr="0035187E">
              <w:rPr>
                <w:rFonts w:ascii="Times New Roman" w:eastAsia="Calibri" w:hAnsi="Times New Roman" w:cs="Times New Roman"/>
                <w:sz w:val="20"/>
                <w:szCs w:val="20"/>
                <w:lang w:eastAsia="en-US"/>
              </w:rPr>
              <w:t>. Uvalení povinnosti na sektor, který je již nyní digitálně i procesně monitorován ČNB, by bylo v přímém rozporu s tímto prohlášením.</w:t>
            </w:r>
          </w:p>
          <w:p w14:paraId="120B3C33" w14:textId="768D3DC5"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I když někteří nebankovní poskytovatelé mají provozovny, charakter jejich služby (finanční produkt) nevykazuje osobní prvek, který představuje významné riziko zatajení tržby, v takové míře, jako je tomu u jiných podnikatelských segmentů (např. maloobchod, gastronomie), na které návrh zákona primárně cílí. </w:t>
            </w:r>
          </w:p>
          <w:p w14:paraId="2387A4CE" w14:textId="77777777" w:rsidR="000B4BD4" w:rsidRPr="0035187E" w:rsidRDefault="000B4BD4" w:rsidP="0035187E">
            <w:pPr>
              <w:jc w:val="both"/>
              <w:rPr>
                <w:rFonts w:ascii="Times New Roman" w:eastAsia="Calibri" w:hAnsi="Times New Roman" w:cs="Times New Roman"/>
                <w:sz w:val="20"/>
                <w:szCs w:val="20"/>
                <w:lang w:eastAsia="en-US"/>
              </w:rPr>
            </w:pPr>
          </w:p>
          <w:p w14:paraId="54111AA3"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Nezahrnutí nebankovních poskytovatelů za současného vynětí bank a dalších finančních institucí by konečně bylo v rozporu s principem rovného zacházení, když se z povahy věci jedná o subjekty se srovnatelným způsobem i stupněm regulace.</w:t>
            </w:r>
          </w:p>
          <w:p w14:paraId="445F6832" w14:textId="519810BC" w:rsidR="000B4BD4" w:rsidRPr="0035187E" w:rsidRDefault="000B4BD4" w:rsidP="0035187E">
            <w:pPr>
              <w:jc w:val="right"/>
              <w:rPr>
                <w:rFonts w:ascii="Times New Roman" w:eastAsia="Aptos" w:hAnsi="Times New Roman" w:cs="Times New Roman"/>
                <w:sz w:val="20"/>
                <w:szCs w:val="20"/>
              </w:rPr>
            </w:pPr>
            <w:r w:rsidRPr="0035187E">
              <w:rPr>
                <w:rFonts w:ascii="Times New Roman" w:eastAsia="Aptos" w:hAnsi="Times New Roman" w:cs="Times New Roman"/>
                <w:sz w:val="20"/>
                <w:szCs w:val="20"/>
              </w:rPr>
              <w:t>tato připomínka je zásadní</w:t>
            </w:r>
          </w:p>
        </w:tc>
        <w:tc>
          <w:tcPr>
            <w:tcW w:w="1453" w:type="pct"/>
            <w:tcBorders>
              <w:top w:val="single" w:sz="4" w:space="0" w:color="auto"/>
              <w:left w:val="single" w:sz="4" w:space="0" w:color="auto"/>
              <w:right w:val="single" w:sz="4" w:space="0" w:color="auto"/>
            </w:tcBorders>
            <w:shd w:val="clear" w:color="auto" w:fill="auto"/>
          </w:tcPr>
          <w:p w14:paraId="5A9526F1" w14:textId="77777777" w:rsidR="000B4BD4" w:rsidRPr="0035187E" w:rsidRDefault="000B4BD4" w:rsidP="0035187E">
            <w:pPr>
              <w:jc w:val="both"/>
              <w:rPr>
                <w:rFonts w:ascii="Times New Roman" w:hAnsi="Times New Roman" w:cs="Times New Roman"/>
                <w:b/>
                <w:iCs/>
                <w:sz w:val="20"/>
                <w:szCs w:val="20"/>
              </w:rPr>
            </w:pPr>
            <w:r w:rsidRPr="0035187E">
              <w:rPr>
                <w:rFonts w:ascii="Times New Roman" w:hAnsi="Times New Roman" w:cs="Times New Roman"/>
                <w:b/>
                <w:iCs/>
                <w:sz w:val="20"/>
                <w:szCs w:val="20"/>
              </w:rPr>
              <w:lastRenderedPageBreak/>
              <w:t>Vyhověno.</w:t>
            </w:r>
          </w:p>
          <w:p w14:paraId="1B2D2194" w14:textId="07B72608" w:rsidR="000B4BD4" w:rsidRPr="0035187E" w:rsidRDefault="00F34E04" w:rsidP="0035187E">
            <w:pPr>
              <w:jc w:val="both"/>
              <w:rPr>
                <w:rFonts w:ascii="Times New Roman" w:hAnsi="Times New Roman" w:cs="Times New Roman"/>
                <w:sz w:val="20"/>
                <w:szCs w:val="20"/>
              </w:rPr>
            </w:pPr>
            <w:r w:rsidRPr="0035187E">
              <w:rPr>
                <w:rFonts w:ascii="Times New Roman" w:hAnsi="Times New Roman" w:cs="Times New Roman"/>
                <w:iCs/>
                <w:sz w:val="20"/>
                <w:szCs w:val="20"/>
              </w:rPr>
              <w:t>Materiál</w:t>
            </w:r>
            <w:r w:rsidR="000B4BD4" w:rsidRPr="0035187E">
              <w:rPr>
                <w:rFonts w:ascii="Times New Roman" w:hAnsi="Times New Roman" w:cs="Times New Roman"/>
                <w:iCs/>
                <w:sz w:val="20"/>
                <w:szCs w:val="20"/>
              </w:rPr>
              <w:t xml:space="preserve"> byl upraven.</w:t>
            </w:r>
          </w:p>
        </w:tc>
      </w:tr>
      <w:tr w:rsidR="0035187E" w:rsidRPr="0035187E" w14:paraId="58E5C913"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E056E53" w14:textId="0624F49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76.</w:t>
            </w:r>
          </w:p>
        </w:tc>
        <w:tc>
          <w:tcPr>
            <w:tcW w:w="583" w:type="pct"/>
            <w:tcBorders>
              <w:top w:val="single" w:sz="4" w:space="0" w:color="auto"/>
              <w:left w:val="single" w:sz="4" w:space="0" w:color="auto"/>
              <w:right w:val="single" w:sz="4" w:space="0" w:color="auto"/>
            </w:tcBorders>
            <w:shd w:val="clear" w:color="auto" w:fill="auto"/>
          </w:tcPr>
          <w:p w14:paraId="116655CC" w14:textId="52C7DE7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Unie zaměstnavatelských svazů České republiky</w:t>
            </w:r>
          </w:p>
        </w:tc>
        <w:tc>
          <w:tcPr>
            <w:tcW w:w="168" w:type="pct"/>
            <w:tcBorders>
              <w:top w:val="single" w:sz="4" w:space="0" w:color="auto"/>
              <w:left w:val="single" w:sz="4" w:space="0" w:color="auto"/>
              <w:right w:val="single" w:sz="4" w:space="0" w:color="auto"/>
            </w:tcBorders>
            <w:shd w:val="clear" w:color="auto" w:fill="auto"/>
          </w:tcPr>
          <w:p w14:paraId="1DF63F50" w14:textId="57E4ACB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w:t>
            </w:r>
          </w:p>
        </w:tc>
        <w:tc>
          <w:tcPr>
            <w:tcW w:w="169" w:type="pct"/>
            <w:tcBorders>
              <w:top w:val="single" w:sz="4" w:space="0" w:color="auto"/>
              <w:left w:val="single" w:sz="4" w:space="0" w:color="auto"/>
              <w:right w:val="single" w:sz="4" w:space="0" w:color="auto"/>
            </w:tcBorders>
            <w:shd w:val="clear" w:color="auto" w:fill="auto"/>
          </w:tcPr>
          <w:p w14:paraId="0AE7AF7D" w14:textId="7AC2DE7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89A0CA6" w14:textId="53C9033C"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K návrhu zákona o daních z příjmů – nad rámec návrhu</w:t>
            </w:r>
          </w:p>
          <w:p w14:paraId="618E056A" w14:textId="77777777" w:rsidR="000B4BD4" w:rsidRPr="0035187E" w:rsidRDefault="000B4BD4" w:rsidP="0035187E">
            <w:pPr>
              <w:jc w:val="both"/>
              <w:rPr>
                <w:rFonts w:ascii="Times New Roman" w:eastAsia="Calibri" w:hAnsi="Times New Roman" w:cs="Times New Roman"/>
                <w:sz w:val="20"/>
                <w:szCs w:val="20"/>
                <w:lang w:eastAsia="en-US"/>
              </w:rPr>
            </w:pPr>
          </w:p>
          <w:p w14:paraId="68E3FE04" w14:textId="3C90F158"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Navrhujeme navýšit účelovou podporu zaměstnaneckého stravování, konkrétně formou úpravy výše příspěvku na stravování na hranici 100 % horní hranice stravného v případě tzv. nepeněžních plnění, které lze poskytnout zaměstnancům odměňovaným mzdou při pracovní cestě trvající 5 až 12 hodin.</w:t>
            </w:r>
          </w:p>
          <w:p w14:paraId="1F879CA8" w14:textId="77777777" w:rsidR="000B4BD4" w:rsidRPr="0035187E" w:rsidRDefault="000B4BD4" w:rsidP="0035187E">
            <w:pPr>
              <w:jc w:val="both"/>
              <w:rPr>
                <w:rFonts w:ascii="Times New Roman" w:eastAsia="Calibri" w:hAnsi="Times New Roman" w:cs="Times New Roman"/>
                <w:sz w:val="20"/>
                <w:szCs w:val="20"/>
                <w:lang w:eastAsia="en-US"/>
              </w:rPr>
            </w:pPr>
          </w:p>
          <w:p w14:paraId="0D94C4C2"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Návrh legislativní úpravy:</w:t>
            </w:r>
          </w:p>
          <w:p w14:paraId="1F4D1022" w14:textId="77777777" w:rsidR="000B4BD4" w:rsidRPr="0035187E" w:rsidRDefault="000B4BD4" w:rsidP="0035187E">
            <w:pPr>
              <w:numPr>
                <w:ilvl w:val="0"/>
                <w:numId w:val="28"/>
              </w:numPr>
              <w:ind w:left="0" w:firstLine="0"/>
              <w:contextualSpacing/>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text §6 odst. 9 písm. b): </w:t>
            </w:r>
          </w:p>
          <w:p w14:paraId="6A70B108" w14:textId="77777777" w:rsidR="000B4BD4" w:rsidRPr="0035187E" w:rsidRDefault="000B4BD4" w:rsidP="0035187E">
            <w:pPr>
              <w:numPr>
                <w:ilvl w:val="0"/>
                <w:numId w:val="48"/>
              </w:numPr>
              <w:jc w:val="both"/>
              <w:rPr>
                <w:rFonts w:ascii="Times New Roman" w:hAnsi="Times New Roman" w:cs="Times New Roman"/>
                <w:sz w:val="20"/>
                <w:szCs w:val="20"/>
              </w:rPr>
            </w:pPr>
            <w:r w:rsidRPr="0035187E">
              <w:rPr>
                <w:rFonts w:ascii="Times New Roman" w:hAnsi="Times New Roman" w:cs="Times New Roman"/>
                <w:b/>
                <w:bCs/>
                <w:i/>
                <w:iCs/>
                <w:sz w:val="20"/>
                <w:szCs w:val="20"/>
              </w:rPr>
              <w:t>b)</w:t>
            </w:r>
            <w:r w:rsidRPr="0035187E">
              <w:rPr>
                <w:rFonts w:ascii="Times New Roman" w:hAnsi="Times New Roman" w:cs="Times New Roman"/>
                <w:sz w:val="20"/>
                <w:szCs w:val="20"/>
              </w:rPr>
              <w:t xml:space="preserve"> příjem zaměstnance ve formě příspěvku na stravování poskytnutého zaměstnavatelem za jednu směnu podle jiného právního předpisu, pokud během této směny zaměstnanec vykonával práci alespoň 3 hodiny a nevznikl mu během této směny nárok na stravné v rámci cestovních náhrad podle jiného právního předpisu, a to v úhrnu do výše 70 % horní hranice stravného </w:t>
            </w:r>
            <w:r w:rsidRPr="0035187E">
              <w:rPr>
                <w:rFonts w:ascii="Times New Roman" w:hAnsi="Times New Roman" w:cs="Times New Roman"/>
                <w:b/>
                <w:bCs/>
                <w:sz w:val="20"/>
                <w:szCs w:val="20"/>
              </w:rPr>
              <w:t>v případě peněžitého příspěvku na stravování</w:t>
            </w:r>
            <w:r w:rsidRPr="0035187E">
              <w:rPr>
                <w:rFonts w:ascii="Times New Roman" w:hAnsi="Times New Roman" w:cs="Times New Roman"/>
                <w:sz w:val="20"/>
                <w:szCs w:val="20"/>
              </w:rPr>
              <w:t xml:space="preserve"> </w:t>
            </w:r>
            <w:r w:rsidRPr="0035187E">
              <w:rPr>
                <w:rFonts w:ascii="Times New Roman" w:hAnsi="Times New Roman" w:cs="Times New Roman"/>
                <w:b/>
                <w:bCs/>
                <w:sz w:val="20"/>
                <w:szCs w:val="20"/>
              </w:rPr>
              <w:t>nebo v úhrnu do výše 100 % horní hranice stravného v případě stravování poskytované jako nepeněžní plnění ke spotřebě na pracovišti zaměstnance nebo v rámci stravování zajišťovaného prostřednictvím jiného subjektu než zaměstnavatele</w:t>
            </w:r>
            <w:r w:rsidRPr="0035187E">
              <w:rPr>
                <w:rFonts w:ascii="Times New Roman" w:hAnsi="Times New Roman" w:cs="Times New Roman"/>
                <w:sz w:val="20"/>
                <w:szCs w:val="20"/>
              </w:rPr>
              <w:t xml:space="preserve">, které lze poskytnout zaměstnancům odměňovaným platem při pracovní cestě trvající 5 až 12 hodin, a v úhrnu do výše 70 % této hranice </w:t>
            </w:r>
            <w:r w:rsidRPr="0035187E">
              <w:rPr>
                <w:rFonts w:ascii="Times New Roman" w:hAnsi="Times New Roman" w:cs="Times New Roman"/>
                <w:b/>
                <w:bCs/>
                <w:sz w:val="20"/>
                <w:szCs w:val="20"/>
              </w:rPr>
              <w:t>v případě peněžitého příspěvku na stravování nebo v úhrnu do výše 100 % horní hranice stravného v případě stravování poskytované jako nepeněžní plnění ke spotřebě na pracovišti zaměstnance nebo v rámci stravování zajišťovaného prostřednictvím jiného subjektu než zaměstnavatele</w:t>
            </w:r>
            <w:r w:rsidRPr="0035187E">
              <w:rPr>
                <w:rFonts w:ascii="Times New Roman" w:hAnsi="Times New Roman" w:cs="Times New Roman"/>
                <w:sz w:val="20"/>
                <w:szCs w:val="20"/>
              </w:rPr>
              <w:t xml:space="preserve">, je-li příspěvek poskytnut jako další příspěvek v rámci stejné směny, pokud její délka v úhrnu s přestávkou v práci povinně poskytovanou zaměstnavatelem podle jiného právního předpisu je delší než 11 hodin; v případě zaměstnance vykonávajícího činnost, ze které plyne příjem ze závislé činnosti, jejíž výkon není rozvržen na směny podle jiného právního předpisu, je příjem ve formě příspěvku na stravování poskytnutého zaměstnavatelem od daně osvobozen, pokud během kalendářního dne zaměstnanec vykonával práci alespoň 3 hodiny a nevznikl mu během tohoto dne nárok na stravné v rámci cestovních náhrad podle jiného právního předpisu ani na stravné v rámci cestovních náhrad na základě smlouvy, a to v úhrnu do výše 70 % horní hranice stravného </w:t>
            </w:r>
            <w:r w:rsidRPr="0035187E">
              <w:rPr>
                <w:rFonts w:ascii="Times New Roman" w:hAnsi="Times New Roman" w:cs="Times New Roman"/>
                <w:b/>
                <w:bCs/>
                <w:sz w:val="20"/>
                <w:szCs w:val="20"/>
              </w:rPr>
              <w:t>v případě peněžitého příspěvku na stravování nebo v úhrnu do výše 100 % horní hranice stravného v případě stravování poskytované jako nepeněžní plnění ke spotřebě na pracovišti zaměstnance nebo v rámci stravování zajišťovaného prostřednictvím jiného subjektu než zaměstnavatele</w:t>
            </w:r>
            <w:r w:rsidRPr="0035187E">
              <w:rPr>
                <w:rFonts w:ascii="Times New Roman" w:hAnsi="Times New Roman" w:cs="Times New Roman"/>
                <w:sz w:val="20"/>
                <w:szCs w:val="20"/>
              </w:rPr>
              <w:t xml:space="preserve">, které lze poskytnout zaměstnancům odměňovaným platem při pracovní cestě trvající 5 až 12 hodin, a v úhrnu do výše 70 % této hranice </w:t>
            </w:r>
            <w:r w:rsidRPr="0035187E">
              <w:rPr>
                <w:rFonts w:ascii="Times New Roman" w:hAnsi="Times New Roman" w:cs="Times New Roman"/>
                <w:b/>
                <w:bCs/>
                <w:sz w:val="20"/>
                <w:szCs w:val="20"/>
              </w:rPr>
              <w:t>v případě peněžitého příspěvku na stravování nebo v úhrnu do výše 100 % horní hranice stravného v případě stravování poskytované jako nepeněžní plnění ke spotřebě na pracovišti zaměstnance nebo v rámci stravování zajišťovaného prostřednictvím jiného subjektu než zaměstnavatele</w:t>
            </w:r>
            <w:r w:rsidRPr="0035187E">
              <w:rPr>
                <w:rFonts w:ascii="Times New Roman" w:hAnsi="Times New Roman" w:cs="Times New Roman"/>
                <w:sz w:val="20"/>
                <w:szCs w:val="20"/>
              </w:rPr>
              <w:t xml:space="preserve">, je-li příspěvek poskytnut jako další příspěvek v </w:t>
            </w:r>
            <w:r w:rsidRPr="0035187E">
              <w:rPr>
                <w:rFonts w:ascii="Times New Roman" w:hAnsi="Times New Roman" w:cs="Times New Roman"/>
                <w:sz w:val="20"/>
                <w:szCs w:val="20"/>
              </w:rPr>
              <w:lastRenderedPageBreak/>
              <w:t>rámci stejného kalendářního dne, pokud během tohoto dne zaměstnanec vykonával práci alespoň 11 hodin.</w:t>
            </w:r>
          </w:p>
          <w:p w14:paraId="00446118" w14:textId="77777777" w:rsidR="000B4BD4" w:rsidRPr="0035187E" w:rsidRDefault="000B4BD4" w:rsidP="0035187E">
            <w:pPr>
              <w:jc w:val="both"/>
              <w:rPr>
                <w:rFonts w:ascii="Times New Roman" w:eastAsia="Calibri" w:hAnsi="Times New Roman" w:cs="Times New Roman"/>
                <w:sz w:val="20"/>
                <w:szCs w:val="20"/>
                <w:lang w:eastAsia="en-US"/>
              </w:rPr>
            </w:pPr>
          </w:p>
          <w:p w14:paraId="5A4D7962" w14:textId="77777777" w:rsidR="000B4BD4" w:rsidRPr="0035187E" w:rsidRDefault="000B4BD4" w:rsidP="0035187E">
            <w:pPr>
              <w:jc w:val="both"/>
              <w:rPr>
                <w:rFonts w:ascii="Times New Roman" w:eastAsia="Calibri" w:hAnsi="Times New Roman" w:cs="Times New Roman"/>
                <w:sz w:val="20"/>
                <w:szCs w:val="20"/>
                <w:u w:val="single"/>
                <w:lang w:eastAsia="en-US"/>
              </w:rPr>
            </w:pPr>
            <w:r w:rsidRPr="0035187E">
              <w:rPr>
                <w:rFonts w:ascii="Times New Roman" w:eastAsia="Calibri" w:hAnsi="Times New Roman" w:cs="Times New Roman"/>
                <w:sz w:val="20"/>
                <w:szCs w:val="20"/>
                <w:u w:val="single"/>
                <w:lang w:eastAsia="en-US"/>
              </w:rPr>
              <w:t>Odůvodnění:</w:t>
            </w:r>
          </w:p>
          <w:p w14:paraId="6936901F" w14:textId="6A75DD54"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Považujeme za důležité, aby byl systém podpory zaměstnaneckého stravování nastaven tak, aby příspěvek motivoval k pravidelnému a kvalitnímu stravování. Navrhovaná úprava tak zvýhodňuje formy podpory, které jsou omezené na využití za jídlo (závodní stravování, stravenky, přímý dovoz jídla atd.). Zároveň zachovává možnost využívání stravovacího paušálu i nadále beze změny. Úprava může být v budoucnu rozšířena tak, aby např. bránila využití účelového příspěvku na méně zdravé potraviny, např. slazené či energetické nápoje apod.</w:t>
            </w:r>
          </w:p>
          <w:p w14:paraId="46B8DA06" w14:textId="77777777" w:rsidR="000B4BD4" w:rsidRPr="0035187E" w:rsidRDefault="000B4BD4" w:rsidP="0035187E">
            <w:pPr>
              <w:jc w:val="both"/>
              <w:rPr>
                <w:rFonts w:ascii="Times New Roman" w:eastAsia="Calibri" w:hAnsi="Times New Roman" w:cs="Times New Roman"/>
                <w:sz w:val="20"/>
                <w:szCs w:val="20"/>
                <w:lang w:eastAsia="en-US"/>
              </w:rPr>
            </w:pPr>
          </w:p>
          <w:p w14:paraId="6D43F696"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Oblast zaměstnaneckého stravování v současné době představuje jednu z hlavních oblastí podpory veřejného zdraví, kde má stát možnost pozitivním způsobem ovlivnit život několika milionů zaměstnanců. Odborníci upozorňují, že klíčem k udržitelnosti systému českého zdravotnictví je prevence. Efektivní prevence, včetně zdravého stravování na pracovištích, nejenže zlepšuje zdravotní stav, ale také zvyšuje produktivitu. Výzkumy ukazují, že lidé, kteří se pravidelně stravují v závodních jídelnách, konzumují více ovoce a zeleniny a mají zdravější životní styl než ostatní zaměstnanci. Zaměstnanecké obědy, které pokrývají přibližně 35 % denního příjmu kalorií, mohou snížit výskyt kardiovaskulárních nemocí až o 10,5 %, což by znamenalo úsporu až 2,8 miliardy korun ročně. Správné stravování tak může výrazně snížit nejen nemocnost, ale i náklady na léčbu těchto chorob.</w:t>
            </w:r>
          </w:p>
          <w:p w14:paraId="6357C5F6"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Na to, že mají zaměstnavatelé hrát důležitější roli ve zdravotní prevenci včetně stravování upozorňuje i Národní kardiovaskulární plán ČR na období 2025-2035, především ve svém specifickém cíli 1. 1. – Zvýšení pozitivní motivace ke změně životního stylu obyvatel, zvýšení zdravotní gramotnosti a zlepšení prevence kardiovaskulárních onemocnění. Strava je dlouhodobě v ČR největší příčinou </w:t>
            </w:r>
            <w:proofErr w:type="spellStart"/>
            <w:proofErr w:type="gramStart"/>
            <w:r w:rsidRPr="0035187E">
              <w:rPr>
                <w:rFonts w:ascii="Times New Roman" w:eastAsia="Calibri" w:hAnsi="Times New Roman" w:cs="Times New Roman"/>
                <w:sz w:val="20"/>
                <w:szCs w:val="20"/>
                <w:lang w:eastAsia="en-US"/>
              </w:rPr>
              <w:t>nadúmrtí</w:t>
            </w:r>
            <w:proofErr w:type="spellEnd"/>
            <w:proofErr w:type="gramEnd"/>
            <w:r w:rsidRPr="0035187E">
              <w:rPr>
                <w:rFonts w:ascii="Times New Roman" w:eastAsia="Calibri" w:hAnsi="Times New Roman" w:cs="Times New Roman"/>
                <w:sz w:val="20"/>
                <w:szCs w:val="20"/>
                <w:lang w:eastAsia="en-US"/>
              </w:rPr>
              <w:t xml:space="preserve"> a i drobné zlepšení v její oblasti představuje opatření s velkým dopadem. </w:t>
            </w:r>
          </w:p>
          <w:p w14:paraId="75441690" w14:textId="75CCE0E7" w:rsidR="000B4BD4" w:rsidRPr="0035187E" w:rsidRDefault="000B4BD4" w:rsidP="0035187E">
            <w:pPr>
              <w:jc w:val="right"/>
              <w:rPr>
                <w:rFonts w:ascii="Times New Roman" w:eastAsia="Aptos" w:hAnsi="Times New Roman" w:cs="Times New Roman"/>
                <w:sz w:val="20"/>
                <w:szCs w:val="20"/>
              </w:rPr>
            </w:pPr>
            <w:r w:rsidRPr="0035187E">
              <w:rPr>
                <w:rFonts w:ascii="Times New Roman" w:eastAsia="Aptos" w:hAnsi="Times New Roman" w:cs="Times New Roman"/>
                <w:sz w:val="20"/>
                <w:szCs w:val="20"/>
              </w:rPr>
              <w:t>tato připomínka je zásadní</w:t>
            </w:r>
          </w:p>
        </w:tc>
        <w:tc>
          <w:tcPr>
            <w:tcW w:w="1453" w:type="pct"/>
            <w:tcBorders>
              <w:top w:val="single" w:sz="4" w:space="0" w:color="auto"/>
              <w:left w:val="single" w:sz="4" w:space="0" w:color="auto"/>
              <w:right w:val="single" w:sz="4" w:space="0" w:color="auto"/>
            </w:tcBorders>
            <w:shd w:val="clear" w:color="auto" w:fill="auto"/>
          </w:tcPr>
          <w:p w14:paraId="45B1582A" w14:textId="055BC466"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Nevyhověno.</w:t>
            </w:r>
            <w:r w:rsidR="006B410B">
              <w:rPr>
                <w:rFonts w:ascii="Times New Roman" w:hAnsi="Times New Roman" w:cs="Times New Roman"/>
                <w:b/>
                <w:bCs/>
                <w:sz w:val="20"/>
                <w:szCs w:val="20"/>
              </w:rPr>
              <w:t xml:space="preserve"> </w:t>
            </w:r>
            <w:r w:rsidR="006B410B" w:rsidRPr="006B410B">
              <w:rPr>
                <w:rFonts w:ascii="Times New Roman" w:hAnsi="Times New Roman" w:cs="Times New Roman"/>
                <w:b/>
                <w:bCs/>
                <w:color w:val="FF0000"/>
                <w:sz w:val="20"/>
                <w:szCs w:val="20"/>
              </w:rPr>
              <w:t>ROZPOR</w:t>
            </w:r>
          </w:p>
          <w:p w14:paraId="179C2F8A" w14:textId="01A1FC43"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Podnět přesahuje rámec navrhované úpravy zákona o evidenci tržeb.</w:t>
            </w:r>
          </w:p>
          <w:p w14:paraId="77D4F879"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Z pohledu zdravotní politiky a prevence nelze garantovat, že zvýšení limitu příspěvku na stravování skutečně povede k lepší stravovací kultuře nebo ke snížení civilizačních onemocnění. Podpora zdravého životního stylu vyžaduje komplexní a systematický přístup zahrnující vzdělávání, osvětu, regulaci nabídky potravin a celkovou strategii veřejného zdraví, nikoli pouze parametrické zvyšování daňového osvobození u jedné formy zaměstnaneckého příspěvku. Navrhované opatření je navíc nesystémové, protože zvýšení daňového osvobození se vztahuje pouze na nepeněžní formu příspěvku (např. stravenka), zatímco peněžitý příspěvek zůstává omezen na nižší hranici.</w:t>
            </w:r>
            <w:r w:rsidRPr="0035187E">
              <w:t xml:space="preserve"> </w:t>
            </w:r>
            <w:r w:rsidRPr="0035187E">
              <w:rPr>
                <w:rFonts w:ascii="Times New Roman" w:hAnsi="Times New Roman" w:cs="Times New Roman"/>
                <w:sz w:val="20"/>
                <w:szCs w:val="20"/>
              </w:rPr>
              <w:t>Zaměstnanec, který by platil oběd v restauračním zařízení v hotovosti, by byl znevýhodněn oproti zaměstnanci, který by stejný oběd odebíral za stravenku.</w:t>
            </w:r>
          </w:p>
          <w:p w14:paraId="6EE23B73" w14:textId="77777777" w:rsidR="008E14F9" w:rsidRPr="0035187E" w:rsidRDefault="008E14F9" w:rsidP="0035187E">
            <w:pPr>
              <w:jc w:val="both"/>
              <w:rPr>
                <w:rFonts w:ascii="Times New Roman" w:hAnsi="Times New Roman" w:cs="Times New Roman"/>
                <w:sz w:val="20"/>
                <w:szCs w:val="20"/>
              </w:rPr>
            </w:pPr>
          </w:p>
          <w:p w14:paraId="50228F71" w14:textId="21D405A3" w:rsidR="008E14F9" w:rsidRPr="0035187E" w:rsidRDefault="00721032" w:rsidP="0035187E">
            <w:pPr>
              <w:jc w:val="both"/>
              <w:rPr>
                <w:rFonts w:ascii="Times New Roman" w:hAnsi="Times New Roman" w:cs="Times New Roman"/>
                <w:i/>
                <w:iCs/>
                <w:sz w:val="20"/>
                <w:szCs w:val="20"/>
              </w:rPr>
            </w:pPr>
            <w:r w:rsidRPr="006C450C">
              <w:rPr>
                <w:rFonts w:ascii="Times New Roman" w:hAnsi="Times New Roman" w:cs="Times New Roman"/>
                <w:i/>
                <w:iCs/>
                <w:sz w:val="20"/>
                <w:szCs w:val="20"/>
              </w:rPr>
              <w:t xml:space="preserve">Viz </w:t>
            </w:r>
            <w:r w:rsidR="00D76098" w:rsidRPr="006C450C">
              <w:rPr>
                <w:rFonts w:ascii="Times New Roman" w:hAnsi="Times New Roman" w:cs="Times New Roman"/>
                <w:i/>
                <w:iCs/>
                <w:sz w:val="20"/>
                <w:szCs w:val="20"/>
              </w:rPr>
              <w:t xml:space="preserve">vyjádření v rámci </w:t>
            </w:r>
            <w:r w:rsidRPr="006C450C">
              <w:rPr>
                <w:rFonts w:ascii="Times New Roman" w:hAnsi="Times New Roman" w:cs="Times New Roman"/>
                <w:i/>
                <w:iCs/>
                <w:sz w:val="20"/>
                <w:szCs w:val="20"/>
              </w:rPr>
              <w:t>vypořádání připomínky Konfederace zaměstnavatelských a podnikatelských svazů ČR č. 7.</w:t>
            </w:r>
          </w:p>
        </w:tc>
      </w:tr>
      <w:tr w:rsidR="0035187E" w:rsidRPr="0035187E" w14:paraId="0F11E3B3"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25FD4BE" w14:textId="58AEF32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76.</w:t>
            </w:r>
          </w:p>
        </w:tc>
        <w:tc>
          <w:tcPr>
            <w:tcW w:w="583" w:type="pct"/>
            <w:tcBorders>
              <w:top w:val="single" w:sz="4" w:space="0" w:color="auto"/>
              <w:left w:val="single" w:sz="4" w:space="0" w:color="auto"/>
              <w:right w:val="single" w:sz="4" w:space="0" w:color="auto"/>
            </w:tcBorders>
            <w:shd w:val="clear" w:color="auto" w:fill="auto"/>
          </w:tcPr>
          <w:p w14:paraId="317133A6" w14:textId="4AB3945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Unie zaměstnavatelských svazů České republiky</w:t>
            </w:r>
          </w:p>
        </w:tc>
        <w:tc>
          <w:tcPr>
            <w:tcW w:w="168" w:type="pct"/>
            <w:tcBorders>
              <w:top w:val="single" w:sz="4" w:space="0" w:color="auto"/>
              <w:left w:val="single" w:sz="4" w:space="0" w:color="auto"/>
              <w:right w:val="single" w:sz="4" w:space="0" w:color="auto"/>
            </w:tcBorders>
            <w:shd w:val="clear" w:color="auto" w:fill="auto"/>
          </w:tcPr>
          <w:p w14:paraId="5ED72ABE" w14:textId="0ECF304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5.</w:t>
            </w:r>
          </w:p>
        </w:tc>
        <w:tc>
          <w:tcPr>
            <w:tcW w:w="169" w:type="pct"/>
            <w:tcBorders>
              <w:top w:val="single" w:sz="4" w:space="0" w:color="auto"/>
              <w:left w:val="single" w:sz="4" w:space="0" w:color="auto"/>
              <w:right w:val="single" w:sz="4" w:space="0" w:color="auto"/>
            </w:tcBorders>
            <w:shd w:val="clear" w:color="auto" w:fill="auto"/>
          </w:tcPr>
          <w:p w14:paraId="7F8F97C8" w14:textId="3D7CA32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DE53B8C" w14:textId="30918AC9"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K návrhu zákona o daních z příjmů </w:t>
            </w:r>
          </w:p>
          <w:p w14:paraId="5A860BDF" w14:textId="77777777" w:rsidR="000B4BD4" w:rsidRPr="0035187E" w:rsidRDefault="000B4BD4" w:rsidP="0035187E">
            <w:pPr>
              <w:jc w:val="both"/>
              <w:rPr>
                <w:rFonts w:ascii="Times New Roman" w:eastAsia="Calibri" w:hAnsi="Times New Roman" w:cs="Times New Roman"/>
                <w:sz w:val="20"/>
                <w:szCs w:val="20"/>
                <w:lang w:eastAsia="en-US"/>
              </w:rPr>
            </w:pPr>
          </w:p>
          <w:p w14:paraId="0E2A61BF"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Navrhujeme ve stávajícím znění § 6 odst. 9 písm. d) vypustit slova „, která nejsou mzdou, platem, odměnou ani náhradou za ušlý příjem“</w:t>
            </w:r>
          </w:p>
          <w:p w14:paraId="1A15557A" w14:textId="77777777" w:rsidR="000B4BD4" w:rsidRPr="0035187E" w:rsidRDefault="000B4BD4" w:rsidP="0035187E">
            <w:pPr>
              <w:jc w:val="both"/>
              <w:rPr>
                <w:rFonts w:ascii="Times New Roman" w:eastAsia="Calibri" w:hAnsi="Times New Roman" w:cs="Times New Roman"/>
                <w:sz w:val="20"/>
                <w:szCs w:val="20"/>
                <w:u w:val="single"/>
                <w:lang w:eastAsia="en-US"/>
              </w:rPr>
            </w:pPr>
          </w:p>
          <w:p w14:paraId="0AF4A7D8" w14:textId="63825575" w:rsidR="000B4BD4" w:rsidRPr="0035187E" w:rsidRDefault="000B4BD4" w:rsidP="0035187E">
            <w:pPr>
              <w:jc w:val="both"/>
              <w:rPr>
                <w:rFonts w:ascii="Times New Roman" w:eastAsia="Calibri" w:hAnsi="Times New Roman" w:cs="Times New Roman"/>
                <w:sz w:val="20"/>
                <w:szCs w:val="20"/>
                <w:u w:val="single"/>
                <w:lang w:eastAsia="en-US"/>
              </w:rPr>
            </w:pPr>
            <w:r w:rsidRPr="0035187E">
              <w:rPr>
                <w:rFonts w:ascii="Times New Roman" w:eastAsia="Calibri" w:hAnsi="Times New Roman" w:cs="Times New Roman"/>
                <w:sz w:val="20"/>
                <w:szCs w:val="20"/>
                <w:u w:val="single"/>
                <w:lang w:eastAsia="en-US"/>
              </w:rPr>
              <w:t>Odůvodnění:</w:t>
            </w:r>
          </w:p>
          <w:p w14:paraId="66D7B992"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Doplnění zavedené předchozí vládou významně omezuje prostředky využitelné pro poskytování nepeněžních benefitů na podporované aktivity, protože zamezuje možnost poskytovat odměny formou nepeněžních benefitů dle §6/9/d. Bez tohoto uvolnění nemá aktuální novelou navržené uvolnění limitů ve většině případů velký praktický význam, protože objem prostředků na benefity, jež nejsou mzdou/odměnou, je obvykle omezený.</w:t>
            </w:r>
          </w:p>
          <w:p w14:paraId="42BECEEA" w14:textId="007512AB" w:rsidR="000B4BD4" w:rsidRPr="0035187E" w:rsidRDefault="000B4BD4" w:rsidP="0035187E">
            <w:pPr>
              <w:jc w:val="right"/>
              <w:rPr>
                <w:rFonts w:ascii="Times New Roman" w:eastAsia="Aptos" w:hAnsi="Times New Roman" w:cs="Times New Roman"/>
                <w:sz w:val="20"/>
                <w:szCs w:val="20"/>
              </w:rPr>
            </w:pPr>
            <w:r w:rsidRPr="0035187E">
              <w:rPr>
                <w:rFonts w:ascii="Times New Roman" w:eastAsia="Aptos" w:hAnsi="Times New Roman" w:cs="Times New Roman"/>
                <w:sz w:val="20"/>
                <w:szCs w:val="20"/>
              </w:rPr>
              <w:t>tato připomínka je zásadní</w:t>
            </w:r>
          </w:p>
        </w:tc>
        <w:tc>
          <w:tcPr>
            <w:tcW w:w="1453" w:type="pct"/>
            <w:tcBorders>
              <w:top w:val="single" w:sz="4" w:space="0" w:color="auto"/>
              <w:left w:val="single" w:sz="4" w:space="0" w:color="auto"/>
              <w:right w:val="single" w:sz="4" w:space="0" w:color="auto"/>
            </w:tcBorders>
            <w:shd w:val="clear" w:color="auto" w:fill="auto"/>
          </w:tcPr>
          <w:p w14:paraId="104A25CA"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Nevyhověno.</w:t>
            </w:r>
          </w:p>
          <w:p w14:paraId="7E66BFFA" w14:textId="195CC57E"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Podnět přesahuje rámec navrhované úpravy zákona o evidenci tržeb. </w:t>
            </w:r>
          </w:p>
          <w:p w14:paraId="46DFD441"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Navrhované vypuštění slov „, která nejsou mzdou, platem, odměnou ani náhradou za ušlý příjem“ by nebylo v souladu se záměrem právní úpravy § 6 odst. 9 písm. d) zákona o daních z příjmů.</w:t>
            </w:r>
          </w:p>
          <w:p w14:paraId="5CDF0FBE" w14:textId="41E7B581"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Záměrem § 6 odst. 9 písm. d) zákona o daních z příjmů je umožnit osvobození pouze těch nepeněžních benefitů, které nejsou mzdou, platem, odměnou za výkon práce ani náhradou za ušlý příjem, tedy plnění poskytovaná zaměstnavatelem „navíc“ bez vazby na konkrétní výkon práce. </w:t>
            </w:r>
          </w:p>
          <w:p w14:paraId="69C59096" w14:textId="712AFDF0"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lastRenderedPageBreak/>
              <w:t>Zachování tohoto vymezení zajišťuje, že daňové zvýhodnění slouží svému účelu, kterým je motivace zaměstnavatele poskytovat skutečné nenárokové benefity, aniž by docházelo k obcházení zdanění mzdy.</w:t>
            </w:r>
          </w:p>
          <w:p w14:paraId="2CC70BC0"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Z těchto důvodů je účelné ponechat stávající znění ustanovení a slovní vymezení „která nejsou mzdou, platem, odměnou ani náhradou za ušlý příjem“.</w:t>
            </w:r>
          </w:p>
          <w:p w14:paraId="6A3E01DE" w14:textId="77777777" w:rsidR="00A93BA8" w:rsidRPr="0035187E" w:rsidRDefault="00A93BA8" w:rsidP="0035187E">
            <w:pPr>
              <w:jc w:val="both"/>
              <w:rPr>
                <w:rFonts w:ascii="Times New Roman" w:hAnsi="Times New Roman" w:cs="Times New Roman"/>
                <w:sz w:val="20"/>
                <w:szCs w:val="20"/>
              </w:rPr>
            </w:pPr>
          </w:p>
          <w:p w14:paraId="2D14B935" w14:textId="13428C77" w:rsidR="00A93BA8" w:rsidRPr="0035187E" w:rsidRDefault="00D76098" w:rsidP="0035187E">
            <w:pPr>
              <w:jc w:val="both"/>
              <w:rPr>
                <w:rFonts w:ascii="Times New Roman" w:hAnsi="Times New Roman" w:cs="Times New Roman"/>
                <w:sz w:val="20"/>
                <w:szCs w:val="20"/>
              </w:rPr>
            </w:pPr>
            <w:r w:rsidRPr="0035187E">
              <w:rPr>
                <w:rFonts w:ascii="Times New Roman" w:hAnsi="Times New Roman" w:cs="Times New Roman"/>
                <w:i/>
                <w:iCs/>
                <w:sz w:val="20"/>
                <w:szCs w:val="20"/>
              </w:rPr>
              <w:t xml:space="preserve">Viz částečné vyjádření v rámci </w:t>
            </w:r>
            <w:r w:rsidR="00A93BA8" w:rsidRPr="0035187E">
              <w:rPr>
                <w:rFonts w:ascii="Times New Roman" w:hAnsi="Times New Roman" w:cs="Times New Roman"/>
                <w:i/>
                <w:iCs/>
                <w:sz w:val="20"/>
                <w:szCs w:val="20"/>
              </w:rPr>
              <w:t>vypořádání připomínky Konfederace zaměstnavatelských a podnikatelských svazů ČR č. 8.</w:t>
            </w:r>
          </w:p>
        </w:tc>
      </w:tr>
      <w:tr w:rsidR="0035187E" w:rsidRPr="0035187E" w14:paraId="683C9585"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C58FB68" w14:textId="664E674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76.</w:t>
            </w:r>
          </w:p>
        </w:tc>
        <w:tc>
          <w:tcPr>
            <w:tcW w:w="583" w:type="pct"/>
            <w:tcBorders>
              <w:top w:val="single" w:sz="4" w:space="0" w:color="auto"/>
              <w:left w:val="single" w:sz="4" w:space="0" w:color="auto"/>
              <w:right w:val="single" w:sz="4" w:space="0" w:color="auto"/>
            </w:tcBorders>
            <w:shd w:val="clear" w:color="auto" w:fill="auto"/>
          </w:tcPr>
          <w:p w14:paraId="3CB19328" w14:textId="68DE00C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Unie zaměstnavatelských svazů České republiky</w:t>
            </w:r>
          </w:p>
        </w:tc>
        <w:tc>
          <w:tcPr>
            <w:tcW w:w="168" w:type="pct"/>
            <w:tcBorders>
              <w:top w:val="single" w:sz="4" w:space="0" w:color="auto"/>
              <w:left w:val="single" w:sz="4" w:space="0" w:color="auto"/>
              <w:right w:val="single" w:sz="4" w:space="0" w:color="auto"/>
            </w:tcBorders>
            <w:shd w:val="clear" w:color="auto" w:fill="auto"/>
          </w:tcPr>
          <w:p w14:paraId="03673F39" w14:textId="4CE4F82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6.</w:t>
            </w:r>
          </w:p>
        </w:tc>
        <w:tc>
          <w:tcPr>
            <w:tcW w:w="169" w:type="pct"/>
            <w:tcBorders>
              <w:top w:val="single" w:sz="4" w:space="0" w:color="auto"/>
              <w:left w:val="single" w:sz="4" w:space="0" w:color="auto"/>
              <w:right w:val="single" w:sz="4" w:space="0" w:color="auto"/>
            </w:tcBorders>
            <w:shd w:val="clear" w:color="auto" w:fill="auto"/>
          </w:tcPr>
          <w:p w14:paraId="2AF13172" w14:textId="07108B1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848B84C" w14:textId="3F7CF958"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K návrhu zákona o daních z příjmů – nad rámec návrhu</w:t>
            </w:r>
          </w:p>
          <w:p w14:paraId="38767E82" w14:textId="77777777" w:rsidR="000B4BD4" w:rsidRPr="0035187E" w:rsidRDefault="000B4BD4" w:rsidP="0035187E">
            <w:pPr>
              <w:jc w:val="both"/>
              <w:rPr>
                <w:rFonts w:ascii="Times New Roman" w:eastAsia="Calibri" w:hAnsi="Times New Roman" w:cs="Times New Roman"/>
                <w:sz w:val="20"/>
                <w:szCs w:val="20"/>
                <w:lang w:eastAsia="en-US"/>
              </w:rPr>
            </w:pPr>
          </w:p>
          <w:p w14:paraId="38D2E951" w14:textId="34E01D64"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Navrhujeme ve stávajícím znění zákona zrušit </w:t>
            </w:r>
            <w:proofErr w:type="spellStart"/>
            <w:r w:rsidRPr="0035187E">
              <w:rPr>
                <w:rFonts w:ascii="Times New Roman" w:eastAsia="Calibri" w:hAnsi="Times New Roman" w:cs="Times New Roman"/>
                <w:sz w:val="20"/>
                <w:szCs w:val="20"/>
                <w:lang w:eastAsia="en-US"/>
              </w:rPr>
              <w:t>zastropování</w:t>
            </w:r>
            <w:proofErr w:type="spellEnd"/>
            <w:r w:rsidRPr="0035187E">
              <w:rPr>
                <w:rFonts w:ascii="Times New Roman" w:eastAsia="Calibri" w:hAnsi="Times New Roman" w:cs="Times New Roman"/>
                <w:sz w:val="20"/>
                <w:szCs w:val="20"/>
                <w:lang w:eastAsia="en-US"/>
              </w:rPr>
              <w:t xml:space="preserve"> tzv. zdravotních benefitů v § 6 odst. 9 písm. d) bodu 1.</w:t>
            </w:r>
          </w:p>
          <w:p w14:paraId="14D448D7" w14:textId="77777777" w:rsidR="000B4BD4" w:rsidRPr="0035187E" w:rsidRDefault="000B4BD4" w:rsidP="0035187E">
            <w:pPr>
              <w:jc w:val="both"/>
              <w:rPr>
                <w:rFonts w:ascii="Times New Roman" w:eastAsia="Calibri" w:hAnsi="Times New Roman" w:cs="Times New Roman"/>
                <w:sz w:val="20"/>
                <w:szCs w:val="20"/>
                <w:lang w:eastAsia="en-US"/>
              </w:rPr>
            </w:pPr>
          </w:p>
          <w:p w14:paraId="0E4D9AA0" w14:textId="77777777" w:rsidR="000B4BD4" w:rsidRPr="0035187E" w:rsidRDefault="000B4BD4" w:rsidP="0035187E">
            <w:pPr>
              <w:jc w:val="both"/>
              <w:rPr>
                <w:rFonts w:ascii="Times New Roman" w:eastAsia="Calibri" w:hAnsi="Times New Roman" w:cs="Times New Roman"/>
                <w:sz w:val="20"/>
                <w:szCs w:val="20"/>
                <w:u w:val="single"/>
                <w:lang w:eastAsia="en-US"/>
              </w:rPr>
            </w:pPr>
            <w:r w:rsidRPr="0035187E">
              <w:rPr>
                <w:rFonts w:ascii="Times New Roman" w:eastAsia="Calibri" w:hAnsi="Times New Roman" w:cs="Times New Roman"/>
                <w:sz w:val="20"/>
                <w:szCs w:val="20"/>
                <w:u w:val="single"/>
                <w:lang w:eastAsia="en-US"/>
              </w:rPr>
              <w:t>Odůvodnění:</w:t>
            </w:r>
          </w:p>
          <w:p w14:paraId="5231A991" w14:textId="2EFB2CD5"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Historicky byly benefity v oblasti zdraví a volného času posuzovány shodně a bez limitů. Současný záměr zrušit strop pouze u volnočasových benefitů a ponechat zdravotní plnění v omezeném režimu je systémově nekonzistentní. Zdravotní benefity mají pro společnost i ekonomiku vysokou přidanou hodnotu, neboť efektivně napomáhají prevenci a přispívají ke snížení nemocnosti zaměstnanců a šetří výdaje z veřejného zdravotního pojištění. Signál, že jsou volnočasové benefity preferovány před zdravím, by tak nepůsobil příliš pozitivně. Proto považujme za žádoucí, aby by byla dodržen několikrát deklarovaný záměr o návratu k pravidlům platným před přijetím tzv. konsolidačního balíčku.</w:t>
            </w:r>
          </w:p>
          <w:p w14:paraId="74F3C137" w14:textId="77777777" w:rsidR="000B4BD4" w:rsidRPr="0035187E" w:rsidRDefault="000B4BD4" w:rsidP="0035187E">
            <w:pPr>
              <w:jc w:val="both"/>
              <w:rPr>
                <w:rFonts w:ascii="Times New Roman" w:eastAsia="Calibri" w:hAnsi="Times New Roman" w:cs="Times New Roman"/>
                <w:sz w:val="20"/>
                <w:szCs w:val="20"/>
                <w:lang w:eastAsia="en-US"/>
              </w:rPr>
            </w:pPr>
          </w:p>
          <w:p w14:paraId="5642F76A"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Navrhujeme proto zrušení limitu i u zdravotních benefitů. Pro zaměstnavatele bude tento krok představovat administrativně výrazně snazší řešení této agendy, a zároveň motivaci svým zaměstnancům na zdravotní oblast přispívat. </w:t>
            </w:r>
          </w:p>
          <w:p w14:paraId="02029DB0" w14:textId="184E9122" w:rsidR="000B4BD4" w:rsidRPr="0035187E" w:rsidRDefault="000B4BD4" w:rsidP="0035187E">
            <w:pPr>
              <w:jc w:val="right"/>
              <w:rPr>
                <w:rFonts w:ascii="Times New Roman" w:eastAsia="Aptos" w:hAnsi="Times New Roman" w:cs="Times New Roman"/>
                <w:sz w:val="20"/>
                <w:szCs w:val="20"/>
              </w:rPr>
            </w:pPr>
            <w:r w:rsidRPr="0035187E">
              <w:rPr>
                <w:rFonts w:ascii="Times New Roman" w:eastAsia="Aptos" w:hAnsi="Times New Roman" w:cs="Times New Roman"/>
                <w:sz w:val="20"/>
                <w:szCs w:val="20"/>
              </w:rPr>
              <w:t>tato připomínka je zásadní</w:t>
            </w:r>
          </w:p>
        </w:tc>
        <w:tc>
          <w:tcPr>
            <w:tcW w:w="1453" w:type="pct"/>
            <w:tcBorders>
              <w:top w:val="single" w:sz="4" w:space="0" w:color="auto"/>
              <w:left w:val="single" w:sz="4" w:space="0" w:color="auto"/>
              <w:right w:val="single" w:sz="4" w:space="0" w:color="auto"/>
            </w:tcBorders>
            <w:shd w:val="clear" w:color="auto" w:fill="auto"/>
          </w:tcPr>
          <w:p w14:paraId="31B10F0E" w14:textId="4DBC1ABF"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t>Nevyhověno.</w:t>
            </w:r>
          </w:p>
          <w:p w14:paraId="11E4A654" w14:textId="17547113"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Podnět přesahuje rámec navrhované úpravy zákona o evidenci tržeb.</w:t>
            </w:r>
          </w:p>
          <w:p w14:paraId="6A77AF7E" w14:textId="3B8C7AEC"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Zachování limitu pro zdravotní benefity je věcně opodstatněné. Zatímco volnočasové benefity mají převážně společenský či relaxační charakter a jejich hodnotové limity nemají přímý vliv na prevenci nemocí ani udržení pracovní schopnosti, zdravotní benefity přímo podporují zdraví zaměstnanců, prevenci nemocí a dlouhodobou pracovní výkonnost.</w:t>
            </w:r>
          </w:p>
          <w:p w14:paraId="354A38A6" w14:textId="38F21E98"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Zrušení limitu by mohlo vést k zneužívání těchto benefitů pro daňovou optimalizaci, kdy výhody přesahující skutečné zdravotní potřeby zaměstnanců by byly osvobozeny od daně, aniž by přinášely reálný prospěch pro zdraví. Zachování limitu tak umožňuje cílené a efektivní využití zdravotních benefitů, které přináší skutečný pozitivní dopad jak pro zaměstnance, tak pro veřejný zdravotní systém.</w:t>
            </w:r>
          </w:p>
          <w:p w14:paraId="3968100D" w14:textId="7752A789"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Odlišné zacházení s volnočasovými a zdravotními benefity proto odpovídá jejich odlišné společenské a ekonomické hodnotě, účelu, který sledují, a rizikům spojeným s možným zneužitím daňového osvobození.</w:t>
            </w:r>
          </w:p>
        </w:tc>
      </w:tr>
      <w:tr w:rsidR="0035187E" w:rsidRPr="0035187E" w14:paraId="2FEB1D44"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A9EF47A" w14:textId="27D11CF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76.</w:t>
            </w:r>
          </w:p>
        </w:tc>
        <w:tc>
          <w:tcPr>
            <w:tcW w:w="583" w:type="pct"/>
            <w:tcBorders>
              <w:top w:val="single" w:sz="4" w:space="0" w:color="auto"/>
              <w:left w:val="single" w:sz="4" w:space="0" w:color="auto"/>
              <w:right w:val="single" w:sz="4" w:space="0" w:color="auto"/>
            </w:tcBorders>
            <w:shd w:val="clear" w:color="auto" w:fill="auto"/>
          </w:tcPr>
          <w:p w14:paraId="0F15A917" w14:textId="1C51634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Unie zaměstnavatelských svazů České republiky</w:t>
            </w:r>
          </w:p>
        </w:tc>
        <w:tc>
          <w:tcPr>
            <w:tcW w:w="168" w:type="pct"/>
            <w:tcBorders>
              <w:top w:val="single" w:sz="4" w:space="0" w:color="auto"/>
              <w:left w:val="single" w:sz="4" w:space="0" w:color="auto"/>
              <w:right w:val="single" w:sz="4" w:space="0" w:color="auto"/>
            </w:tcBorders>
            <w:shd w:val="clear" w:color="auto" w:fill="auto"/>
          </w:tcPr>
          <w:p w14:paraId="4D0496BF" w14:textId="31992E4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7.</w:t>
            </w:r>
          </w:p>
        </w:tc>
        <w:tc>
          <w:tcPr>
            <w:tcW w:w="169" w:type="pct"/>
            <w:tcBorders>
              <w:top w:val="single" w:sz="4" w:space="0" w:color="auto"/>
              <w:left w:val="single" w:sz="4" w:space="0" w:color="auto"/>
              <w:right w:val="single" w:sz="4" w:space="0" w:color="auto"/>
            </w:tcBorders>
            <w:shd w:val="clear" w:color="auto" w:fill="auto"/>
          </w:tcPr>
          <w:p w14:paraId="4417EA7D" w14:textId="5C91935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9B631CF" w14:textId="46485304"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K návrhu zákona o daních z příjmů </w:t>
            </w:r>
          </w:p>
          <w:p w14:paraId="5FA599FE" w14:textId="77777777" w:rsidR="000B4BD4" w:rsidRPr="0035187E" w:rsidRDefault="000B4BD4" w:rsidP="0035187E">
            <w:pPr>
              <w:jc w:val="both"/>
              <w:rPr>
                <w:rFonts w:ascii="Times New Roman" w:eastAsia="Calibri" w:hAnsi="Times New Roman" w:cs="Times New Roman"/>
                <w:sz w:val="20"/>
                <w:szCs w:val="20"/>
                <w:lang w:eastAsia="en-US"/>
              </w:rPr>
            </w:pPr>
          </w:p>
          <w:p w14:paraId="2DA18A8C" w14:textId="6F11816F"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Navrhujeme ve stávajícím znění § 6 odst. 9 písm. d) bodu 2. ponechat slova „poskytnutí rekreace nebo zájezdu,“ a v navrhovaném znění § 6 odst. 9 písm. d) vymazat bod 3. </w:t>
            </w:r>
          </w:p>
          <w:p w14:paraId="0D9F6934" w14:textId="77777777" w:rsidR="000B4BD4" w:rsidRPr="0035187E" w:rsidRDefault="000B4BD4" w:rsidP="0035187E">
            <w:pPr>
              <w:jc w:val="both"/>
              <w:rPr>
                <w:rFonts w:ascii="Times New Roman" w:eastAsia="Calibri" w:hAnsi="Times New Roman" w:cs="Times New Roman"/>
                <w:sz w:val="20"/>
                <w:szCs w:val="20"/>
                <w:lang w:eastAsia="en-US"/>
              </w:rPr>
            </w:pPr>
          </w:p>
          <w:p w14:paraId="294CE71D" w14:textId="77777777" w:rsidR="000B4BD4" w:rsidRPr="0035187E" w:rsidRDefault="000B4BD4" w:rsidP="0035187E">
            <w:pPr>
              <w:jc w:val="both"/>
              <w:rPr>
                <w:rFonts w:ascii="Times New Roman" w:eastAsia="Calibri" w:hAnsi="Times New Roman" w:cs="Times New Roman"/>
                <w:sz w:val="20"/>
                <w:szCs w:val="20"/>
                <w:u w:val="single"/>
                <w:lang w:eastAsia="en-US"/>
              </w:rPr>
            </w:pPr>
            <w:r w:rsidRPr="0035187E">
              <w:rPr>
                <w:rFonts w:ascii="Times New Roman" w:eastAsia="Calibri" w:hAnsi="Times New Roman" w:cs="Times New Roman"/>
                <w:sz w:val="20"/>
                <w:szCs w:val="20"/>
                <w:u w:val="single"/>
                <w:lang w:eastAsia="en-US"/>
              </w:rPr>
              <w:t>Odůvodnění:</w:t>
            </w:r>
          </w:p>
          <w:p w14:paraId="064B1D9A"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Vytvoření samostatného limitu pro rekreace a zájezdy představuje vytvoření další administrativní překážky, která zesložiťuje systém zaměstnaneckých benefitů. Mimo limit samotný zde pak vznikají interpretační nejednoznačnosti – např. není zřejmá hranice mezi </w:t>
            </w:r>
            <w:r w:rsidRPr="0035187E">
              <w:rPr>
                <w:rFonts w:ascii="Times New Roman" w:eastAsia="Calibri" w:hAnsi="Times New Roman" w:cs="Times New Roman"/>
                <w:sz w:val="20"/>
                <w:szCs w:val="20"/>
                <w:lang w:eastAsia="en-US"/>
              </w:rPr>
              <w:lastRenderedPageBreak/>
              <w:t xml:space="preserve">rekreací a využitím rekreačního zařízení. Dalším problémem může být i rozlišení, kdy jde o dovolenou a kdy o jinou volnočasovou aktivitu s odlišným daňovým režimem. Je běžné, že při pobytu v hotelu dochází k využívání např. nabízených sportovišť či lázní. Tyto hraniční případy, které však v praxi nejsou neobvyklé, pak zvyšují riziko sporů s daňovou správou.   </w:t>
            </w:r>
          </w:p>
          <w:p w14:paraId="648B93BA" w14:textId="6C5B702D" w:rsidR="000B4BD4" w:rsidRPr="0035187E" w:rsidRDefault="000B4BD4" w:rsidP="0035187E">
            <w:pPr>
              <w:jc w:val="right"/>
              <w:rPr>
                <w:rFonts w:ascii="Times New Roman" w:eastAsia="Aptos" w:hAnsi="Times New Roman" w:cs="Times New Roman"/>
                <w:sz w:val="20"/>
                <w:szCs w:val="20"/>
              </w:rPr>
            </w:pPr>
            <w:r w:rsidRPr="0035187E">
              <w:rPr>
                <w:rFonts w:ascii="Times New Roman" w:eastAsia="Aptos" w:hAnsi="Times New Roman" w:cs="Times New Roman"/>
                <w:sz w:val="20"/>
                <w:szCs w:val="20"/>
              </w:rPr>
              <w:t>tato připomínka je zásadní</w:t>
            </w:r>
          </w:p>
        </w:tc>
        <w:tc>
          <w:tcPr>
            <w:tcW w:w="1453" w:type="pct"/>
            <w:tcBorders>
              <w:top w:val="single" w:sz="4" w:space="0" w:color="auto"/>
              <w:left w:val="single" w:sz="4" w:space="0" w:color="auto"/>
              <w:right w:val="single" w:sz="4" w:space="0" w:color="auto"/>
            </w:tcBorders>
            <w:shd w:val="clear" w:color="auto" w:fill="auto"/>
          </w:tcPr>
          <w:p w14:paraId="1EC768FB"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Nevyhověno.</w:t>
            </w:r>
          </w:p>
          <w:p w14:paraId="71439EEE" w14:textId="31933677" w:rsidR="000B4BD4" w:rsidRPr="0035187E" w:rsidRDefault="000B4BD4" w:rsidP="0035187E">
            <w:pPr>
              <w:contextualSpacing/>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Poskytnutí rekreace a zájezdu bude ponecháno mezi volnočasovými benefity v § 6 odst. 9 písm. d) zákona o daních z příjmů.</w:t>
            </w:r>
          </w:p>
          <w:p w14:paraId="7090BE4B" w14:textId="421B8E34" w:rsidR="000B4BD4" w:rsidRPr="0035187E" w:rsidRDefault="000B4BD4" w:rsidP="0035187E">
            <w:pPr>
              <w:jc w:val="both"/>
              <w:rPr>
                <w:rFonts w:ascii="Times New Roman" w:hAnsi="Times New Roman" w:cs="Times New Roman"/>
                <w:iCs/>
                <w:sz w:val="20"/>
                <w:szCs w:val="20"/>
              </w:rPr>
            </w:pPr>
            <w:r w:rsidRPr="0035187E">
              <w:rPr>
                <w:rFonts w:ascii="Times New Roman" w:hAnsi="Times New Roman" w:cs="Times New Roman"/>
                <w:sz w:val="20"/>
                <w:szCs w:val="20"/>
              </w:rPr>
              <w:t>Návrh zákona o evidenci tržeb</w:t>
            </w:r>
            <w:r w:rsidRPr="0035187E">
              <w:rPr>
                <w:rFonts w:ascii="Times New Roman" w:hAnsi="Times New Roman" w:cs="Times New Roman"/>
                <w:b/>
                <w:bCs/>
                <w:sz w:val="20"/>
                <w:szCs w:val="20"/>
              </w:rPr>
              <w:t xml:space="preserve"> </w:t>
            </w:r>
            <w:r w:rsidRPr="0035187E">
              <w:rPr>
                <w:rFonts w:ascii="Times New Roman" w:hAnsi="Times New Roman" w:cs="Times New Roman"/>
                <w:sz w:val="20"/>
                <w:szCs w:val="20"/>
              </w:rPr>
              <w:t xml:space="preserve">počítá se zrušením stropu volnočasových benefitů zaměstnanců tak, jak se vláda zavázala prostřednictvím svého programového prohlášení. </w:t>
            </w:r>
            <w:r w:rsidRPr="0035187E">
              <w:rPr>
                <w:rFonts w:ascii="Times New Roman" w:hAnsi="Times New Roman" w:cs="Times New Roman"/>
                <w:iCs/>
                <w:sz w:val="20"/>
                <w:szCs w:val="20"/>
              </w:rPr>
              <w:t xml:space="preserve">Celá konstrukce výše cit. ustanovení dává poplatníků rozšířené možnosti využití daňových </w:t>
            </w:r>
            <w:r w:rsidRPr="0035187E">
              <w:rPr>
                <w:rFonts w:ascii="Times New Roman" w:hAnsi="Times New Roman" w:cs="Times New Roman"/>
                <w:iCs/>
                <w:sz w:val="20"/>
                <w:szCs w:val="20"/>
              </w:rPr>
              <w:lastRenderedPageBreak/>
              <w:t xml:space="preserve">benefitů. </w:t>
            </w:r>
            <w:proofErr w:type="spellStart"/>
            <w:r w:rsidRPr="0035187E">
              <w:rPr>
                <w:rFonts w:ascii="Times New Roman" w:hAnsi="Times New Roman" w:cs="Times New Roman"/>
                <w:iCs/>
                <w:sz w:val="20"/>
                <w:szCs w:val="20"/>
              </w:rPr>
              <w:t>Zastropování</w:t>
            </w:r>
            <w:proofErr w:type="spellEnd"/>
            <w:r w:rsidRPr="0035187E">
              <w:rPr>
                <w:rFonts w:ascii="Times New Roman" w:hAnsi="Times New Roman" w:cs="Times New Roman"/>
                <w:iCs/>
                <w:sz w:val="20"/>
                <w:szCs w:val="20"/>
              </w:rPr>
              <w:t xml:space="preserve"> daňového osvobození nepeněžního plnění na rekreaci a zájezdy omezuje dopady na veřejné rozpočty a brání nepřímému zvýhodňování ekonomicky zdatnějších zaměstnavatelů. Současně zajišťuje, že daňové zvýhodnění plní svůj sociální účel podpory běžné rekreace a regenerace pracovní síly, nikoli financování nadstandardních forem dovolené. </w:t>
            </w:r>
          </w:p>
          <w:p w14:paraId="09A39E99" w14:textId="01AF6DFF" w:rsidR="000B4BD4" w:rsidRPr="0035187E" w:rsidRDefault="000B4BD4"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 xml:space="preserve">Návrh vychází z legislativní úpravy účinné do konce roku 2023, podle níž byla hodnota nepeněžního plnění ve formě rekreace a zájezdu na straně zaměstnance osvobozena od daně až do výše 20 000 Kč za zdaňovací období. Navrhovaná úprava proto nepřináší novou administrativní zátěž ani nevyvolává interpretační nejasnosti. </w:t>
            </w:r>
          </w:p>
          <w:p w14:paraId="7FB31FBD" w14:textId="758B725E"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Ponechání samostatného bodu o rekreacích a zájezdech zajišťuje jasnou právní oporu pro posuzování těchto benefitů a přispívá k předvídatelnosti daňového režimu i v případech, kdy jsou součástí pobytu využívány doplňkové služby, jako sportoviště či lázně.</w:t>
            </w:r>
          </w:p>
          <w:p w14:paraId="2A29B7D6"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Tímto způsobem je zachován systémový rámec a účel daňového zvýhodnění, aniž by byla omezena možnost zaměstnanců využívat běžnou rekreaci a odpočinek. </w:t>
            </w:r>
          </w:p>
          <w:p w14:paraId="54E0D7CE" w14:textId="77777777" w:rsidR="00A93BA8" w:rsidRPr="0035187E" w:rsidRDefault="00A93BA8" w:rsidP="0035187E">
            <w:pPr>
              <w:jc w:val="both"/>
              <w:rPr>
                <w:rFonts w:ascii="Times New Roman" w:hAnsi="Times New Roman" w:cs="Times New Roman"/>
                <w:sz w:val="20"/>
                <w:szCs w:val="20"/>
              </w:rPr>
            </w:pPr>
          </w:p>
          <w:p w14:paraId="59AF2A00" w14:textId="6548C979" w:rsidR="00A93BA8" w:rsidRPr="0035187E" w:rsidRDefault="00D76098" w:rsidP="0035187E">
            <w:pPr>
              <w:jc w:val="both"/>
              <w:rPr>
                <w:rFonts w:ascii="Times New Roman" w:hAnsi="Times New Roman" w:cs="Times New Roman"/>
                <w:sz w:val="20"/>
                <w:szCs w:val="20"/>
              </w:rPr>
            </w:pPr>
            <w:r w:rsidRPr="0035187E">
              <w:rPr>
                <w:rFonts w:ascii="Times New Roman" w:hAnsi="Times New Roman" w:cs="Times New Roman"/>
                <w:i/>
                <w:iCs/>
                <w:sz w:val="20"/>
                <w:szCs w:val="20"/>
              </w:rPr>
              <w:t xml:space="preserve">Viz vyjádření v rámci </w:t>
            </w:r>
            <w:r w:rsidR="00A93BA8" w:rsidRPr="0035187E">
              <w:rPr>
                <w:rFonts w:ascii="Times New Roman" w:hAnsi="Times New Roman" w:cs="Times New Roman"/>
                <w:i/>
                <w:iCs/>
                <w:sz w:val="20"/>
                <w:szCs w:val="20"/>
              </w:rPr>
              <w:t>vypořádání připomínky Konfederace zaměstnavatelských a podnikatelských svazů ČR č. 9.</w:t>
            </w:r>
          </w:p>
        </w:tc>
      </w:tr>
      <w:tr w:rsidR="0035187E" w:rsidRPr="0035187E" w14:paraId="427AA495"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9CE7651" w14:textId="7959BCE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76.</w:t>
            </w:r>
          </w:p>
        </w:tc>
        <w:tc>
          <w:tcPr>
            <w:tcW w:w="583" w:type="pct"/>
            <w:tcBorders>
              <w:top w:val="single" w:sz="4" w:space="0" w:color="auto"/>
              <w:left w:val="single" w:sz="4" w:space="0" w:color="auto"/>
              <w:right w:val="single" w:sz="4" w:space="0" w:color="auto"/>
            </w:tcBorders>
            <w:shd w:val="clear" w:color="auto" w:fill="auto"/>
          </w:tcPr>
          <w:p w14:paraId="309DFF9B" w14:textId="02B0F9A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Unie zaměstnavatelských svazů České republiky</w:t>
            </w:r>
          </w:p>
        </w:tc>
        <w:tc>
          <w:tcPr>
            <w:tcW w:w="168" w:type="pct"/>
            <w:tcBorders>
              <w:top w:val="single" w:sz="4" w:space="0" w:color="auto"/>
              <w:left w:val="single" w:sz="4" w:space="0" w:color="auto"/>
              <w:right w:val="single" w:sz="4" w:space="0" w:color="auto"/>
            </w:tcBorders>
            <w:shd w:val="clear" w:color="auto" w:fill="auto"/>
          </w:tcPr>
          <w:p w14:paraId="3863B2A7" w14:textId="7C10E77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8.</w:t>
            </w:r>
          </w:p>
        </w:tc>
        <w:tc>
          <w:tcPr>
            <w:tcW w:w="169" w:type="pct"/>
            <w:tcBorders>
              <w:top w:val="single" w:sz="4" w:space="0" w:color="auto"/>
              <w:left w:val="single" w:sz="4" w:space="0" w:color="auto"/>
              <w:right w:val="single" w:sz="4" w:space="0" w:color="auto"/>
            </w:tcBorders>
            <w:shd w:val="clear" w:color="auto" w:fill="auto"/>
          </w:tcPr>
          <w:p w14:paraId="63C9863C" w14:textId="2F8BE0B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38E6FF4A" w14:textId="37939654"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K návrhu zákona o daních z příjmů </w:t>
            </w:r>
          </w:p>
          <w:p w14:paraId="33FAF553" w14:textId="77777777" w:rsidR="000B4BD4" w:rsidRPr="0035187E" w:rsidRDefault="000B4BD4" w:rsidP="0035187E">
            <w:pPr>
              <w:jc w:val="both"/>
              <w:rPr>
                <w:rFonts w:ascii="Times New Roman" w:eastAsia="Calibri" w:hAnsi="Times New Roman" w:cs="Times New Roman"/>
                <w:sz w:val="20"/>
                <w:szCs w:val="20"/>
                <w:lang w:eastAsia="en-US"/>
              </w:rPr>
            </w:pPr>
          </w:p>
          <w:p w14:paraId="10DC9320" w14:textId="3DA23EB4"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Navrhujeme vypustit z navrhované právní úpravy podmínku, podle níž je osvobození vybraných volnočasových benefitů od daně z příjmů fyzických osob podmíněno tím, že jejich poskytování musí být vzhledem k jejich povaze zaměstnavateli obvyklé. V návrhu zákona je tedy potřeba provést úpravu navrhovaného znění § 6 odst. 9 písm. d) bodu 2., a to buď vypuštěním slov „nebo poskytnutí příspěvku na kulturní nebo sportovní akce“ nebo vypuštěním slov „vzhledem k jejich povaze je jejich poskytování zaměstnavateli obvyklé a“ z návrhu, a jazykovou korekcí zbylého textu.</w:t>
            </w:r>
          </w:p>
          <w:p w14:paraId="144C5928" w14:textId="77777777" w:rsidR="000B4BD4" w:rsidRPr="0035187E" w:rsidRDefault="000B4BD4" w:rsidP="0035187E">
            <w:pPr>
              <w:jc w:val="both"/>
              <w:rPr>
                <w:rFonts w:ascii="Times New Roman" w:eastAsia="Calibri" w:hAnsi="Times New Roman" w:cs="Times New Roman"/>
                <w:sz w:val="20"/>
                <w:szCs w:val="20"/>
                <w:lang w:eastAsia="en-US"/>
              </w:rPr>
            </w:pPr>
          </w:p>
          <w:p w14:paraId="7904F2E9" w14:textId="77777777" w:rsidR="000B4BD4" w:rsidRPr="0035187E" w:rsidRDefault="000B4BD4" w:rsidP="0035187E">
            <w:pPr>
              <w:jc w:val="both"/>
              <w:rPr>
                <w:rFonts w:ascii="Times New Roman" w:eastAsia="Calibri" w:hAnsi="Times New Roman" w:cs="Times New Roman"/>
                <w:sz w:val="20"/>
                <w:szCs w:val="20"/>
                <w:u w:val="single"/>
                <w:lang w:eastAsia="en-US"/>
              </w:rPr>
            </w:pPr>
            <w:r w:rsidRPr="0035187E">
              <w:rPr>
                <w:rFonts w:ascii="Times New Roman" w:eastAsia="Calibri" w:hAnsi="Times New Roman" w:cs="Times New Roman"/>
                <w:sz w:val="20"/>
                <w:szCs w:val="20"/>
                <w:u w:val="single"/>
                <w:lang w:eastAsia="en-US"/>
              </w:rPr>
              <w:t>Odůvodnění:</w:t>
            </w:r>
          </w:p>
          <w:p w14:paraId="4DE7CF00" w14:textId="50051E3C"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V navrhované změně zákona jsou k současnému znění přidány dvě nové podmínky </w:t>
            </w:r>
            <w:proofErr w:type="gramStart"/>
            <w:r w:rsidRPr="0035187E">
              <w:rPr>
                <w:rFonts w:ascii="Times New Roman" w:eastAsia="Calibri" w:hAnsi="Times New Roman" w:cs="Times New Roman"/>
                <w:sz w:val="20"/>
                <w:szCs w:val="20"/>
                <w:lang w:eastAsia="en-US"/>
              </w:rPr>
              <w:t>–„</w:t>
            </w:r>
            <w:proofErr w:type="gramEnd"/>
            <w:r w:rsidRPr="0035187E">
              <w:rPr>
                <w:rFonts w:ascii="Times New Roman" w:eastAsia="Calibri" w:hAnsi="Times New Roman" w:cs="Times New Roman"/>
                <w:sz w:val="20"/>
                <w:szCs w:val="20"/>
                <w:lang w:eastAsia="en-US"/>
              </w:rPr>
              <w:t xml:space="preserve">přiměřenost“ a „obvyklost“. Zatímco podmínka přiměřenosti je v daňové praxi poměrně </w:t>
            </w:r>
            <w:r w:rsidRPr="0035187E">
              <w:rPr>
                <w:rFonts w:ascii="Times New Roman" w:eastAsia="Calibri" w:hAnsi="Times New Roman" w:cs="Times New Roman"/>
                <w:sz w:val="20"/>
                <w:szCs w:val="20"/>
                <w:lang w:eastAsia="en-US"/>
              </w:rPr>
              <w:lastRenderedPageBreak/>
              <w:t xml:space="preserve">běžná a neměla by pro zaměstnavatele představovat výraznější problém, u podmínky obvyklosti tomu tak není. Pojem „obvyklost“ není zákonem definován a může být tedy vykládán značně různorodě. To, co je pro jednoho zaměstnavatele obvyklé, může být při jiné velikosti firmy či v jiném regionu pro jiného zaměstnavatele neobvyklé. Při zavedení nově navrhovaného znění tak budou zaměstnavatelé nevyhnutelně postaveni před značnou právní nejistotu. </w:t>
            </w:r>
          </w:p>
          <w:p w14:paraId="6F65C14E" w14:textId="77777777" w:rsidR="000B4BD4" w:rsidRPr="0035187E" w:rsidRDefault="000B4BD4" w:rsidP="0035187E">
            <w:pPr>
              <w:jc w:val="both"/>
              <w:rPr>
                <w:rFonts w:ascii="Times New Roman" w:eastAsia="Calibri" w:hAnsi="Times New Roman" w:cs="Times New Roman"/>
                <w:sz w:val="20"/>
                <w:szCs w:val="20"/>
                <w:lang w:eastAsia="en-US"/>
              </w:rPr>
            </w:pPr>
          </w:p>
          <w:p w14:paraId="50FD24AA" w14:textId="2DB5C18D"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Benefity představují jeden z důležitých nástrojů, kterými se zaměstnavatelé mezi sebou chtějí odlišovat. Zavedení „neobvyklého“ benefitu tak často představuje potenciální konkurenční výhodu na trhu práce, případně lepší zacílení na zájmy a potřeby svých zaměstnanců. Navrhované znění zákona od tohoto přístupu může zaměstnavatele aktivně odrazovat, aniž by k tomu byl nějaký zřejmý důvod (např. malá regionální firma, která doteď benefity neposkytovala, je začne poskytovat, což představuje neobvyklou situaci pro tu konkrétní firmu, ale zároveň ji to při náboru umožní konkurovat větším firmám, pro které jsou zaměstnanecké benefity již obvyklé). </w:t>
            </w:r>
          </w:p>
          <w:p w14:paraId="30CF0D93" w14:textId="77777777" w:rsidR="000B4BD4" w:rsidRPr="0035187E" w:rsidRDefault="000B4BD4" w:rsidP="0035187E">
            <w:pPr>
              <w:jc w:val="both"/>
              <w:rPr>
                <w:rFonts w:ascii="Times New Roman" w:eastAsia="Calibri" w:hAnsi="Times New Roman" w:cs="Times New Roman"/>
                <w:sz w:val="20"/>
                <w:szCs w:val="20"/>
                <w:lang w:eastAsia="en-US"/>
              </w:rPr>
            </w:pPr>
          </w:p>
          <w:p w14:paraId="1A747CA8"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Setrvání uvedené podmínky tak může působit jako překážka v odměňovací praxi, konkurenceschopnosti, při zavádění nových benefitů či při změně struktury stávajících. Současně tato navrhovaná právní úprava zvyšuje riziko rozdílného výkladu a sporů při daňových kontrolách napříč Českou republikou. Pokud na jednu stranu podporujeme inovace, start-upy, nová řešení a nové služby a produkty, působí omezení benefitů pouze na neurčité „obvyklé“ poskytování jako relikt. Pro naplnění cílů zákonodárce by tak mělo plně postačovat pouze nové kritérium přiměřenosti. </w:t>
            </w:r>
          </w:p>
          <w:p w14:paraId="452F9645" w14:textId="6D37EF4C" w:rsidR="000B4BD4" w:rsidRPr="0035187E" w:rsidRDefault="000B4BD4" w:rsidP="0035187E">
            <w:pPr>
              <w:jc w:val="right"/>
              <w:rPr>
                <w:rFonts w:ascii="Times New Roman" w:eastAsia="Aptos" w:hAnsi="Times New Roman" w:cs="Times New Roman"/>
                <w:sz w:val="20"/>
                <w:szCs w:val="20"/>
              </w:rPr>
            </w:pPr>
            <w:r w:rsidRPr="0035187E">
              <w:rPr>
                <w:rFonts w:ascii="Times New Roman" w:eastAsia="Aptos" w:hAnsi="Times New Roman" w:cs="Times New Roman"/>
                <w:sz w:val="20"/>
                <w:szCs w:val="20"/>
              </w:rPr>
              <w:t>tato připomínka je zásadní</w:t>
            </w:r>
          </w:p>
        </w:tc>
        <w:tc>
          <w:tcPr>
            <w:tcW w:w="1453" w:type="pct"/>
            <w:tcBorders>
              <w:top w:val="single" w:sz="4" w:space="0" w:color="auto"/>
              <w:left w:val="single" w:sz="4" w:space="0" w:color="auto"/>
              <w:right w:val="single" w:sz="4" w:space="0" w:color="auto"/>
            </w:tcBorders>
            <w:shd w:val="clear" w:color="auto" w:fill="auto"/>
          </w:tcPr>
          <w:p w14:paraId="77DEA97D"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b/>
                <w:sz w:val="20"/>
                <w:szCs w:val="20"/>
              </w:rPr>
              <w:lastRenderedPageBreak/>
              <w:t>Nevyhověno.</w:t>
            </w:r>
          </w:p>
          <w:p w14:paraId="41CE86C0" w14:textId="78BE2DF9"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Kritérium „obvyklosti“ vychází z dosavadního § 6 odst. 9 písm. g) zákona o daních z příjmů, který upravuje daňové osvobození nepeněžních příjmů plynoucích z účasti zaměstnance nebo jeho rodinného příslušníka na společenské akci pořádané zaměstnavatelem pro omezený okruh účastníků, včetně akcí s kulturním či sportovním prvkem. V návaznosti na zrušení stropu v § 6 odst. 9 písm. d) bodu 2 zákona o daních z příjmů budou tyto akce nově podřazeny pod toto ustanovení.</w:t>
            </w:r>
          </w:p>
          <w:p w14:paraId="43A11AA9" w14:textId="64826088"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Metodická informace GFŘ k zaměstnaneckým benefitům z roku 2024 upřesňuje, že obvyklost pořádání </w:t>
            </w:r>
            <w:r w:rsidRPr="0035187E">
              <w:rPr>
                <w:rFonts w:ascii="Times New Roman" w:hAnsi="Times New Roman" w:cs="Times New Roman"/>
                <w:sz w:val="20"/>
                <w:szCs w:val="20"/>
              </w:rPr>
              <w:lastRenderedPageBreak/>
              <w:t>akce se posuzuje zejména s ohledem na běžné standardy v podnikatelské praxi, charakter akce (např. sportovní den pro děti, zaměstnanecké sportovní hry) a pravidelnost pořádání, včetně okruhu účastníků (zaměstnanci, rodinní příslušníci či obchodní partneři).</w:t>
            </w:r>
          </w:p>
          <w:p w14:paraId="0FC50FD4" w14:textId="57229386"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Navrhuje se kritérium obvyklosti výslovně zakotvit nejen pro akce pořádané přímo zaměstnavatelem, ale i pro kulturní a sportovní akce zajišťované zaměstnavatelem prostřednictvím externích subjektů (např. cestovních kanceláří). Toto upřesnění poskytne jasnou legislativní oporu pro posuzování případů, které by mohly spíše nasvědčovat zneužívání daňového zvýhodnění než skutečné snaze o podporu a stabilizaci pracovního prostředí.</w:t>
            </w:r>
          </w:p>
          <w:p w14:paraId="5767AE1E"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Zachování kritéria obvyklosti tak zajišťuje systematičnost a předvídatelnost daňového režimu volnočasových benefitů, chrání před jejich zneužíváním a současně umožňuje, aby zaměstnavatelé nadále mohli inovativně vytvářet benefity cílené na potřeby svých zaměstnanců, aniž by docházelo k nejasnostem při daňových kontrolách. </w:t>
            </w:r>
          </w:p>
          <w:p w14:paraId="4C336531" w14:textId="77777777" w:rsidR="00A93BA8" w:rsidRPr="0035187E" w:rsidRDefault="00A93BA8" w:rsidP="0035187E">
            <w:pPr>
              <w:jc w:val="both"/>
              <w:rPr>
                <w:rFonts w:ascii="Times New Roman" w:hAnsi="Times New Roman" w:cs="Times New Roman"/>
                <w:sz w:val="20"/>
                <w:szCs w:val="20"/>
              </w:rPr>
            </w:pPr>
          </w:p>
          <w:p w14:paraId="4DA4B32D" w14:textId="27D78ECE" w:rsidR="00A93BA8" w:rsidRPr="0035187E" w:rsidRDefault="00D76098" w:rsidP="0035187E">
            <w:pPr>
              <w:jc w:val="both"/>
              <w:rPr>
                <w:rFonts w:ascii="Times New Roman" w:hAnsi="Times New Roman" w:cs="Times New Roman"/>
                <w:sz w:val="20"/>
                <w:szCs w:val="20"/>
              </w:rPr>
            </w:pPr>
            <w:r w:rsidRPr="0035187E">
              <w:rPr>
                <w:rFonts w:ascii="Times New Roman" w:hAnsi="Times New Roman" w:cs="Times New Roman"/>
                <w:i/>
                <w:iCs/>
                <w:sz w:val="20"/>
                <w:szCs w:val="20"/>
              </w:rPr>
              <w:t xml:space="preserve">Viz vyjádření v rámci </w:t>
            </w:r>
            <w:r w:rsidR="00A93BA8" w:rsidRPr="0035187E">
              <w:rPr>
                <w:rFonts w:ascii="Times New Roman" w:hAnsi="Times New Roman" w:cs="Times New Roman"/>
                <w:i/>
                <w:iCs/>
                <w:sz w:val="20"/>
                <w:szCs w:val="20"/>
              </w:rPr>
              <w:t>vypořádání připomínky Konfederace zaměstnavatelských a podnikatelských svazů ČR č. 10.</w:t>
            </w:r>
          </w:p>
        </w:tc>
      </w:tr>
      <w:tr w:rsidR="0035187E" w:rsidRPr="0035187E" w14:paraId="1028862E"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608BCCB" w14:textId="5A657E5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76.</w:t>
            </w:r>
          </w:p>
        </w:tc>
        <w:tc>
          <w:tcPr>
            <w:tcW w:w="583" w:type="pct"/>
            <w:tcBorders>
              <w:top w:val="single" w:sz="4" w:space="0" w:color="auto"/>
              <w:left w:val="single" w:sz="4" w:space="0" w:color="auto"/>
              <w:right w:val="single" w:sz="4" w:space="0" w:color="auto"/>
            </w:tcBorders>
            <w:shd w:val="clear" w:color="auto" w:fill="auto"/>
          </w:tcPr>
          <w:p w14:paraId="483FC1B0" w14:textId="02ABA15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Unie zaměstnavatelských svazů České republiky</w:t>
            </w:r>
          </w:p>
        </w:tc>
        <w:tc>
          <w:tcPr>
            <w:tcW w:w="168" w:type="pct"/>
            <w:tcBorders>
              <w:top w:val="single" w:sz="4" w:space="0" w:color="auto"/>
              <w:left w:val="single" w:sz="4" w:space="0" w:color="auto"/>
              <w:right w:val="single" w:sz="4" w:space="0" w:color="auto"/>
            </w:tcBorders>
            <w:shd w:val="clear" w:color="auto" w:fill="auto"/>
          </w:tcPr>
          <w:p w14:paraId="50F66636" w14:textId="11EE596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9.</w:t>
            </w:r>
          </w:p>
        </w:tc>
        <w:tc>
          <w:tcPr>
            <w:tcW w:w="169" w:type="pct"/>
            <w:tcBorders>
              <w:top w:val="single" w:sz="4" w:space="0" w:color="auto"/>
              <w:left w:val="single" w:sz="4" w:space="0" w:color="auto"/>
              <w:right w:val="single" w:sz="4" w:space="0" w:color="auto"/>
            </w:tcBorders>
            <w:shd w:val="clear" w:color="auto" w:fill="auto"/>
          </w:tcPr>
          <w:p w14:paraId="17BC0754" w14:textId="7FE7A23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AFC4EC9" w14:textId="77777777" w:rsidR="000B4BD4" w:rsidRPr="0035187E" w:rsidRDefault="000B4BD4" w:rsidP="0035187E">
            <w:pPr>
              <w:pBdr>
                <w:bottom w:val="single" w:sz="4" w:space="1" w:color="auto"/>
              </w:pBdr>
              <w:jc w:val="both"/>
              <w:rPr>
                <w:rFonts w:ascii="Times New Roman" w:hAnsi="Times New Roman" w:cs="Times New Roman"/>
                <w:b/>
                <w:bCs/>
                <w:sz w:val="20"/>
                <w:szCs w:val="20"/>
                <w:lang w:eastAsia="en-GB"/>
              </w:rPr>
            </w:pPr>
            <w:r w:rsidRPr="0035187E">
              <w:rPr>
                <w:rFonts w:ascii="Times New Roman" w:hAnsi="Times New Roman" w:cs="Times New Roman"/>
                <w:b/>
                <w:bCs/>
                <w:sz w:val="20"/>
                <w:szCs w:val="20"/>
                <w:lang w:eastAsia="en-GB"/>
              </w:rPr>
              <w:t xml:space="preserve">1. Připomínka k ZDP § 6 odst. 9 </w:t>
            </w:r>
            <w:proofErr w:type="spellStart"/>
            <w:r w:rsidRPr="0035187E">
              <w:rPr>
                <w:rFonts w:ascii="Times New Roman" w:hAnsi="Times New Roman" w:cs="Times New Roman"/>
                <w:b/>
                <w:bCs/>
                <w:sz w:val="20"/>
                <w:szCs w:val="20"/>
                <w:lang w:eastAsia="en-GB"/>
              </w:rPr>
              <w:t>písm</w:t>
            </w:r>
            <w:proofErr w:type="spellEnd"/>
            <w:r w:rsidRPr="0035187E">
              <w:rPr>
                <w:rFonts w:ascii="Times New Roman" w:hAnsi="Times New Roman" w:cs="Times New Roman"/>
                <w:b/>
                <w:bCs/>
                <w:sz w:val="20"/>
                <w:szCs w:val="20"/>
                <w:lang w:eastAsia="en-GB"/>
              </w:rPr>
              <w:t xml:space="preserve"> d)., bod 2.</w:t>
            </w:r>
          </w:p>
          <w:p w14:paraId="4C6744BE" w14:textId="77777777" w:rsidR="000B4BD4" w:rsidRPr="0035187E" w:rsidRDefault="000B4BD4" w:rsidP="0035187E">
            <w:pPr>
              <w:pBdr>
                <w:bottom w:val="single" w:sz="4" w:space="1" w:color="auto"/>
              </w:pBdr>
              <w:jc w:val="both"/>
              <w:rPr>
                <w:rFonts w:ascii="Times New Roman" w:hAnsi="Times New Roman" w:cs="Times New Roman"/>
                <w:bCs/>
                <w:sz w:val="20"/>
                <w:szCs w:val="20"/>
                <w:lang w:eastAsia="en-GB"/>
              </w:rPr>
            </w:pPr>
          </w:p>
          <w:p w14:paraId="30C5110E" w14:textId="77777777" w:rsidR="000B4BD4" w:rsidRPr="0035187E" w:rsidRDefault="000B4BD4" w:rsidP="0035187E">
            <w:pPr>
              <w:pBdr>
                <w:bottom w:val="single" w:sz="4" w:space="1" w:color="auto"/>
              </w:pBdr>
              <w:jc w:val="both"/>
              <w:rPr>
                <w:rFonts w:ascii="Times New Roman" w:hAnsi="Times New Roman" w:cs="Times New Roman"/>
                <w:b/>
                <w:bCs/>
                <w:sz w:val="20"/>
                <w:szCs w:val="20"/>
                <w:lang w:eastAsia="en-GB"/>
              </w:rPr>
            </w:pPr>
            <w:r w:rsidRPr="0035187E">
              <w:rPr>
                <w:rFonts w:ascii="Times New Roman" w:hAnsi="Times New Roman" w:cs="Times New Roman"/>
                <w:b/>
                <w:bCs/>
                <w:sz w:val="20"/>
                <w:szCs w:val="20"/>
                <w:lang w:eastAsia="en-GB"/>
              </w:rPr>
              <w:t>Navrhujeme, aby nepeněžní plnění ve formě příspěvku bylo možné využít nejen na tištěné knihy, ale i na elektronické knihy a audioknihy (tj. aby tato možnost a zaměstnanecký benefit nadále nebyly omezeny pouze na knihy tištěné).</w:t>
            </w:r>
          </w:p>
          <w:p w14:paraId="132C0C5F" w14:textId="77777777" w:rsidR="000B4BD4" w:rsidRPr="0035187E" w:rsidRDefault="000B4BD4" w:rsidP="0035187E">
            <w:pPr>
              <w:pBdr>
                <w:bottom w:val="single" w:sz="4" w:space="1" w:color="auto"/>
              </w:pBdr>
              <w:jc w:val="both"/>
              <w:rPr>
                <w:rFonts w:ascii="Times New Roman" w:hAnsi="Times New Roman" w:cs="Times New Roman"/>
                <w:b/>
                <w:bCs/>
                <w:sz w:val="20"/>
                <w:szCs w:val="20"/>
                <w:lang w:eastAsia="en-GB"/>
              </w:rPr>
            </w:pPr>
          </w:p>
          <w:p w14:paraId="1BE35A87" w14:textId="77777777" w:rsidR="000B4BD4" w:rsidRPr="0035187E" w:rsidRDefault="000B4BD4" w:rsidP="0035187E">
            <w:pPr>
              <w:pBdr>
                <w:bottom w:val="single" w:sz="4" w:space="1" w:color="auto"/>
              </w:pBdr>
              <w:jc w:val="both"/>
              <w:rPr>
                <w:rFonts w:ascii="Times New Roman" w:hAnsi="Times New Roman" w:cs="Times New Roman"/>
                <w:b/>
                <w:bCs/>
                <w:sz w:val="20"/>
                <w:szCs w:val="20"/>
                <w:lang w:eastAsia="en-GB"/>
              </w:rPr>
            </w:pPr>
            <w:r w:rsidRPr="0035187E">
              <w:rPr>
                <w:rFonts w:ascii="Times New Roman" w:hAnsi="Times New Roman" w:cs="Times New Roman"/>
                <w:b/>
                <w:bCs/>
                <w:sz w:val="20"/>
                <w:szCs w:val="20"/>
                <w:lang w:eastAsia="en-GB"/>
              </w:rPr>
              <w:t>Odůvodnění:</w:t>
            </w:r>
          </w:p>
          <w:p w14:paraId="7C14A17D" w14:textId="77777777" w:rsidR="000B4BD4" w:rsidRPr="0035187E" w:rsidRDefault="000B4BD4" w:rsidP="0035187E">
            <w:pPr>
              <w:pBdr>
                <w:bottom w:val="single" w:sz="4" w:space="1" w:color="auto"/>
              </w:pBdr>
              <w:jc w:val="both"/>
              <w:rPr>
                <w:rFonts w:ascii="Times New Roman" w:hAnsi="Times New Roman" w:cs="Times New Roman"/>
                <w:bCs/>
                <w:sz w:val="20"/>
                <w:szCs w:val="20"/>
                <w:lang w:eastAsia="en-GB"/>
              </w:rPr>
            </w:pPr>
            <w:r w:rsidRPr="0035187E">
              <w:rPr>
                <w:rFonts w:ascii="Times New Roman" w:hAnsi="Times New Roman" w:cs="Times New Roman"/>
                <w:bCs/>
                <w:sz w:val="20"/>
                <w:szCs w:val="20"/>
                <w:lang w:eastAsia="en-GB"/>
              </w:rPr>
              <w:t xml:space="preserve">Příspěvek na tištěné knihy pro zaměstnance jako osvobozené nepeněžní plnění byl do zákona zahrnut před téměř deseti lety, tedy v době, kdy překotný rozvoj popularity elektronických knih a audioknih byl teprve v počátcích a kdy současně tištěné a elektronické knihy doposud </w:t>
            </w:r>
            <w:r w:rsidRPr="0035187E">
              <w:rPr>
                <w:rFonts w:ascii="Times New Roman" w:hAnsi="Times New Roman" w:cs="Times New Roman"/>
                <w:b/>
                <w:bCs/>
                <w:sz w:val="20"/>
                <w:szCs w:val="20"/>
                <w:lang w:eastAsia="en-GB"/>
              </w:rPr>
              <w:t>podléhaly rozdílným režimům DPH</w:t>
            </w:r>
            <w:r w:rsidRPr="0035187E">
              <w:rPr>
                <w:rFonts w:ascii="Times New Roman" w:hAnsi="Times New Roman" w:cs="Times New Roman"/>
                <w:bCs/>
                <w:sz w:val="20"/>
                <w:szCs w:val="20"/>
                <w:lang w:eastAsia="en-GB"/>
              </w:rPr>
              <w:t xml:space="preserve">. Ke zrovnoprávnění tištěných knih s knihami elektronickými včetně audioknih v oblasti daně z přidané hodnoty přitom zákonodárce přikročil </w:t>
            </w:r>
            <w:r w:rsidRPr="0035187E">
              <w:rPr>
                <w:rFonts w:ascii="Times New Roman" w:hAnsi="Times New Roman" w:cs="Times New Roman"/>
                <w:b/>
                <w:bCs/>
                <w:sz w:val="20"/>
                <w:szCs w:val="20"/>
                <w:lang w:eastAsia="en-GB"/>
              </w:rPr>
              <w:t>již v roce 2019</w:t>
            </w:r>
            <w:r w:rsidRPr="0035187E">
              <w:rPr>
                <w:rFonts w:ascii="Times New Roman" w:hAnsi="Times New Roman" w:cs="Times New Roman"/>
                <w:bCs/>
                <w:sz w:val="20"/>
                <w:szCs w:val="20"/>
                <w:lang w:eastAsia="en-GB"/>
              </w:rPr>
              <w:t xml:space="preserve">, tedy bezprostředně poté, co uvedenou možnost otevřela novelizace směrnice o DPH na konci roku 2018. </w:t>
            </w:r>
          </w:p>
          <w:p w14:paraId="3E843E4F" w14:textId="77777777" w:rsidR="000B4BD4" w:rsidRPr="0035187E" w:rsidRDefault="000B4BD4" w:rsidP="0035187E">
            <w:pPr>
              <w:pBdr>
                <w:bottom w:val="single" w:sz="4" w:space="1" w:color="auto"/>
              </w:pBdr>
              <w:jc w:val="both"/>
              <w:rPr>
                <w:rFonts w:ascii="Times New Roman" w:hAnsi="Times New Roman" w:cs="Times New Roman"/>
                <w:bCs/>
                <w:sz w:val="20"/>
                <w:szCs w:val="20"/>
                <w:lang w:eastAsia="en-GB"/>
              </w:rPr>
            </w:pPr>
          </w:p>
          <w:p w14:paraId="725726F3" w14:textId="77777777" w:rsidR="000B4BD4" w:rsidRPr="0035187E" w:rsidRDefault="000B4BD4" w:rsidP="0035187E">
            <w:pPr>
              <w:pBdr>
                <w:bottom w:val="single" w:sz="4" w:space="1" w:color="auto"/>
              </w:pBdr>
              <w:jc w:val="both"/>
              <w:rPr>
                <w:rFonts w:ascii="Times New Roman" w:hAnsi="Times New Roman" w:cs="Times New Roman"/>
                <w:bCs/>
                <w:sz w:val="20"/>
                <w:szCs w:val="20"/>
                <w:lang w:eastAsia="en-GB"/>
              </w:rPr>
            </w:pPr>
            <w:r w:rsidRPr="0035187E">
              <w:rPr>
                <w:rFonts w:ascii="Times New Roman" w:hAnsi="Times New Roman" w:cs="Times New Roman"/>
                <w:bCs/>
                <w:sz w:val="20"/>
                <w:szCs w:val="20"/>
                <w:lang w:eastAsia="en-GB"/>
              </w:rPr>
              <w:t xml:space="preserve">Omezení tohoto zaměstnaneckého benefitu výhradně na tištěné knihy však již dlouhodobě neodpovídá potřebám zaměstnanců a vývoji, v jehož rámci se každoročně zvyšuje podíl elektronických knih i audioknih na celkových čtenářských preferencích. Elektronické </w:t>
            </w:r>
            <w:r w:rsidRPr="0035187E">
              <w:rPr>
                <w:rFonts w:ascii="Times New Roman" w:hAnsi="Times New Roman" w:cs="Times New Roman"/>
                <w:bCs/>
                <w:sz w:val="20"/>
                <w:szCs w:val="20"/>
                <w:lang w:eastAsia="en-GB"/>
              </w:rPr>
              <w:lastRenderedPageBreak/>
              <w:t>knihy i audioknihy jsou přitom čím dál tím populárnější, a není tedy dán důvod k jejich znevýhodnění a omezení možnosti zaměstnanců si ze svého benefitu tyto formáty knih zakoupit. Dle zpětné vazby ze strany členské základny dosavadní nedůvodné omezení, neumožňující pořízení populárních elektronických knih nebo audioknih, snižuje atraktivitu tohoto zaměstnaneckého benefitu.</w:t>
            </w:r>
          </w:p>
          <w:p w14:paraId="147E38B5" w14:textId="77777777" w:rsidR="000B4BD4" w:rsidRPr="0035187E" w:rsidRDefault="000B4BD4" w:rsidP="0035187E">
            <w:pPr>
              <w:pBdr>
                <w:bottom w:val="single" w:sz="4" w:space="1" w:color="auto"/>
              </w:pBdr>
              <w:jc w:val="both"/>
              <w:rPr>
                <w:rFonts w:ascii="Times New Roman" w:hAnsi="Times New Roman" w:cs="Times New Roman"/>
                <w:bCs/>
                <w:sz w:val="20"/>
                <w:szCs w:val="20"/>
                <w:lang w:eastAsia="en-GB"/>
              </w:rPr>
            </w:pPr>
          </w:p>
          <w:p w14:paraId="4952381E" w14:textId="77777777" w:rsidR="000B4BD4" w:rsidRPr="0035187E" w:rsidRDefault="000B4BD4" w:rsidP="0035187E">
            <w:pPr>
              <w:pBdr>
                <w:bottom w:val="single" w:sz="4" w:space="1" w:color="auto"/>
              </w:pBdr>
              <w:jc w:val="both"/>
              <w:rPr>
                <w:rFonts w:ascii="Times New Roman" w:hAnsi="Times New Roman" w:cs="Times New Roman"/>
                <w:bCs/>
                <w:sz w:val="20"/>
                <w:szCs w:val="20"/>
                <w:lang w:eastAsia="en-GB"/>
              </w:rPr>
            </w:pPr>
            <w:r w:rsidRPr="0035187E">
              <w:rPr>
                <w:rFonts w:ascii="Times New Roman" w:hAnsi="Times New Roman" w:cs="Times New Roman"/>
                <w:bCs/>
                <w:sz w:val="20"/>
                <w:szCs w:val="20"/>
                <w:lang w:eastAsia="en-GB"/>
              </w:rPr>
              <w:t xml:space="preserve">Navrhujeme proto, aby tato nerovnost a </w:t>
            </w:r>
            <w:proofErr w:type="spellStart"/>
            <w:r w:rsidRPr="0035187E">
              <w:rPr>
                <w:rFonts w:ascii="Times New Roman" w:hAnsi="Times New Roman" w:cs="Times New Roman"/>
                <w:bCs/>
                <w:sz w:val="20"/>
                <w:szCs w:val="20"/>
                <w:lang w:eastAsia="en-GB"/>
              </w:rPr>
              <w:t>obsolentní</w:t>
            </w:r>
            <w:proofErr w:type="spellEnd"/>
            <w:r w:rsidRPr="0035187E">
              <w:rPr>
                <w:rFonts w:ascii="Times New Roman" w:hAnsi="Times New Roman" w:cs="Times New Roman"/>
                <w:bCs/>
                <w:sz w:val="20"/>
                <w:szCs w:val="20"/>
                <w:lang w:eastAsia="en-GB"/>
              </w:rPr>
              <w:t xml:space="preserve"> zúžení pouze na knihy </w:t>
            </w:r>
            <w:r w:rsidRPr="0035187E">
              <w:rPr>
                <w:rFonts w:ascii="Times New Roman" w:hAnsi="Times New Roman" w:cs="Times New Roman"/>
                <w:bCs/>
                <w:i/>
                <w:iCs/>
                <w:sz w:val="20"/>
                <w:szCs w:val="20"/>
                <w:u w:val="single"/>
                <w:lang w:eastAsia="en-GB"/>
              </w:rPr>
              <w:t>tištěné</w:t>
            </w:r>
            <w:r w:rsidRPr="0035187E">
              <w:rPr>
                <w:rFonts w:ascii="Times New Roman" w:hAnsi="Times New Roman" w:cs="Times New Roman"/>
                <w:bCs/>
                <w:sz w:val="20"/>
                <w:szCs w:val="20"/>
                <w:lang w:eastAsia="en-GB"/>
              </w:rPr>
              <w:t xml:space="preserve"> bylo napraveno tak, že ustanovení § 6 odst. 9 písm. d) bodu 2. zákona o daních z příjmů </w:t>
            </w:r>
            <w:r w:rsidRPr="0035187E">
              <w:rPr>
                <w:rFonts w:ascii="Times New Roman" w:hAnsi="Times New Roman" w:cs="Times New Roman"/>
                <w:b/>
                <w:bCs/>
                <w:sz w:val="20"/>
                <w:szCs w:val="20"/>
                <w:lang w:eastAsia="en-GB"/>
              </w:rPr>
              <w:t>umožní využití příspěvku na nákup knihy bez ohledu na její formát (tištěný, elektronický nebo zvukový)</w:t>
            </w:r>
            <w:r w:rsidRPr="0035187E">
              <w:rPr>
                <w:rFonts w:ascii="Times New Roman" w:hAnsi="Times New Roman" w:cs="Times New Roman"/>
                <w:bCs/>
                <w:sz w:val="20"/>
                <w:szCs w:val="20"/>
                <w:lang w:eastAsia="en-GB"/>
              </w:rPr>
              <w:t xml:space="preserve">. Přesná definice pojmů samozřejmě spočívá v rukou zákonodárce. Při zakotvení navržené úpravy lze postupovat minimalisticky, odstraněním slova </w:t>
            </w:r>
            <w:r w:rsidRPr="0035187E">
              <w:rPr>
                <w:rFonts w:ascii="Times New Roman" w:hAnsi="Times New Roman" w:cs="Times New Roman"/>
                <w:bCs/>
                <w:i/>
                <w:iCs/>
                <w:sz w:val="20"/>
                <w:szCs w:val="20"/>
                <w:u w:val="single"/>
                <w:lang w:eastAsia="en-GB"/>
              </w:rPr>
              <w:t>tištěné</w:t>
            </w:r>
            <w:r w:rsidRPr="0035187E">
              <w:rPr>
                <w:rFonts w:ascii="Times New Roman" w:hAnsi="Times New Roman" w:cs="Times New Roman"/>
                <w:bCs/>
                <w:sz w:val="20"/>
                <w:szCs w:val="20"/>
                <w:lang w:eastAsia="en-GB"/>
              </w:rPr>
              <w:t xml:space="preserve"> z textu označeného ustanovení zákona o daních z příjmů a upřesněním pojmu kniha v důvodové zprávě, s ohledem na úpravu v zákoně o dani z přidané hodnoty však navrhujeme ke zvážení převzetí pojmů z tohoto zákona pro sjednocení daňověprávního zakotvení knih, a to použitím následující formulace:</w:t>
            </w:r>
          </w:p>
          <w:p w14:paraId="723FB1DC" w14:textId="77777777" w:rsidR="000B4BD4" w:rsidRPr="0035187E" w:rsidRDefault="000B4BD4" w:rsidP="0035187E">
            <w:pPr>
              <w:pBdr>
                <w:bottom w:val="single" w:sz="4" w:space="1" w:color="auto"/>
              </w:pBdr>
              <w:jc w:val="both"/>
              <w:rPr>
                <w:rFonts w:ascii="Times New Roman" w:hAnsi="Times New Roman" w:cs="Times New Roman"/>
                <w:bCs/>
                <w:sz w:val="20"/>
                <w:szCs w:val="20"/>
                <w:lang w:eastAsia="en-GB"/>
              </w:rPr>
            </w:pPr>
          </w:p>
          <w:p w14:paraId="10973265" w14:textId="0642AC6E" w:rsidR="000B4BD4" w:rsidRPr="0035187E" w:rsidRDefault="000B4BD4" w:rsidP="0035187E">
            <w:pPr>
              <w:pBdr>
                <w:bottom w:val="single" w:sz="4" w:space="1" w:color="auto"/>
              </w:pBdr>
              <w:jc w:val="both"/>
              <w:rPr>
                <w:rFonts w:ascii="Times New Roman" w:hAnsi="Times New Roman" w:cs="Times New Roman"/>
                <w:bCs/>
                <w:i/>
                <w:iCs/>
                <w:sz w:val="20"/>
                <w:szCs w:val="20"/>
                <w:lang w:eastAsia="en-GB"/>
              </w:rPr>
            </w:pPr>
            <w:r w:rsidRPr="0035187E">
              <w:rPr>
                <w:rFonts w:ascii="Times New Roman" w:hAnsi="Times New Roman" w:cs="Times New Roman"/>
                <w:bCs/>
                <w:sz w:val="20"/>
                <w:szCs w:val="20"/>
                <w:lang w:eastAsia="en-GB"/>
              </w:rPr>
              <w:t xml:space="preserve">„[...] </w:t>
            </w:r>
            <w:r w:rsidRPr="0035187E">
              <w:rPr>
                <w:rFonts w:ascii="Times New Roman" w:hAnsi="Times New Roman" w:cs="Times New Roman"/>
                <w:bCs/>
                <w:i/>
                <w:iCs/>
                <w:sz w:val="20"/>
                <w:szCs w:val="20"/>
                <w:lang w:eastAsia="en-GB"/>
              </w:rPr>
              <w:t xml:space="preserve">nebo příspěvku na knihy nebo služby obdobné dodání knihy podle zákona o dani z přidané </w:t>
            </w:r>
            <w:proofErr w:type="spellStart"/>
            <w:r w:rsidRPr="0035187E">
              <w:rPr>
                <w:rFonts w:ascii="Times New Roman" w:hAnsi="Times New Roman" w:cs="Times New Roman"/>
                <w:bCs/>
                <w:i/>
                <w:iCs/>
                <w:sz w:val="20"/>
                <w:szCs w:val="20"/>
                <w:lang w:eastAsia="en-GB"/>
              </w:rPr>
              <w:t>hodnoty</w:t>
            </w:r>
            <w:r w:rsidRPr="0035187E">
              <w:rPr>
                <w:rFonts w:ascii="Times New Roman" w:hAnsi="Times New Roman" w:cs="Times New Roman"/>
                <w:bCs/>
                <w:i/>
                <w:iCs/>
                <w:sz w:val="20"/>
                <w:szCs w:val="20"/>
                <w:vertAlign w:val="superscript"/>
                <w:lang w:eastAsia="en-GB"/>
              </w:rPr>
              <w:t>x</w:t>
            </w:r>
            <w:proofErr w:type="spellEnd"/>
            <w:r w:rsidRPr="0035187E">
              <w:rPr>
                <w:rFonts w:ascii="Times New Roman" w:hAnsi="Times New Roman" w:cs="Times New Roman"/>
                <w:bCs/>
                <w:i/>
                <w:iCs/>
                <w:sz w:val="20"/>
                <w:szCs w:val="20"/>
                <w:vertAlign w:val="superscript"/>
                <w:lang w:eastAsia="en-GB"/>
              </w:rPr>
              <w:t>)</w:t>
            </w:r>
            <w:r w:rsidRPr="0035187E">
              <w:rPr>
                <w:rFonts w:ascii="Times New Roman" w:hAnsi="Times New Roman" w:cs="Times New Roman"/>
                <w:bCs/>
                <w:sz w:val="20"/>
                <w:szCs w:val="20"/>
                <w:lang w:eastAsia="en-GB"/>
              </w:rPr>
              <w:t>“</w:t>
            </w:r>
            <w:r w:rsidRPr="0035187E">
              <w:rPr>
                <w:rFonts w:ascii="Times New Roman" w:hAnsi="Times New Roman" w:cs="Times New Roman"/>
                <w:bCs/>
                <w:i/>
                <w:iCs/>
                <w:sz w:val="20"/>
                <w:szCs w:val="20"/>
                <w:lang w:eastAsia="en-GB"/>
              </w:rPr>
              <w:t xml:space="preserve"> </w:t>
            </w:r>
          </w:p>
          <w:p w14:paraId="46DD9BC7" w14:textId="77777777" w:rsidR="000B4BD4" w:rsidRPr="0035187E" w:rsidRDefault="000B4BD4" w:rsidP="0035187E">
            <w:pPr>
              <w:pBdr>
                <w:bottom w:val="single" w:sz="4" w:space="1" w:color="auto"/>
              </w:pBdr>
              <w:jc w:val="both"/>
              <w:rPr>
                <w:rFonts w:ascii="Times New Roman" w:hAnsi="Times New Roman" w:cs="Times New Roman"/>
                <w:bCs/>
                <w:i/>
                <w:iCs/>
                <w:sz w:val="20"/>
                <w:szCs w:val="20"/>
                <w:lang w:eastAsia="en-GB"/>
              </w:rPr>
            </w:pPr>
          </w:p>
          <w:p w14:paraId="2371CF99" w14:textId="0CC1EA35" w:rsidR="000B4BD4" w:rsidRPr="0035187E" w:rsidRDefault="000B4BD4" w:rsidP="0035187E">
            <w:pPr>
              <w:jc w:val="both"/>
              <w:rPr>
                <w:rFonts w:ascii="Times New Roman" w:eastAsia="Aptos" w:hAnsi="Times New Roman" w:cs="Times New Roman"/>
                <w:sz w:val="20"/>
                <w:szCs w:val="20"/>
              </w:rPr>
            </w:pPr>
            <w:r w:rsidRPr="0035187E">
              <w:rPr>
                <w:rFonts w:ascii="Times New Roman" w:hAnsi="Times New Roman" w:cs="Times New Roman"/>
                <w:bCs/>
                <w:sz w:val="20"/>
                <w:szCs w:val="20"/>
                <w:lang w:eastAsia="en-GB"/>
              </w:rPr>
              <w:t xml:space="preserve">Současně by pro upřesnění byla doplněna poznámka pod čarou </w:t>
            </w:r>
            <w:r w:rsidRPr="0035187E">
              <w:rPr>
                <w:rFonts w:ascii="Times New Roman" w:hAnsi="Times New Roman" w:cs="Times New Roman"/>
                <w:bCs/>
                <w:sz w:val="20"/>
                <w:szCs w:val="20"/>
                <w:vertAlign w:val="superscript"/>
                <w:lang w:eastAsia="en-GB"/>
              </w:rPr>
              <w:t>x)</w:t>
            </w:r>
            <w:r w:rsidRPr="0035187E">
              <w:rPr>
                <w:rFonts w:ascii="Times New Roman" w:hAnsi="Times New Roman" w:cs="Times New Roman"/>
                <w:bCs/>
                <w:sz w:val="20"/>
                <w:szCs w:val="20"/>
                <w:lang w:eastAsia="en-GB"/>
              </w:rPr>
              <w:t xml:space="preserve"> odkazující na § 71i odst. 1 a 2 zákona č. 235/2004 Sb., o dani z přidané hodnoty, ve znění pozdějších předpisů. </w:t>
            </w:r>
            <w:r w:rsidRPr="0035187E">
              <w:rPr>
                <w:rFonts w:ascii="Times New Roman" w:hAnsi="Times New Roman" w:cs="Times New Roman"/>
                <w:bCs/>
                <w:i/>
                <w:iCs/>
                <w:sz w:val="20"/>
                <w:szCs w:val="20"/>
                <w:lang w:eastAsia="en-GB"/>
              </w:rPr>
              <w:t>Službou obdobnou dodání knihy</w:t>
            </w:r>
            <w:r w:rsidRPr="0035187E">
              <w:rPr>
                <w:rFonts w:ascii="Times New Roman" w:hAnsi="Times New Roman" w:cs="Times New Roman"/>
                <w:bCs/>
                <w:sz w:val="20"/>
                <w:szCs w:val="20"/>
                <w:lang w:eastAsia="en-GB"/>
              </w:rPr>
              <w:t xml:space="preserve"> se tedy rozumí právě elektronická kniha nebo audiokniha.</w:t>
            </w:r>
          </w:p>
        </w:tc>
        <w:tc>
          <w:tcPr>
            <w:tcW w:w="1453" w:type="pct"/>
            <w:tcBorders>
              <w:top w:val="single" w:sz="4" w:space="0" w:color="auto"/>
              <w:left w:val="single" w:sz="4" w:space="0" w:color="auto"/>
              <w:right w:val="single" w:sz="4" w:space="0" w:color="auto"/>
            </w:tcBorders>
            <w:shd w:val="clear" w:color="auto" w:fill="auto"/>
          </w:tcPr>
          <w:p w14:paraId="338C2DC8" w14:textId="77777777"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Nevyhověno.</w:t>
            </w:r>
          </w:p>
          <w:p w14:paraId="5E53569C" w14:textId="5FCB1981"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Podnět přesahuje rámec navrhované úpravy. </w:t>
            </w:r>
          </w:p>
          <w:p w14:paraId="18C0A088" w14:textId="500B6268"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Příspěvek na knihy podle § 6 odst. 9 písm. d) bodu 4 zákona o daních z příjmů má primárně za cíl podporovat kulturní rozvoj zaměstnanců a jejich vzdělávání, zejména osob s nižšími příjmy a rodin s dětmi, pro které může nákup knih představovat významnou finanční zátěž. Tento benefit je záměrně vymezen pouze na tištěné knihy, včetně dětských obrázkových knih, aby byl účel opatření – přístup k tištěné literatuře a podpora čtenářství – plně naplněn.</w:t>
            </w:r>
          </w:p>
          <w:p w14:paraId="30DB37A8"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Rozšíření příspěvku na elektronické knihy nebo audioknihy by znamenalo značné rozšíření daňového osvobození a mohlo by vést k nejasnostem a komplikacím při administraci a kontrole plnění podmínek osvobození. Zároveň by takové rozšíření bylo v rozporu se zásadou zjednodušování daňového systému a </w:t>
            </w:r>
            <w:r w:rsidRPr="0035187E">
              <w:rPr>
                <w:rFonts w:ascii="Times New Roman" w:hAnsi="Times New Roman" w:cs="Times New Roman"/>
                <w:sz w:val="20"/>
                <w:szCs w:val="20"/>
              </w:rPr>
              <w:lastRenderedPageBreak/>
              <w:t>s cílem omezovat daňové výjimky na přesně vymezené účely.</w:t>
            </w:r>
          </w:p>
          <w:p w14:paraId="7AF3DC5E" w14:textId="77777777" w:rsidR="000B4BD4" w:rsidRPr="0035187E" w:rsidRDefault="000B4BD4" w:rsidP="0035187E">
            <w:pPr>
              <w:jc w:val="both"/>
              <w:rPr>
                <w:rFonts w:ascii="Times New Roman" w:hAnsi="Times New Roman" w:cs="Times New Roman"/>
                <w:sz w:val="20"/>
                <w:szCs w:val="20"/>
              </w:rPr>
            </w:pPr>
          </w:p>
          <w:p w14:paraId="6035EF41" w14:textId="0FD9D26C" w:rsidR="00A93BA8" w:rsidRPr="0035187E" w:rsidRDefault="00D76098" w:rsidP="0035187E">
            <w:pPr>
              <w:jc w:val="both"/>
              <w:rPr>
                <w:rFonts w:ascii="Times New Roman" w:hAnsi="Times New Roman" w:cs="Times New Roman"/>
                <w:sz w:val="20"/>
                <w:szCs w:val="20"/>
              </w:rPr>
            </w:pPr>
            <w:r w:rsidRPr="0035187E">
              <w:rPr>
                <w:rFonts w:ascii="Times New Roman" w:hAnsi="Times New Roman" w:cs="Times New Roman"/>
                <w:i/>
                <w:iCs/>
                <w:sz w:val="20"/>
                <w:szCs w:val="20"/>
              </w:rPr>
              <w:t xml:space="preserve">Viz částečné vyjádření v rámci </w:t>
            </w:r>
            <w:r w:rsidR="00A93BA8" w:rsidRPr="0035187E">
              <w:rPr>
                <w:rFonts w:ascii="Times New Roman" w:hAnsi="Times New Roman" w:cs="Times New Roman"/>
                <w:i/>
                <w:iCs/>
                <w:sz w:val="20"/>
                <w:szCs w:val="20"/>
              </w:rPr>
              <w:t>vypořádání připomínky Konfederace zaměstnavatelských a podnikatelských svazů ČR č. 8.</w:t>
            </w:r>
          </w:p>
        </w:tc>
      </w:tr>
      <w:tr w:rsidR="0035187E" w:rsidRPr="0035187E" w14:paraId="7AAFCA0A"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DB045F5" w14:textId="0D58CAF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76.</w:t>
            </w:r>
          </w:p>
        </w:tc>
        <w:tc>
          <w:tcPr>
            <w:tcW w:w="583" w:type="pct"/>
            <w:tcBorders>
              <w:top w:val="single" w:sz="4" w:space="0" w:color="auto"/>
              <w:left w:val="single" w:sz="4" w:space="0" w:color="auto"/>
              <w:right w:val="single" w:sz="4" w:space="0" w:color="auto"/>
            </w:tcBorders>
            <w:shd w:val="clear" w:color="auto" w:fill="auto"/>
          </w:tcPr>
          <w:p w14:paraId="6E78D17F" w14:textId="226F291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Unie zaměstnavatelských svazů České republiky</w:t>
            </w:r>
          </w:p>
        </w:tc>
        <w:tc>
          <w:tcPr>
            <w:tcW w:w="168" w:type="pct"/>
            <w:tcBorders>
              <w:top w:val="single" w:sz="4" w:space="0" w:color="auto"/>
              <w:left w:val="single" w:sz="4" w:space="0" w:color="auto"/>
              <w:right w:val="single" w:sz="4" w:space="0" w:color="auto"/>
            </w:tcBorders>
            <w:shd w:val="clear" w:color="auto" w:fill="auto"/>
          </w:tcPr>
          <w:p w14:paraId="2C09DAF7" w14:textId="42F9B89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10.</w:t>
            </w:r>
          </w:p>
        </w:tc>
        <w:tc>
          <w:tcPr>
            <w:tcW w:w="169" w:type="pct"/>
            <w:tcBorders>
              <w:top w:val="single" w:sz="4" w:space="0" w:color="auto"/>
              <w:left w:val="single" w:sz="4" w:space="0" w:color="auto"/>
              <w:right w:val="single" w:sz="4" w:space="0" w:color="auto"/>
            </w:tcBorders>
            <w:shd w:val="clear" w:color="auto" w:fill="auto"/>
          </w:tcPr>
          <w:p w14:paraId="112209E1" w14:textId="012BAEE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EC7296B" w14:textId="0D3881EC"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K návrhu zákona o daních z příjmů – nad rámec návrhu</w:t>
            </w:r>
          </w:p>
          <w:p w14:paraId="4BDCE90A" w14:textId="77777777" w:rsidR="000B4BD4" w:rsidRPr="0035187E" w:rsidRDefault="000B4BD4" w:rsidP="0035187E">
            <w:pPr>
              <w:jc w:val="both"/>
              <w:rPr>
                <w:rFonts w:ascii="Times New Roman" w:eastAsia="Calibri" w:hAnsi="Times New Roman" w:cs="Times New Roman"/>
                <w:sz w:val="20"/>
                <w:szCs w:val="20"/>
                <w:lang w:eastAsia="en-US"/>
              </w:rPr>
            </w:pPr>
          </w:p>
          <w:p w14:paraId="098C9716" w14:textId="74E50836"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Navrhujeme, aby zdravotní benefity byly poskytovány jako osvobozený zaměstnanecký benefit bez hodnotového limitu, a současně bylo do limitu jedné průměrné měsíční mzdy za rok umožněno převádět mzdu nebo plat do zdravotních benefitů, které by byly osvobozeny od daně z příjmů fyzických osob.</w:t>
            </w:r>
          </w:p>
          <w:p w14:paraId="1178E8D2" w14:textId="77777777" w:rsidR="000B4BD4" w:rsidRPr="0035187E" w:rsidRDefault="000B4BD4" w:rsidP="0035187E">
            <w:pPr>
              <w:jc w:val="both"/>
              <w:rPr>
                <w:rFonts w:ascii="Times New Roman" w:eastAsia="Calibri" w:hAnsi="Times New Roman" w:cs="Times New Roman"/>
                <w:sz w:val="20"/>
                <w:szCs w:val="20"/>
                <w:lang w:eastAsia="en-US"/>
              </w:rPr>
            </w:pPr>
          </w:p>
          <w:p w14:paraId="718CD6B8"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Návrh legislativní úpravy:</w:t>
            </w:r>
          </w:p>
          <w:p w14:paraId="1BF07653" w14:textId="77777777" w:rsidR="000B4BD4" w:rsidRPr="0035187E" w:rsidRDefault="000B4BD4" w:rsidP="0035187E">
            <w:pPr>
              <w:keepNext/>
              <w:keepLines/>
              <w:numPr>
                <w:ilvl w:val="0"/>
                <w:numId w:val="29"/>
              </w:numPr>
              <w:jc w:val="both"/>
              <w:outlineLvl w:val="5"/>
              <w:rPr>
                <w:rFonts w:ascii="Times New Roman" w:hAnsi="Times New Roman" w:cs="Times New Roman"/>
                <w:sz w:val="20"/>
                <w:szCs w:val="20"/>
              </w:rPr>
            </w:pPr>
          </w:p>
          <w:p w14:paraId="431645BB" w14:textId="668874A9" w:rsidR="000B4BD4" w:rsidRPr="0035187E" w:rsidRDefault="000B4BD4" w:rsidP="0035187E">
            <w:pPr>
              <w:keepNext/>
              <w:keepLines/>
              <w:numPr>
                <w:ilvl w:val="0"/>
                <w:numId w:val="29"/>
              </w:numPr>
              <w:jc w:val="center"/>
              <w:outlineLvl w:val="5"/>
              <w:rPr>
                <w:rFonts w:ascii="Times New Roman" w:hAnsi="Times New Roman" w:cs="Times New Roman"/>
                <w:sz w:val="20"/>
                <w:szCs w:val="20"/>
              </w:rPr>
            </w:pPr>
            <w:r w:rsidRPr="0035187E">
              <w:rPr>
                <w:rFonts w:ascii="Times New Roman" w:hAnsi="Times New Roman" w:cs="Times New Roman"/>
                <w:sz w:val="20"/>
                <w:szCs w:val="20"/>
              </w:rPr>
              <w:t>§ 6</w:t>
            </w:r>
          </w:p>
          <w:p w14:paraId="487DFE8F" w14:textId="77777777" w:rsidR="000B4BD4" w:rsidRPr="0035187E" w:rsidRDefault="000B4BD4" w:rsidP="0035187E">
            <w:pPr>
              <w:keepNext/>
              <w:keepLines/>
              <w:jc w:val="center"/>
              <w:outlineLvl w:val="5"/>
              <w:rPr>
                <w:rFonts w:ascii="Times New Roman" w:hAnsi="Times New Roman" w:cs="Times New Roman"/>
                <w:b/>
                <w:sz w:val="20"/>
                <w:szCs w:val="20"/>
                <w:lang w:eastAsia="en-US"/>
              </w:rPr>
            </w:pPr>
            <w:r w:rsidRPr="0035187E">
              <w:rPr>
                <w:rFonts w:ascii="Times New Roman" w:hAnsi="Times New Roman" w:cs="Times New Roman"/>
                <w:b/>
                <w:sz w:val="20"/>
                <w:szCs w:val="20"/>
                <w:lang w:eastAsia="en-US"/>
              </w:rPr>
              <w:t>Příjmy ze závislé činnosti</w:t>
            </w:r>
          </w:p>
          <w:p w14:paraId="249B95CF" w14:textId="77777777" w:rsidR="000B4BD4" w:rsidRPr="0035187E" w:rsidRDefault="000B4BD4" w:rsidP="0035187E">
            <w:pPr>
              <w:ind w:hanging="425"/>
              <w:jc w:val="both"/>
              <w:outlineLvl w:val="7"/>
              <w:rPr>
                <w:rFonts w:ascii="Times New Roman" w:hAnsi="Times New Roman" w:cs="Times New Roman"/>
                <w:sz w:val="20"/>
                <w:szCs w:val="20"/>
              </w:rPr>
            </w:pPr>
          </w:p>
          <w:p w14:paraId="7FCEE237" w14:textId="77777777" w:rsidR="000B4BD4" w:rsidRPr="0035187E" w:rsidRDefault="000B4BD4" w:rsidP="0035187E">
            <w:pPr>
              <w:jc w:val="both"/>
              <w:outlineLvl w:val="7"/>
              <w:rPr>
                <w:rFonts w:ascii="Times New Roman" w:hAnsi="Times New Roman" w:cs="Times New Roman"/>
                <w:sz w:val="20"/>
                <w:szCs w:val="20"/>
              </w:rPr>
            </w:pPr>
            <w:r w:rsidRPr="0035187E">
              <w:rPr>
                <w:rFonts w:ascii="Times New Roman" w:hAnsi="Times New Roman" w:cs="Times New Roman"/>
                <w:sz w:val="20"/>
                <w:szCs w:val="20"/>
              </w:rPr>
              <w:t>(9) Od daně jsou, kromě příjmů uvedených v § 4, dále osvobozeny</w:t>
            </w:r>
          </w:p>
          <w:p w14:paraId="3EC944C7" w14:textId="77777777" w:rsidR="000B4BD4" w:rsidRPr="0035187E" w:rsidRDefault="000B4BD4" w:rsidP="0035187E">
            <w:pPr>
              <w:jc w:val="both"/>
              <w:outlineLvl w:val="7"/>
              <w:rPr>
                <w:rFonts w:ascii="Times New Roman" w:hAnsi="Times New Roman" w:cs="Times New Roman"/>
                <w:sz w:val="20"/>
                <w:szCs w:val="20"/>
              </w:rPr>
            </w:pPr>
            <w:r w:rsidRPr="0035187E">
              <w:rPr>
                <w:rFonts w:ascii="Times New Roman" w:hAnsi="Times New Roman" w:cs="Times New Roman"/>
                <w:sz w:val="20"/>
                <w:szCs w:val="20"/>
              </w:rPr>
              <w:t>d) nepeněžní plnění</w:t>
            </w:r>
            <w:r w:rsidRPr="0035187E">
              <w:rPr>
                <w:rFonts w:ascii="Times New Roman" w:hAnsi="Times New Roman" w:cs="Times New Roman"/>
                <w:b/>
                <w:bCs/>
                <w:strike/>
                <w:sz w:val="20"/>
                <w:szCs w:val="20"/>
              </w:rPr>
              <w:t>, která nejsou mzdou, platem, odměnou ani náhradou za ušlý příjem,</w:t>
            </w:r>
            <w:r w:rsidRPr="0035187E">
              <w:rPr>
                <w:rFonts w:ascii="Times New Roman" w:hAnsi="Times New Roman" w:cs="Times New Roman"/>
                <w:sz w:val="20"/>
                <w:szCs w:val="20"/>
              </w:rPr>
              <w:t xml:space="preserve"> poskytovaná zaměstnavatelem zaměstnanci nebo jeho rodinnému příslušníkovi z fondu kulturních a sociálních potřeb, ze sociálního fondu, ze zisku (příjmu) po jeho zdanění anebo na vrub výdajů (nákladů), které nejsou výdaji (náklady) na dosažení, zajištění a udržení příjmů, ve formě</w:t>
            </w:r>
          </w:p>
          <w:p w14:paraId="4A60563E" w14:textId="77777777" w:rsidR="000B4BD4" w:rsidRPr="0035187E" w:rsidRDefault="000B4BD4" w:rsidP="0035187E">
            <w:pPr>
              <w:tabs>
                <w:tab w:val="left" w:pos="851"/>
              </w:tabs>
              <w:ind w:left="387"/>
              <w:jc w:val="both"/>
              <w:outlineLvl w:val="8"/>
              <w:rPr>
                <w:rFonts w:ascii="Times New Roman" w:hAnsi="Times New Roman" w:cs="Times New Roman"/>
                <w:b/>
                <w:bCs/>
                <w:strike/>
                <w:sz w:val="20"/>
                <w:szCs w:val="20"/>
              </w:rPr>
            </w:pPr>
            <w:r w:rsidRPr="0035187E">
              <w:rPr>
                <w:rFonts w:ascii="Times New Roman" w:hAnsi="Times New Roman" w:cs="Times New Roman"/>
                <w:sz w:val="20"/>
                <w:szCs w:val="20"/>
              </w:rPr>
              <w:t>1.</w:t>
            </w:r>
            <w:r w:rsidRPr="0035187E">
              <w:rPr>
                <w:rFonts w:ascii="Times New Roman" w:hAnsi="Times New Roman" w:cs="Times New Roman"/>
                <w:sz w:val="20"/>
                <w:szCs w:val="20"/>
              </w:rPr>
              <w:tab/>
              <w:t xml:space="preserve">pořízení zboží nebo služeb zdravotního, léčebného, hygienického a obdobného charakteru od zdravotnických zařízení nebo pořízení zdravotnických prostředků na lékařský předpis; </w:t>
            </w:r>
            <w:r w:rsidRPr="0035187E">
              <w:rPr>
                <w:rFonts w:ascii="Times New Roman" w:hAnsi="Times New Roman" w:cs="Times New Roman"/>
                <w:b/>
                <w:bCs/>
                <w:sz w:val="20"/>
                <w:szCs w:val="20"/>
              </w:rPr>
              <w:t xml:space="preserve">tato plnění jsou osvobozena v úhrnu do výše průměrné mzdy za </w:t>
            </w:r>
            <w:r w:rsidRPr="0035187E">
              <w:rPr>
                <w:rFonts w:ascii="Times New Roman" w:hAnsi="Times New Roman" w:cs="Times New Roman"/>
                <w:b/>
                <w:bCs/>
                <w:sz w:val="20"/>
                <w:szCs w:val="20"/>
              </w:rPr>
              <w:lastRenderedPageBreak/>
              <w:t>zdaňovací období, pokud jsou poskytována jako součást mzdy, platu nebo odměny; jsou-li poskytována jinak než jako mzda, plat, odměna nebo náhrada za ušlý příjem, může být jejich osvobození uplatněno i nad tuto výši,</w:t>
            </w:r>
            <w:r w:rsidRPr="0035187E" w:rsidDel="00C244B3">
              <w:rPr>
                <w:rFonts w:ascii="Times New Roman" w:hAnsi="Times New Roman" w:cs="Times New Roman"/>
                <w:b/>
                <w:bCs/>
                <w:sz w:val="20"/>
                <w:szCs w:val="20"/>
              </w:rPr>
              <w:t xml:space="preserve"> </w:t>
            </w:r>
            <w:r w:rsidRPr="0035187E">
              <w:rPr>
                <w:rFonts w:ascii="Times New Roman" w:hAnsi="Times New Roman" w:cs="Times New Roman"/>
                <w:b/>
                <w:bCs/>
                <w:strike/>
                <w:sz w:val="20"/>
                <w:szCs w:val="20"/>
              </w:rPr>
              <w:t>tato plnění jsou osvobozena v úhrnu do výše průměrné mzdy za zdaňovací období,</w:t>
            </w:r>
          </w:p>
          <w:p w14:paraId="6CD95B18" w14:textId="77777777" w:rsidR="000B4BD4" w:rsidRPr="0035187E" w:rsidRDefault="000B4BD4" w:rsidP="0035187E">
            <w:pPr>
              <w:tabs>
                <w:tab w:val="left" w:pos="851"/>
              </w:tabs>
              <w:ind w:left="387"/>
              <w:jc w:val="both"/>
              <w:outlineLvl w:val="8"/>
              <w:rPr>
                <w:rFonts w:ascii="Times New Roman" w:hAnsi="Times New Roman" w:cs="Times New Roman"/>
                <w:sz w:val="20"/>
                <w:szCs w:val="20"/>
              </w:rPr>
            </w:pPr>
            <w:r w:rsidRPr="0035187E">
              <w:rPr>
                <w:rFonts w:ascii="Times New Roman" w:hAnsi="Times New Roman" w:cs="Times New Roman"/>
                <w:sz w:val="20"/>
                <w:szCs w:val="20"/>
              </w:rPr>
              <w:t>2.</w:t>
            </w:r>
            <w:r w:rsidRPr="0035187E">
              <w:rPr>
                <w:rFonts w:ascii="Times New Roman" w:hAnsi="Times New Roman" w:cs="Times New Roman"/>
                <w:sz w:val="20"/>
                <w:szCs w:val="20"/>
              </w:rPr>
              <w:tab/>
              <w:t xml:space="preserve">použití vzdělávacích nebo rekreačních zařízení, </w:t>
            </w:r>
            <w:r w:rsidRPr="0035187E">
              <w:rPr>
                <w:rFonts w:ascii="Times New Roman" w:hAnsi="Times New Roman" w:cs="Times New Roman"/>
                <w:strike/>
                <w:sz w:val="20"/>
                <w:szCs w:val="20"/>
              </w:rPr>
              <w:t>poskytnutí rekreace nebo zájezdu,</w:t>
            </w:r>
            <w:r w:rsidRPr="0035187E">
              <w:rPr>
                <w:rFonts w:ascii="Times New Roman" w:hAnsi="Times New Roman" w:cs="Times New Roman"/>
                <w:sz w:val="20"/>
                <w:szCs w:val="20"/>
              </w:rPr>
              <w:t xml:space="preserve"> použití zařízení péče o děti předškolního věku včetně mateřské školy podle školského zákona, knihovny zaměstnavatele nebo tělovýchovných a sportovních zařízení</w:t>
            </w:r>
            <w:r w:rsidRPr="0035187E">
              <w:rPr>
                <w:rFonts w:ascii="Times New Roman" w:hAnsi="Times New Roman" w:cs="Times New Roman"/>
                <w:b/>
                <w:bCs/>
                <w:sz w:val="20"/>
                <w:szCs w:val="20"/>
              </w:rPr>
              <w:t>, účasti  na společenské akci, včetně té s kulturním nebo sportovním prvkem, pořádané zaměstnavatelem pro omezený okruh účastníků</w:t>
            </w:r>
            <w:r w:rsidRPr="0035187E">
              <w:rPr>
                <w:rFonts w:ascii="Times New Roman" w:hAnsi="Times New Roman" w:cs="Times New Roman"/>
                <w:sz w:val="20"/>
                <w:szCs w:val="20"/>
              </w:rPr>
              <w:t xml:space="preserve"> nebo poskytnutí příspěvku na kulturní nebo sportovní akce nebo příspěvku na tištěné knihy, včetně obrázkových knih pro děti, mimo knih, ve kterých reklama přesahuje 50 % plochy; </w:t>
            </w:r>
            <w:r w:rsidRPr="0035187E">
              <w:rPr>
                <w:rFonts w:ascii="Times New Roman" w:hAnsi="Times New Roman" w:cs="Times New Roman"/>
                <w:strike/>
                <w:sz w:val="20"/>
                <w:szCs w:val="20"/>
              </w:rPr>
              <w:t>tato plnění jsou osvobozena v úhrnu do výše poloviny průměrné mzdy za zdaňovací období</w:t>
            </w:r>
            <w:r w:rsidRPr="0035187E">
              <w:rPr>
                <w:rFonts w:ascii="Times New Roman" w:hAnsi="Times New Roman" w:cs="Times New Roman"/>
                <w:b/>
                <w:bCs/>
                <w:sz w:val="20"/>
                <w:szCs w:val="20"/>
              </w:rPr>
              <w:t xml:space="preserve"> plnění ve formě účasti  na společenské akci, včetně té s kulturním nebo sportovním prvkem, pořádané zaměstnavatelem pro omezený okruh účastníků</w:t>
            </w:r>
            <w:r w:rsidRPr="0035187E">
              <w:rPr>
                <w:rFonts w:ascii="Times New Roman" w:hAnsi="Times New Roman" w:cs="Times New Roman"/>
                <w:sz w:val="20"/>
                <w:szCs w:val="20"/>
              </w:rPr>
              <w:t xml:space="preserve"> </w:t>
            </w:r>
            <w:r w:rsidRPr="0035187E">
              <w:rPr>
                <w:rFonts w:ascii="Times New Roman" w:hAnsi="Times New Roman" w:cs="Times New Roman"/>
                <w:b/>
                <w:bCs/>
                <w:sz w:val="20"/>
                <w:szCs w:val="20"/>
              </w:rPr>
              <w:t>nebo poskytnutí příspěvku na kulturní nebo sportovní akce jsou osvobozena pouze tehdy, pokud vzhledem k jejich povaze je jejich poskytování zaměstnavateli obvyklé a jejich forma a rozsah jsou přiměřené</w:t>
            </w:r>
            <w:r w:rsidRPr="0035187E">
              <w:rPr>
                <w:rFonts w:ascii="Times New Roman" w:hAnsi="Times New Roman" w:cs="Times New Roman"/>
                <w:sz w:val="20"/>
                <w:szCs w:val="20"/>
              </w:rPr>
              <w:t>,</w:t>
            </w:r>
          </w:p>
          <w:p w14:paraId="69888800" w14:textId="77777777" w:rsidR="000B4BD4" w:rsidRPr="0035187E" w:rsidRDefault="000B4BD4" w:rsidP="0035187E">
            <w:pPr>
              <w:tabs>
                <w:tab w:val="left" w:pos="851"/>
              </w:tabs>
              <w:ind w:left="387"/>
              <w:jc w:val="both"/>
              <w:outlineLvl w:val="8"/>
              <w:rPr>
                <w:rFonts w:ascii="Times New Roman" w:hAnsi="Times New Roman" w:cs="Times New Roman"/>
                <w:b/>
                <w:bCs/>
                <w:sz w:val="20"/>
                <w:szCs w:val="20"/>
              </w:rPr>
            </w:pPr>
            <w:r w:rsidRPr="0035187E">
              <w:rPr>
                <w:rFonts w:ascii="Times New Roman" w:hAnsi="Times New Roman" w:cs="Times New Roman"/>
                <w:b/>
                <w:bCs/>
                <w:sz w:val="20"/>
                <w:szCs w:val="20"/>
              </w:rPr>
              <w:t>3.</w:t>
            </w:r>
            <w:r w:rsidRPr="0035187E">
              <w:rPr>
                <w:rFonts w:ascii="Times New Roman" w:hAnsi="Times New Roman" w:cs="Times New Roman"/>
                <w:b/>
                <w:bCs/>
                <w:sz w:val="20"/>
                <w:szCs w:val="20"/>
              </w:rPr>
              <w:tab/>
              <w:t>poskytnutí rekreace nebo zájezdu; tato plnění jsou osvobozena v úhrnu do výše 20 000 Kč za zdaňovací období,</w:t>
            </w:r>
          </w:p>
          <w:p w14:paraId="35D65193" w14:textId="77777777" w:rsidR="000B4BD4" w:rsidRPr="0035187E" w:rsidRDefault="000B4BD4" w:rsidP="0035187E">
            <w:pPr>
              <w:tabs>
                <w:tab w:val="left" w:pos="851"/>
              </w:tabs>
              <w:ind w:left="387"/>
              <w:jc w:val="both"/>
              <w:outlineLvl w:val="8"/>
              <w:rPr>
                <w:rFonts w:ascii="Times New Roman" w:hAnsi="Times New Roman" w:cs="Times New Roman"/>
                <w:b/>
                <w:bCs/>
                <w:sz w:val="20"/>
                <w:szCs w:val="20"/>
              </w:rPr>
            </w:pPr>
            <w:r w:rsidRPr="0035187E">
              <w:rPr>
                <w:rFonts w:ascii="Times New Roman" w:hAnsi="Times New Roman" w:cs="Times New Roman"/>
                <w:b/>
                <w:bCs/>
                <w:sz w:val="20"/>
                <w:szCs w:val="20"/>
              </w:rPr>
              <w:t>4.</w:t>
            </w:r>
            <w:r w:rsidRPr="0035187E">
              <w:rPr>
                <w:rFonts w:ascii="Times New Roman" w:hAnsi="Times New Roman" w:cs="Times New Roman"/>
                <w:b/>
                <w:bCs/>
                <w:sz w:val="20"/>
                <w:szCs w:val="20"/>
              </w:rPr>
              <w:tab/>
              <w:t>poskytnutí příspěvku na osobní asistenci, pečovatelskou službu, tísňovou péči, odlehčovací službu, ranou péči nebo službu centra denních služeb nebo denního stacionáře, pokud jsou poskytovány jako služby komunitního charakteru a na základě oprávnění podle zákona upravujícího sociální služby,</w:t>
            </w:r>
          </w:p>
          <w:p w14:paraId="7A044B9E" w14:textId="77777777" w:rsidR="000B4BD4" w:rsidRPr="0035187E" w:rsidRDefault="000B4BD4" w:rsidP="0035187E">
            <w:pPr>
              <w:tabs>
                <w:tab w:val="left" w:pos="851"/>
              </w:tabs>
              <w:jc w:val="both"/>
              <w:outlineLvl w:val="8"/>
              <w:rPr>
                <w:rFonts w:ascii="Times New Roman" w:hAnsi="Times New Roman" w:cs="Times New Roman"/>
                <w:b/>
                <w:bCs/>
                <w:sz w:val="20"/>
                <w:szCs w:val="20"/>
              </w:rPr>
            </w:pPr>
            <w:r w:rsidRPr="0035187E">
              <w:rPr>
                <w:rFonts w:ascii="Times New Roman" w:hAnsi="Times New Roman" w:cs="Times New Roman"/>
                <w:b/>
                <w:bCs/>
                <w:sz w:val="20"/>
                <w:szCs w:val="20"/>
              </w:rPr>
              <w:t>Plnění podle bodů 2 až 4 jsou osvobozena pouze tehdy, pokud nejsou poskytována jako mzda, plat, odměna ani náhrada za ušlý příjem.</w:t>
            </w:r>
          </w:p>
          <w:p w14:paraId="11D5D6BA" w14:textId="77777777" w:rsidR="000B4BD4" w:rsidRPr="0035187E" w:rsidRDefault="000B4BD4" w:rsidP="0035187E">
            <w:pPr>
              <w:jc w:val="both"/>
              <w:rPr>
                <w:rFonts w:ascii="Times New Roman" w:eastAsia="Calibri" w:hAnsi="Times New Roman" w:cs="Times New Roman"/>
                <w:sz w:val="20"/>
                <w:szCs w:val="20"/>
                <w:lang w:eastAsia="en-US"/>
              </w:rPr>
            </w:pPr>
          </w:p>
          <w:p w14:paraId="539B4774" w14:textId="77777777" w:rsidR="000B4BD4" w:rsidRPr="0035187E" w:rsidRDefault="000B4BD4" w:rsidP="0035187E">
            <w:pPr>
              <w:jc w:val="both"/>
              <w:rPr>
                <w:rFonts w:ascii="Times New Roman" w:eastAsia="Calibri" w:hAnsi="Times New Roman" w:cs="Times New Roman"/>
                <w:sz w:val="20"/>
                <w:szCs w:val="20"/>
                <w:u w:val="single"/>
                <w:lang w:eastAsia="en-US"/>
              </w:rPr>
            </w:pPr>
            <w:r w:rsidRPr="0035187E">
              <w:rPr>
                <w:rFonts w:ascii="Times New Roman" w:eastAsia="Calibri" w:hAnsi="Times New Roman" w:cs="Times New Roman"/>
                <w:sz w:val="20"/>
                <w:szCs w:val="20"/>
                <w:u w:val="single"/>
                <w:lang w:eastAsia="en-US"/>
              </w:rPr>
              <w:t>Odůvodnění:</w:t>
            </w:r>
          </w:p>
          <w:p w14:paraId="07111B97" w14:textId="7826DA99"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Navrhujeme, aby vedle zrušení limitu u zdravotních benefitů vznikla možnost jejich financování z mezd nebo platu, způsobem, který je obdobný tomu, který byl možný před 1. 1. 2026. Nově by však tato možnost existovala pouze v omezené míře a byla </w:t>
            </w:r>
            <w:proofErr w:type="spellStart"/>
            <w:r w:rsidRPr="0035187E">
              <w:rPr>
                <w:rFonts w:ascii="Times New Roman" w:eastAsia="Calibri" w:hAnsi="Times New Roman" w:cs="Times New Roman"/>
                <w:sz w:val="20"/>
                <w:szCs w:val="20"/>
                <w:lang w:eastAsia="en-US"/>
              </w:rPr>
              <w:t>zastropována</w:t>
            </w:r>
            <w:proofErr w:type="spellEnd"/>
            <w:r w:rsidRPr="0035187E">
              <w:rPr>
                <w:rFonts w:ascii="Times New Roman" w:eastAsia="Calibri" w:hAnsi="Times New Roman" w:cs="Times New Roman"/>
                <w:sz w:val="20"/>
                <w:szCs w:val="20"/>
                <w:lang w:eastAsia="en-US"/>
              </w:rPr>
              <w:t xml:space="preserve"> výší jedné průměrné mzdy ročně. Zaměstnanec by se mohl dobrovolně vzdát části své peněžní mzdy, platu nebo bonusu ve prospěch nepeněžního zdravotního benefitu, který by byl za splnění zákonných podmínek osvobozen od daně z příjmů. Limit by zároveň představoval garanci, že nedojde ke zneužívání této možnosti jako náhrady za mzdu nebo její navýšení.  </w:t>
            </w:r>
          </w:p>
          <w:p w14:paraId="059D166C" w14:textId="77777777" w:rsidR="000B4BD4" w:rsidRPr="0035187E" w:rsidRDefault="000B4BD4" w:rsidP="0035187E">
            <w:pPr>
              <w:jc w:val="both"/>
              <w:rPr>
                <w:rFonts w:ascii="Times New Roman" w:eastAsia="Calibri" w:hAnsi="Times New Roman" w:cs="Times New Roman"/>
                <w:sz w:val="20"/>
                <w:szCs w:val="20"/>
                <w:lang w:eastAsia="en-US"/>
              </w:rPr>
            </w:pPr>
          </w:p>
          <w:p w14:paraId="365C194B" w14:textId="5FAA159A"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Navrhovaná úprava reflektuje potřebu flexibility při financování péče o zdraví zaměstnanců. Současná praxe ukazuje, že mnoho zákroků (např. v zubní oblasti jako rovnátka nebo zubní implantáty, případně plně nehrazené zdravotní prostředky či služby), není předem </w:t>
            </w:r>
            <w:proofErr w:type="spellStart"/>
            <w:r w:rsidRPr="0035187E">
              <w:rPr>
                <w:rFonts w:ascii="Times New Roman" w:eastAsia="Calibri" w:hAnsi="Times New Roman" w:cs="Times New Roman"/>
                <w:sz w:val="20"/>
                <w:szCs w:val="20"/>
                <w:lang w:eastAsia="en-US"/>
              </w:rPr>
              <w:t>naplánovatelných</w:t>
            </w:r>
            <w:proofErr w:type="spellEnd"/>
            <w:r w:rsidRPr="0035187E">
              <w:rPr>
                <w:rFonts w:ascii="Times New Roman" w:eastAsia="Calibri" w:hAnsi="Times New Roman" w:cs="Times New Roman"/>
                <w:sz w:val="20"/>
                <w:szCs w:val="20"/>
                <w:lang w:eastAsia="en-US"/>
              </w:rPr>
              <w:t xml:space="preserve"> a zaměstnanec na ně potřebuje prostředky v konkrétním čase a případě. Proto by měla být zaměstnancům a zaměstnavatelům dána možnost dohodnout se, že část jejich finanční odměny, mzdy nebo platu bude nahrazena daňově zvýhodněným </w:t>
            </w:r>
            <w:r w:rsidRPr="0035187E">
              <w:rPr>
                <w:rFonts w:ascii="Times New Roman" w:eastAsia="Calibri" w:hAnsi="Times New Roman" w:cs="Times New Roman"/>
                <w:sz w:val="20"/>
                <w:szCs w:val="20"/>
                <w:lang w:eastAsia="en-US"/>
              </w:rPr>
              <w:lastRenderedPageBreak/>
              <w:t xml:space="preserve">zdravotním benefitem. Tento nástroj umožní zaměstnancům řešit zdravotní potíže bez odkladu, což nejen zvyšuje jejich pracovní schopnost, ale v konečném důsledku generuje úspory v systému veřejného zdravotního pojištění díky preferenci včasné prevence a léčby. </w:t>
            </w:r>
          </w:p>
          <w:p w14:paraId="1B0B95D5" w14:textId="77777777" w:rsidR="000B4BD4" w:rsidRPr="0035187E" w:rsidRDefault="000B4BD4" w:rsidP="0035187E">
            <w:pPr>
              <w:jc w:val="both"/>
              <w:rPr>
                <w:rFonts w:ascii="Times New Roman" w:eastAsia="Calibri" w:hAnsi="Times New Roman" w:cs="Times New Roman"/>
                <w:sz w:val="20"/>
                <w:szCs w:val="20"/>
                <w:lang w:eastAsia="en-US"/>
              </w:rPr>
            </w:pPr>
          </w:p>
          <w:p w14:paraId="064316E2" w14:textId="7671E401"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Nástroj de facto představuje umožnění dobrovolné spoluúčasti zaměstnance na financování vlastního zdraví prostřednictvím daňově zvýhodněného režimu. To reflektuje dlouhodobý cíl dostat do zdravotnictví více soukromých prostředků v situaci, kdy jsou prostředky ve veřejném zdravotním pojištění na dlouhodobě špatné úrovni. Současně se jedná o formu sdílené odpovědnosti – zaměstnanec se vědomě vzdává části své mzdy ve prospěch zdravotního plnění. Nejde tedy o jednostranné zvýhodnění.</w:t>
            </w:r>
          </w:p>
          <w:p w14:paraId="0A44F21A" w14:textId="77777777" w:rsidR="000B4BD4" w:rsidRPr="0035187E" w:rsidRDefault="000B4BD4" w:rsidP="0035187E">
            <w:pPr>
              <w:jc w:val="both"/>
              <w:rPr>
                <w:rFonts w:ascii="Times New Roman" w:eastAsia="Calibri" w:hAnsi="Times New Roman" w:cs="Times New Roman"/>
                <w:sz w:val="20"/>
                <w:szCs w:val="20"/>
                <w:lang w:eastAsia="en-US"/>
              </w:rPr>
            </w:pPr>
          </w:p>
          <w:p w14:paraId="56D19E43" w14:textId="77777777" w:rsidR="000B4BD4" w:rsidRPr="0035187E" w:rsidRDefault="000B4BD4" w:rsidP="0035187E">
            <w:pPr>
              <w:jc w:val="both"/>
              <w:rPr>
                <w:rFonts w:ascii="Times New Roman" w:eastAsia="Calibri" w:hAnsi="Times New Roman" w:cs="Times New Roman"/>
                <w:sz w:val="20"/>
                <w:szCs w:val="20"/>
                <w:lang w:eastAsia="en-US"/>
              </w:rPr>
            </w:pPr>
            <w:r w:rsidRPr="0035187E">
              <w:rPr>
                <w:rFonts w:ascii="Times New Roman" w:eastAsia="Calibri" w:hAnsi="Times New Roman" w:cs="Times New Roman"/>
                <w:sz w:val="20"/>
                <w:szCs w:val="20"/>
                <w:lang w:eastAsia="en-US"/>
              </w:rPr>
              <w:t xml:space="preserve">Stanovený limit zároveň minimalizuje riziko fiskálních dopadů a systémového zneužívání. Přeměna části mzdy na osvobozený benefit sice představuje nižší inkaso daně z příjmů a pojistného, avšak jedná se také o daňově neuznatelný náklad na straně zaměstnavatele, což tento výpadek částečně kompenzuje. Zároveň však opatření má sloužit k nižší nemocnosti a čerpání zdravotní péče, čímž by z dlouhodobého hlediska mělo dojít i ke snížení tlaku na výdaje z veřejného zdravotního pojištění. </w:t>
            </w:r>
          </w:p>
          <w:p w14:paraId="61E1AF8A" w14:textId="1E3F5A71" w:rsidR="000B4BD4" w:rsidRPr="0035187E" w:rsidRDefault="000B4BD4" w:rsidP="0035187E">
            <w:pPr>
              <w:jc w:val="right"/>
              <w:rPr>
                <w:rFonts w:ascii="Times New Roman" w:eastAsia="Aptos" w:hAnsi="Times New Roman" w:cs="Times New Roman"/>
                <w:sz w:val="20"/>
                <w:szCs w:val="20"/>
              </w:rPr>
            </w:pPr>
            <w:r w:rsidRPr="0035187E">
              <w:rPr>
                <w:rFonts w:ascii="Times New Roman" w:eastAsia="Aptos" w:hAnsi="Times New Roman" w:cs="Times New Roman"/>
                <w:sz w:val="20"/>
                <w:szCs w:val="20"/>
              </w:rPr>
              <w:t>tato připomínka je zásadní</w:t>
            </w:r>
          </w:p>
        </w:tc>
        <w:tc>
          <w:tcPr>
            <w:tcW w:w="1453" w:type="pct"/>
            <w:tcBorders>
              <w:top w:val="single" w:sz="4" w:space="0" w:color="auto"/>
              <w:left w:val="single" w:sz="4" w:space="0" w:color="auto"/>
              <w:right w:val="single" w:sz="4" w:space="0" w:color="auto"/>
            </w:tcBorders>
            <w:shd w:val="clear" w:color="auto" w:fill="auto"/>
          </w:tcPr>
          <w:p w14:paraId="2A22DC5A" w14:textId="175212E1"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Nevyhověno.</w:t>
            </w:r>
            <w:r w:rsidR="00DA288D">
              <w:rPr>
                <w:rFonts w:ascii="Times New Roman" w:hAnsi="Times New Roman" w:cs="Times New Roman"/>
                <w:b/>
                <w:sz w:val="20"/>
                <w:szCs w:val="20"/>
              </w:rPr>
              <w:t xml:space="preserve"> </w:t>
            </w:r>
            <w:r w:rsidR="00DA288D" w:rsidRPr="00DA288D">
              <w:rPr>
                <w:rFonts w:ascii="Times New Roman" w:hAnsi="Times New Roman" w:cs="Times New Roman"/>
                <w:b/>
                <w:color w:val="FF0000"/>
                <w:sz w:val="20"/>
                <w:szCs w:val="20"/>
              </w:rPr>
              <w:t>ROZPOR</w:t>
            </w:r>
          </w:p>
          <w:p w14:paraId="52021649" w14:textId="60D0AEBD"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Podnět přesahuje rámec navrhované úpravy zákona o evidenci tržeb.</w:t>
            </w:r>
          </w:p>
          <w:p w14:paraId="54A1ABD0" w14:textId="40CC81BF"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Zachování limitu pro zdravotní benefity považujeme za opodstatněné. Zatímco volnočasové benefity mají převážně společenský či relaxační charakter a jejich hodnotové limity neovlivňují prevenci ani udržení pracovní schopnosti, zdravotní benefity přímo podporují zdraví zaměstnanců, prevenci nemocí a přispívají k dlouhodobé pracovní výkonnosti.</w:t>
            </w:r>
          </w:p>
          <w:p w14:paraId="69C669E5" w14:textId="009A443F"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Zrušení limitu u zdravotních benefitů a umožnění jejich financování z mezd nebo platů by mohlo vést k jejich zneužívání pro daňovou optimalizaci, kdy výhody přesahující skutečné potřeby zdraví zaměstnanců by byly osvobozeny od daně, aniž by přinášely reálný zdravotní prospěch. Tento mechanismus by zároveň zvýšil administrativní náročnost jak pro zaměstnavatele, tak pro správce daně, a mohl by vytvářet nerovnosti mezi zaměstnanci s různou výší příjmu. Nelze rovněž vyloučit nepřímý tlak na zaměstnance k </w:t>
            </w:r>
            <w:r w:rsidRPr="0035187E">
              <w:rPr>
                <w:rFonts w:ascii="Times New Roman" w:hAnsi="Times New Roman" w:cs="Times New Roman"/>
                <w:sz w:val="20"/>
                <w:szCs w:val="20"/>
              </w:rPr>
              <w:lastRenderedPageBreak/>
              <w:t>převodu části mzdy, což by oslabovalo princip dobrovolnosti.</w:t>
            </w:r>
          </w:p>
          <w:p w14:paraId="5B810D56" w14:textId="3938DFC8"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Dalším významným rizikem je možné narušení základního principu odměňování za práci. Podle pracovněprávní úpravy náleží zaměstnanci za vykonanou práci mzda, plat nebo odměna, které podléhají zdanění a odvodům na pojistné. Zaměstnanecké benefity naproti tomu představují plnění poskytovaná nad rámec mzdy, jako nenároková a bez přímé vazby na výkon práce. Připouštění systematického převodu mzdy do benefitů by tento rozdíl stíralo a mohlo by vést k nežádoucím dopadům i v dalších oblastech, zejména ke snížení započitatelných příjmů pro účely důchodového zabezpečení či nemocenského pojištění.</w:t>
            </w:r>
          </w:p>
          <w:p w14:paraId="00E97530"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Současná úprava daňového osvobození benefitů v § 6 odst. 9 písm. d) potvrzuje záměr zákonodárce, že osvobození se vztahuje pouze na tzv. </w:t>
            </w:r>
            <w:proofErr w:type="spellStart"/>
            <w:r w:rsidRPr="0035187E">
              <w:rPr>
                <w:rFonts w:ascii="Times New Roman" w:hAnsi="Times New Roman" w:cs="Times New Roman"/>
                <w:sz w:val="20"/>
                <w:szCs w:val="20"/>
              </w:rPr>
              <w:t>mimomzdová</w:t>
            </w:r>
            <w:proofErr w:type="spellEnd"/>
            <w:r w:rsidRPr="0035187E">
              <w:rPr>
                <w:rFonts w:ascii="Times New Roman" w:hAnsi="Times New Roman" w:cs="Times New Roman"/>
                <w:sz w:val="20"/>
                <w:szCs w:val="20"/>
              </w:rPr>
              <w:t xml:space="preserve">, nenároková plnění poskytovaná nad rámec odměny za práci, nikoli na plnění, která mzdu či její část nahrazují. S ohledem na uvedené by přijetí návrhu mohlo vést k narušení spravedlivého a vyváženého systému zdanění příjmů ze závislé činnosti, k nežádoucí optimalizaci a k oslabení transparentnosti odměňování. </w:t>
            </w:r>
          </w:p>
          <w:p w14:paraId="5A4EA34F" w14:textId="77777777" w:rsidR="000B4BD4" w:rsidRPr="0035187E" w:rsidRDefault="000B4BD4" w:rsidP="0035187E">
            <w:pPr>
              <w:jc w:val="both"/>
              <w:rPr>
                <w:rFonts w:ascii="Times New Roman" w:hAnsi="Times New Roman" w:cs="Times New Roman"/>
                <w:sz w:val="20"/>
                <w:szCs w:val="20"/>
              </w:rPr>
            </w:pPr>
          </w:p>
          <w:p w14:paraId="2A1820D1" w14:textId="68362794" w:rsidR="00A93BA8" w:rsidRPr="0035187E" w:rsidRDefault="00D76098" w:rsidP="0035187E">
            <w:pPr>
              <w:jc w:val="both"/>
              <w:rPr>
                <w:rFonts w:ascii="Times New Roman" w:hAnsi="Times New Roman" w:cs="Times New Roman"/>
                <w:sz w:val="20"/>
                <w:szCs w:val="20"/>
              </w:rPr>
            </w:pPr>
            <w:r w:rsidRPr="0035187E">
              <w:rPr>
                <w:rFonts w:ascii="Times New Roman" w:hAnsi="Times New Roman" w:cs="Times New Roman"/>
                <w:i/>
                <w:iCs/>
                <w:sz w:val="20"/>
                <w:szCs w:val="20"/>
              </w:rPr>
              <w:t xml:space="preserve">Viz vyjádření v rámci </w:t>
            </w:r>
            <w:r w:rsidR="00A93BA8" w:rsidRPr="0035187E">
              <w:rPr>
                <w:rFonts w:ascii="Times New Roman" w:hAnsi="Times New Roman" w:cs="Times New Roman"/>
                <w:i/>
                <w:iCs/>
                <w:sz w:val="20"/>
                <w:szCs w:val="20"/>
              </w:rPr>
              <w:t>vypořádání připomínky Konfederace zaměstnavatelských a podnikatelských svazů ČR č. 12.</w:t>
            </w:r>
          </w:p>
        </w:tc>
      </w:tr>
      <w:tr w:rsidR="0035187E" w:rsidRPr="0035187E" w14:paraId="21FC90A0" w14:textId="77777777" w:rsidTr="0035187E">
        <w:trPr>
          <w:trHeight w:val="1557"/>
        </w:trPr>
        <w:tc>
          <w:tcPr>
            <w:tcW w:w="227" w:type="pct"/>
            <w:tcBorders>
              <w:top w:val="single" w:sz="4" w:space="0" w:color="auto"/>
              <w:left w:val="single" w:sz="4" w:space="0" w:color="auto"/>
              <w:right w:val="single" w:sz="4" w:space="0" w:color="auto"/>
            </w:tcBorders>
            <w:shd w:val="clear" w:color="auto" w:fill="auto"/>
          </w:tcPr>
          <w:p w14:paraId="481C54DB" w14:textId="12350FA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76.</w:t>
            </w:r>
          </w:p>
        </w:tc>
        <w:tc>
          <w:tcPr>
            <w:tcW w:w="583" w:type="pct"/>
            <w:tcBorders>
              <w:top w:val="single" w:sz="4" w:space="0" w:color="auto"/>
              <w:left w:val="single" w:sz="4" w:space="0" w:color="auto"/>
              <w:right w:val="single" w:sz="4" w:space="0" w:color="auto"/>
            </w:tcBorders>
            <w:shd w:val="clear" w:color="auto" w:fill="auto"/>
          </w:tcPr>
          <w:p w14:paraId="01F02D3B" w14:textId="18A673B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Unie zaměstnavatelských svazů České republiky</w:t>
            </w:r>
          </w:p>
        </w:tc>
        <w:tc>
          <w:tcPr>
            <w:tcW w:w="168" w:type="pct"/>
            <w:tcBorders>
              <w:top w:val="single" w:sz="4" w:space="0" w:color="auto"/>
              <w:left w:val="single" w:sz="4" w:space="0" w:color="auto"/>
              <w:right w:val="single" w:sz="4" w:space="0" w:color="auto"/>
            </w:tcBorders>
            <w:shd w:val="clear" w:color="auto" w:fill="auto"/>
          </w:tcPr>
          <w:p w14:paraId="7603D179" w14:textId="0C77752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11.</w:t>
            </w:r>
          </w:p>
        </w:tc>
        <w:tc>
          <w:tcPr>
            <w:tcW w:w="169" w:type="pct"/>
            <w:tcBorders>
              <w:top w:val="single" w:sz="4" w:space="0" w:color="auto"/>
              <w:left w:val="single" w:sz="4" w:space="0" w:color="auto"/>
              <w:right w:val="single" w:sz="4" w:space="0" w:color="auto"/>
            </w:tcBorders>
            <w:shd w:val="clear" w:color="auto" w:fill="auto"/>
          </w:tcPr>
          <w:p w14:paraId="0B881323" w14:textId="5DD5576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71C5508" w14:textId="77777777" w:rsidR="000B4BD4" w:rsidRPr="0035187E" w:rsidRDefault="000B4BD4" w:rsidP="0035187E">
            <w:pPr>
              <w:pBdr>
                <w:bottom w:val="single" w:sz="4" w:space="1" w:color="auto"/>
              </w:pBdr>
              <w:jc w:val="both"/>
              <w:rPr>
                <w:rFonts w:ascii="Times New Roman" w:hAnsi="Times New Roman" w:cs="Times New Roman"/>
                <w:b/>
                <w:bCs/>
                <w:sz w:val="20"/>
                <w:szCs w:val="20"/>
                <w:lang w:eastAsia="en-GB"/>
              </w:rPr>
            </w:pPr>
            <w:r w:rsidRPr="0035187E">
              <w:rPr>
                <w:rFonts w:ascii="Times New Roman" w:hAnsi="Times New Roman" w:cs="Times New Roman"/>
                <w:b/>
                <w:bCs/>
                <w:sz w:val="20"/>
                <w:szCs w:val="20"/>
                <w:lang w:eastAsia="en-GB"/>
              </w:rPr>
              <w:t xml:space="preserve">1. Připomínka k ZDP § 6 odst. 9 </w:t>
            </w:r>
            <w:proofErr w:type="spellStart"/>
            <w:r w:rsidRPr="0035187E">
              <w:rPr>
                <w:rFonts w:ascii="Times New Roman" w:hAnsi="Times New Roman" w:cs="Times New Roman"/>
                <w:b/>
                <w:bCs/>
                <w:sz w:val="20"/>
                <w:szCs w:val="20"/>
                <w:lang w:eastAsia="en-GB"/>
              </w:rPr>
              <w:t>písm</w:t>
            </w:r>
            <w:proofErr w:type="spellEnd"/>
            <w:r w:rsidRPr="0035187E">
              <w:rPr>
                <w:rFonts w:ascii="Times New Roman" w:hAnsi="Times New Roman" w:cs="Times New Roman"/>
                <w:b/>
                <w:bCs/>
                <w:sz w:val="20"/>
                <w:szCs w:val="20"/>
                <w:lang w:eastAsia="en-GB"/>
              </w:rPr>
              <w:t xml:space="preserve"> d)., bod 2.</w:t>
            </w:r>
          </w:p>
          <w:p w14:paraId="14F6FCBC" w14:textId="77777777" w:rsidR="000B4BD4" w:rsidRPr="0035187E" w:rsidRDefault="000B4BD4" w:rsidP="0035187E">
            <w:pPr>
              <w:pBdr>
                <w:bottom w:val="single" w:sz="4" w:space="1" w:color="auto"/>
              </w:pBdr>
              <w:jc w:val="both"/>
              <w:rPr>
                <w:rFonts w:ascii="Times New Roman" w:hAnsi="Times New Roman" w:cs="Times New Roman"/>
                <w:bCs/>
                <w:sz w:val="20"/>
                <w:szCs w:val="20"/>
                <w:lang w:eastAsia="en-GB"/>
              </w:rPr>
            </w:pPr>
          </w:p>
          <w:p w14:paraId="624A7044" w14:textId="77777777" w:rsidR="000B4BD4" w:rsidRPr="0035187E" w:rsidRDefault="000B4BD4" w:rsidP="0035187E">
            <w:pPr>
              <w:pBdr>
                <w:bottom w:val="single" w:sz="4" w:space="1" w:color="auto"/>
              </w:pBdr>
              <w:jc w:val="both"/>
              <w:rPr>
                <w:rFonts w:ascii="Times New Roman" w:hAnsi="Times New Roman" w:cs="Times New Roman"/>
                <w:b/>
                <w:bCs/>
                <w:sz w:val="20"/>
                <w:szCs w:val="20"/>
                <w:lang w:eastAsia="en-GB"/>
              </w:rPr>
            </w:pPr>
            <w:r w:rsidRPr="0035187E">
              <w:rPr>
                <w:rFonts w:ascii="Times New Roman" w:hAnsi="Times New Roman" w:cs="Times New Roman"/>
                <w:b/>
                <w:bCs/>
                <w:sz w:val="20"/>
                <w:szCs w:val="20"/>
                <w:lang w:eastAsia="en-GB"/>
              </w:rPr>
              <w:t>Navrhujeme, aby nepeněžní plnění ve formě příspěvku bylo možné využít nejen na tištěné knihy, ale i na elektronické knihy a audioknihy (tj. aby tato možnost a zaměstnanecký benefit nadále nebyly omezeny pouze na knihy tištěné).</w:t>
            </w:r>
          </w:p>
          <w:p w14:paraId="130F2AC7" w14:textId="77777777" w:rsidR="000B4BD4" w:rsidRPr="0035187E" w:rsidRDefault="000B4BD4" w:rsidP="0035187E">
            <w:pPr>
              <w:pBdr>
                <w:bottom w:val="single" w:sz="4" w:space="1" w:color="auto"/>
              </w:pBdr>
              <w:jc w:val="both"/>
              <w:rPr>
                <w:rFonts w:ascii="Times New Roman" w:hAnsi="Times New Roman" w:cs="Times New Roman"/>
                <w:b/>
                <w:bCs/>
                <w:sz w:val="20"/>
                <w:szCs w:val="20"/>
                <w:lang w:eastAsia="en-GB"/>
              </w:rPr>
            </w:pPr>
          </w:p>
          <w:p w14:paraId="47E8D2A2" w14:textId="77777777" w:rsidR="000B4BD4" w:rsidRPr="0035187E" w:rsidRDefault="000B4BD4" w:rsidP="0035187E">
            <w:pPr>
              <w:pBdr>
                <w:bottom w:val="single" w:sz="4" w:space="1" w:color="auto"/>
              </w:pBdr>
              <w:jc w:val="both"/>
              <w:rPr>
                <w:rFonts w:ascii="Times New Roman" w:hAnsi="Times New Roman" w:cs="Times New Roman"/>
                <w:b/>
                <w:bCs/>
                <w:sz w:val="20"/>
                <w:szCs w:val="20"/>
                <w:lang w:eastAsia="en-GB"/>
              </w:rPr>
            </w:pPr>
            <w:r w:rsidRPr="0035187E">
              <w:rPr>
                <w:rFonts w:ascii="Times New Roman" w:hAnsi="Times New Roman" w:cs="Times New Roman"/>
                <w:b/>
                <w:bCs/>
                <w:sz w:val="20"/>
                <w:szCs w:val="20"/>
                <w:lang w:eastAsia="en-GB"/>
              </w:rPr>
              <w:t>Odůvodnění:</w:t>
            </w:r>
          </w:p>
          <w:p w14:paraId="49E56F7C" w14:textId="77777777" w:rsidR="000B4BD4" w:rsidRPr="0035187E" w:rsidRDefault="000B4BD4" w:rsidP="0035187E">
            <w:pPr>
              <w:pBdr>
                <w:bottom w:val="single" w:sz="4" w:space="1" w:color="auto"/>
              </w:pBdr>
              <w:jc w:val="both"/>
              <w:rPr>
                <w:rFonts w:ascii="Times New Roman" w:hAnsi="Times New Roman" w:cs="Times New Roman"/>
                <w:bCs/>
                <w:sz w:val="20"/>
                <w:szCs w:val="20"/>
                <w:lang w:eastAsia="en-GB"/>
              </w:rPr>
            </w:pPr>
            <w:r w:rsidRPr="0035187E">
              <w:rPr>
                <w:rFonts w:ascii="Times New Roman" w:hAnsi="Times New Roman" w:cs="Times New Roman"/>
                <w:bCs/>
                <w:sz w:val="20"/>
                <w:szCs w:val="20"/>
                <w:lang w:eastAsia="en-GB"/>
              </w:rPr>
              <w:t xml:space="preserve">Příspěvek na tištěné knihy pro zaměstnance jako osvobozené nepeněžní plnění byl do zákona zahrnut před téměř deseti lety, tedy v době, kdy překotný rozvoj popularity elektronických knih a audioknih byl teprve v počátcích a kdy současně tištěné a elektronické knihy doposud </w:t>
            </w:r>
            <w:r w:rsidRPr="0035187E">
              <w:rPr>
                <w:rFonts w:ascii="Times New Roman" w:hAnsi="Times New Roman" w:cs="Times New Roman"/>
                <w:b/>
                <w:bCs/>
                <w:sz w:val="20"/>
                <w:szCs w:val="20"/>
                <w:lang w:eastAsia="en-GB"/>
              </w:rPr>
              <w:t>podléhaly rozdílným režimům DPH</w:t>
            </w:r>
            <w:r w:rsidRPr="0035187E">
              <w:rPr>
                <w:rFonts w:ascii="Times New Roman" w:hAnsi="Times New Roman" w:cs="Times New Roman"/>
                <w:bCs/>
                <w:sz w:val="20"/>
                <w:szCs w:val="20"/>
                <w:lang w:eastAsia="en-GB"/>
              </w:rPr>
              <w:t xml:space="preserve">. Ke zrovnoprávnění tištěných knih s knihami elektronickými včetně audioknih v oblasti daně z přidané hodnoty přitom zákonodárce přikročil </w:t>
            </w:r>
            <w:r w:rsidRPr="0035187E">
              <w:rPr>
                <w:rFonts w:ascii="Times New Roman" w:hAnsi="Times New Roman" w:cs="Times New Roman"/>
                <w:b/>
                <w:bCs/>
                <w:sz w:val="20"/>
                <w:szCs w:val="20"/>
                <w:lang w:eastAsia="en-GB"/>
              </w:rPr>
              <w:t>již v roce 2019</w:t>
            </w:r>
            <w:r w:rsidRPr="0035187E">
              <w:rPr>
                <w:rFonts w:ascii="Times New Roman" w:hAnsi="Times New Roman" w:cs="Times New Roman"/>
                <w:bCs/>
                <w:sz w:val="20"/>
                <w:szCs w:val="20"/>
                <w:lang w:eastAsia="en-GB"/>
              </w:rPr>
              <w:t xml:space="preserve">, tedy bezprostředně poté, co uvedenou možnost otevřela novelizace směrnice o DPH na konci roku 2018. </w:t>
            </w:r>
          </w:p>
          <w:p w14:paraId="01F2D1B3" w14:textId="77777777" w:rsidR="000B4BD4" w:rsidRPr="0035187E" w:rsidRDefault="000B4BD4" w:rsidP="0035187E">
            <w:pPr>
              <w:pBdr>
                <w:bottom w:val="single" w:sz="4" w:space="1" w:color="auto"/>
              </w:pBdr>
              <w:jc w:val="both"/>
              <w:rPr>
                <w:rFonts w:ascii="Times New Roman" w:hAnsi="Times New Roman" w:cs="Times New Roman"/>
                <w:bCs/>
                <w:sz w:val="20"/>
                <w:szCs w:val="20"/>
                <w:lang w:eastAsia="en-GB"/>
              </w:rPr>
            </w:pPr>
          </w:p>
          <w:p w14:paraId="5B6377D9" w14:textId="77777777" w:rsidR="000B4BD4" w:rsidRPr="0035187E" w:rsidRDefault="000B4BD4" w:rsidP="0035187E">
            <w:pPr>
              <w:pBdr>
                <w:bottom w:val="single" w:sz="4" w:space="1" w:color="auto"/>
              </w:pBdr>
              <w:jc w:val="both"/>
              <w:rPr>
                <w:rFonts w:ascii="Times New Roman" w:hAnsi="Times New Roman" w:cs="Times New Roman"/>
                <w:bCs/>
                <w:sz w:val="20"/>
                <w:szCs w:val="20"/>
                <w:lang w:eastAsia="en-GB"/>
              </w:rPr>
            </w:pPr>
            <w:r w:rsidRPr="0035187E">
              <w:rPr>
                <w:rFonts w:ascii="Times New Roman" w:hAnsi="Times New Roman" w:cs="Times New Roman"/>
                <w:bCs/>
                <w:sz w:val="20"/>
                <w:szCs w:val="20"/>
                <w:lang w:eastAsia="en-GB"/>
              </w:rPr>
              <w:t>Omezení tohoto zaměstnaneckého benefitu výhradně na tištěné knihy však již dlouhodobě neodpovídá potřebám zaměstnanců a vývoji, v jehož rámci se každoročně zvyšuje podíl elektronických knih i audioknih na celkových čtenářských preferencích. Elektronické knihy i audioknihy jsou přitom čím dál tím populárnější, a není tedy dán důvod k jejich znevýhodnění a omezení možnosti zaměstnanců si ze svého benefitu tyto formáty knih zakoupit. Dle zpětné vazby ze strany členské základny dosavadní nedůvodné omezení, neumožňující pořízení populárních elektronických knih nebo audioknih, snižuje atraktivitu tohoto zaměstnaneckého benefitu.</w:t>
            </w:r>
          </w:p>
          <w:p w14:paraId="11F9A60A" w14:textId="77777777" w:rsidR="000B4BD4" w:rsidRPr="0035187E" w:rsidRDefault="000B4BD4" w:rsidP="0035187E">
            <w:pPr>
              <w:pBdr>
                <w:bottom w:val="single" w:sz="4" w:space="1" w:color="auto"/>
              </w:pBdr>
              <w:jc w:val="both"/>
              <w:rPr>
                <w:rFonts w:ascii="Times New Roman" w:hAnsi="Times New Roman" w:cs="Times New Roman"/>
                <w:bCs/>
                <w:sz w:val="20"/>
                <w:szCs w:val="20"/>
                <w:lang w:eastAsia="en-GB"/>
              </w:rPr>
            </w:pPr>
          </w:p>
          <w:p w14:paraId="31638ED2" w14:textId="77777777" w:rsidR="000B4BD4" w:rsidRPr="0035187E" w:rsidRDefault="000B4BD4" w:rsidP="0035187E">
            <w:pPr>
              <w:pBdr>
                <w:bottom w:val="single" w:sz="4" w:space="1" w:color="auto"/>
              </w:pBdr>
              <w:jc w:val="both"/>
              <w:rPr>
                <w:rFonts w:ascii="Times New Roman" w:hAnsi="Times New Roman" w:cs="Times New Roman"/>
                <w:bCs/>
                <w:sz w:val="20"/>
                <w:szCs w:val="20"/>
                <w:lang w:eastAsia="en-GB"/>
              </w:rPr>
            </w:pPr>
            <w:r w:rsidRPr="0035187E">
              <w:rPr>
                <w:rFonts w:ascii="Times New Roman" w:hAnsi="Times New Roman" w:cs="Times New Roman"/>
                <w:bCs/>
                <w:sz w:val="20"/>
                <w:szCs w:val="20"/>
                <w:lang w:eastAsia="en-GB"/>
              </w:rPr>
              <w:lastRenderedPageBreak/>
              <w:t xml:space="preserve">Navrhujeme proto, aby tato nerovnost a </w:t>
            </w:r>
            <w:proofErr w:type="spellStart"/>
            <w:r w:rsidRPr="0035187E">
              <w:rPr>
                <w:rFonts w:ascii="Times New Roman" w:hAnsi="Times New Roman" w:cs="Times New Roman"/>
                <w:bCs/>
                <w:sz w:val="20"/>
                <w:szCs w:val="20"/>
                <w:lang w:eastAsia="en-GB"/>
              </w:rPr>
              <w:t>obsolentní</w:t>
            </w:r>
            <w:proofErr w:type="spellEnd"/>
            <w:r w:rsidRPr="0035187E">
              <w:rPr>
                <w:rFonts w:ascii="Times New Roman" w:hAnsi="Times New Roman" w:cs="Times New Roman"/>
                <w:bCs/>
                <w:sz w:val="20"/>
                <w:szCs w:val="20"/>
                <w:lang w:eastAsia="en-GB"/>
              </w:rPr>
              <w:t xml:space="preserve"> zúžení pouze na knihy </w:t>
            </w:r>
            <w:r w:rsidRPr="0035187E">
              <w:rPr>
                <w:rFonts w:ascii="Times New Roman" w:hAnsi="Times New Roman" w:cs="Times New Roman"/>
                <w:bCs/>
                <w:i/>
                <w:iCs/>
                <w:sz w:val="20"/>
                <w:szCs w:val="20"/>
                <w:u w:val="single"/>
                <w:lang w:eastAsia="en-GB"/>
              </w:rPr>
              <w:t>tištěné</w:t>
            </w:r>
            <w:r w:rsidRPr="0035187E">
              <w:rPr>
                <w:rFonts w:ascii="Times New Roman" w:hAnsi="Times New Roman" w:cs="Times New Roman"/>
                <w:bCs/>
                <w:sz w:val="20"/>
                <w:szCs w:val="20"/>
                <w:lang w:eastAsia="en-GB"/>
              </w:rPr>
              <w:t xml:space="preserve"> bylo napraveno tak, že ustanovení § 6 odst. 9 písm. d) bodu 2. zákona o daních z příjmů </w:t>
            </w:r>
            <w:r w:rsidRPr="0035187E">
              <w:rPr>
                <w:rFonts w:ascii="Times New Roman" w:hAnsi="Times New Roman" w:cs="Times New Roman"/>
                <w:b/>
                <w:bCs/>
                <w:sz w:val="20"/>
                <w:szCs w:val="20"/>
                <w:lang w:eastAsia="en-GB"/>
              </w:rPr>
              <w:t>umožní využití příspěvku na nákup knihy bez ohledu na její formát (tištěný, elektronický nebo zvukový)</w:t>
            </w:r>
            <w:r w:rsidRPr="0035187E">
              <w:rPr>
                <w:rFonts w:ascii="Times New Roman" w:hAnsi="Times New Roman" w:cs="Times New Roman"/>
                <w:bCs/>
                <w:sz w:val="20"/>
                <w:szCs w:val="20"/>
                <w:lang w:eastAsia="en-GB"/>
              </w:rPr>
              <w:t xml:space="preserve">. Přesná definice pojmů samozřejmě spočívá v rukou zákonodárce. Při zakotvení navržené úpravy lze postupovat minimalisticky, odstraněním slova </w:t>
            </w:r>
            <w:r w:rsidRPr="0035187E">
              <w:rPr>
                <w:rFonts w:ascii="Times New Roman" w:hAnsi="Times New Roman" w:cs="Times New Roman"/>
                <w:bCs/>
                <w:i/>
                <w:iCs/>
                <w:sz w:val="20"/>
                <w:szCs w:val="20"/>
                <w:u w:val="single"/>
                <w:lang w:eastAsia="en-GB"/>
              </w:rPr>
              <w:t>tištěné</w:t>
            </w:r>
            <w:r w:rsidRPr="0035187E">
              <w:rPr>
                <w:rFonts w:ascii="Times New Roman" w:hAnsi="Times New Roman" w:cs="Times New Roman"/>
                <w:bCs/>
                <w:sz w:val="20"/>
                <w:szCs w:val="20"/>
                <w:lang w:eastAsia="en-GB"/>
              </w:rPr>
              <w:t xml:space="preserve"> z textu označeného ustanovení zákona o daních z příjmů a upřesněním pojmu kniha v důvodové zprávě, s ohledem na úpravu v zákoně o dani z přidané hodnoty však navrhujeme ke zvážení převzetí pojmů z tohoto zákona pro sjednocení daňověprávního zakotvení knih, a to použitím následující formulace:</w:t>
            </w:r>
          </w:p>
          <w:p w14:paraId="536AE92D" w14:textId="77777777" w:rsidR="000B4BD4" w:rsidRPr="0035187E" w:rsidRDefault="000B4BD4" w:rsidP="0035187E">
            <w:pPr>
              <w:pBdr>
                <w:bottom w:val="single" w:sz="4" w:space="1" w:color="auto"/>
              </w:pBdr>
              <w:jc w:val="both"/>
              <w:rPr>
                <w:rFonts w:ascii="Times New Roman" w:hAnsi="Times New Roman" w:cs="Times New Roman"/>
                <w:bCs/>
                <w:sz w:val="20"/>
                <w:szCs w:val="20"/>
                <w:lang w:eastAsia="en-GB"/>
              </w:rPr>
            </w:pPr>
          </w:p>
          <w:p w14:paraId="1721F89F" w14:textId="77777777" w:rsidR="000B4BD4" w:rsidRPr="0035187E" w:rsidRDefault="000B4BD4" w:rsidP="0035187E">
            <w:pPr>
              <w:pBdr>
                <w:bottom w:val="single" w:sz="4" w:space="1" w:color="auto"/>
              </w:pBdr>
              <w:jc w:val="both"/>
              <w:rPr>
                <w:rFonts w:ascii="Times New Roman" w:hAnsi="Times New Roman" w:cs="Times New Roman"/>
                <w:bCs/>
                <w:i/>
                <w:iCs/>
                <w:sz w:val="20"/>
                <w:szCs w:val="20"/>
                <w:lang w:eastAsia="en-GB"/>
              </w:rPr>
            </w:pPr>
            <w:r w:rsidRPr="0035187E">
              <w:rPr>
                <w:rFonts w:ascii="Times New Roman" w:hAnsi="Times New Roman" w:cs="Times New Roman"/>
                <w:bCs/>
                <w:sz w:val="20"/>
                <w:szCs w:val="20"/>
                <w:lang w:eastAsia="en-GB"/>
              </w:rPr>
              <w:t xml:space="preserve">„[...] </w:t>
            </w:r>
            <w:r w:rsidRPr="0035187E">
              <w:rPr>
                <w:rFonts w:ascii="Times New Roman" w:hAnsi="Times New Roman" w:cs="Times New Roman"/>
                <w:bCs/>
                <w:i/>
                <w:iCs/>
                <w:sz w:val="20"/>
                <w:szCs w:val="20"/>
                <w:lang w:eastAsia="en-GB"/>
              </w:rPr>
              <w:t xml:space="preserve">nebo příspěvku na knihy nebo služby obdobné dodání knihy podle zákona o dani z přidané </w:t>
            </w:r>
            <w:proofErr w:type="spellStart"/>
            <w:r w:rsidRPr="0035187E">
              <w:rPr>
                <w:rFonts w:ascii="Times New Roman" w:hAnsi="Times New Roman" w:cs="Times New Roman"/>
                <w:bCs/>
                <w:i/>
                <w:iCs/>
                <w:sz w:val="20"/>
                <w:szCs w:val="20"/>
                <w:lang w:eastAsia="en-GB"/>
              </w:rPr>
              <w:t>hodnoty</w:t>
            </w:r>
            <w:r w:rsidRPr="0035187E">
              <w:rPr>
                <w:rFonts w:ascii="Times New Roman" w:hAnsi="Times New Roman" w:cs="Times New Roman"/>
                <w:bCs/>
                <w:i/>
                <w:iCs/>
                <w:sz w:val="20"/>
                <w:szCs w:val="20"/>
                <w:vertAlign w:val="superscript"/>
                <w:lang w:eastAsia="en-GB"/>
              </w:rPr>
              <w:t>x</w:t>
            </w:r>
            <w:proofErr w:type="spellEnd"/>
            <w:r w:rsidRPr="0035187E">
              <w:rPr>
                <w:rFonts w:ascii="Times New Roman" w:hAnsi="Times New Roman" w:cs="Times New Roman"/>
                <w:bCs/>
                <w:i/>
                <w:iCs/>
                <w:sz w:val="20"/>
                <w:szCs w:val="20"/>
                <w:vertAlign w:val="superscript"/>
                <w:lang w:eastAsia="en-GB"/>
              </w:rPr>
              <w:t>)</w:t>
            </w:r>
            <w:r w:rsidRPr="0035187E">
              <w:rPr>
                <w:rFonts w:ascii="Times New Roman" w:hAnsi="Times New Roman" w:cs="Times New Roman"/>
                <w:bCs/>
                <w:sz w:val="20"/>
                <w:szCs w:val="20"/>
                <w:lang w:eastAsia="en-GB"/>
              </w:rPr>
              <w:t>“</w:t>
            </w:r>
            <w:r w:rsidRPr="0035187E">
              <w:rPr>
                <w:rFonts w:ascii="Times New Roman" w:hAnsi="Times New Roman" w:cs="Times New Roman"/>
                <w:bCs/>
                <w:i/>
                <w:iCs/>
                <w:sz w:val="20"/>
                <w:szCs w:val="20"/>
                <w:lang w:eastAsia="en-GB"/>
              </w:rPr>
              <w:t xml:space="preserve"> </w:t>
            </w:r>
          </w:p>
          <w:p w14:paraId="286541A1" w14:textId="77777777" w:rsidR="000B4BD4" w:rsidRPr="0035187E" w:rsidRDefault="000B4BD4" w:rsidP="0035187E">
            <w:pPr>
              <w:pBdr>
                <w:bottom w:val="single" w:sz="4" w:space="1" w:color="auto"/>
              </w:pBdr>
              <w:jc w:val="both"/>
              <w:rPr>
                <w:rFonts w:ascii="Times New Roman" w:hAnsi="Times New Roman" w:cs="Times New Roman"/>
                <w:bCs/>
                <w:i/>
                <w:iCs/>
                <w:sz w:val="20"/>
                <w:szCs w:val="20"/>
                <w:lang w:eastAsia="en-GB"/>
              </w:rPr>
            </w:pPr>
          </w:p>
          <w:p w14:paraId="7E52D9C9" w14:textId="43CAB011" w:rsidR="000B4BD4" w:rsidRPr="0035187E" w:rsidRDefault="000B4BD4" w:rsidP="0035187E">
            <w:pPr>
              <w:pBdr>
                <w:bottom w:val="single" w:sz="4" w:space="1" w:color="auto"/>
              </w:pBdr>
              <w:jc w:val="both"/>
              <w:rPr>
                <w:rFonts w:ascii="Times New Roman" w:hAnsi="Times New Roman" w:cs="Times New Roman"/>
                <w:bCs/>
                <w:i/>
                <w:iCs/>
                <w:sz w:val="20"/>
                <w:szCs w:val="20"/>
                <w:lang w:eastAsia="en-GB"/>
              </w:rPr>
            </w:pPr>
            <w:r w:rsidRPr="0035187E">
              <w:rPr>
                <w:rFonts w:ascii="Times New Roman" w:hAnsi="Times New Roman" w:cs="Times New Roman"/>
                <w:bCs/>
                <w:sz w:val="20"/>
                <w:szCs w:val="20"/>
                <w:lang w:eastAsia="en-GB"/>
              </w:rPr>
              <w:t xml:space="preserve">Současně by pro upřesnění byla doplněna poznámka pod čarou </w:t>
            </w:r>
            <w:r w:rsidRPr="0035187E">
              <w:rPr>
                <w:rFonts w:ascii="Times New Roman" w:hAnsi="Times New Roman" w:cs="Times New Roman"/>
                <w:bCs/>
                <w:sz w:val="20"/>
                <w:szCs w:val="20"/>
                <w:vertAlign w:val="superscript"/>
                <w:lang w:eastAsia="en-GB"/>
              </w:rPr>
              <w:t>x)</w:t>
            </w:r>
            <w:r w:rsidRPr="0035187E">
              <w:rPr>
                <w:rFonts w:ascii="Times New Roman" w:hAnsi="Times New Roman" w:cs="Times New Roman"/>
                <w:bCs/>
                <w:sz w:val="20"/>
                <w:szCs w:val="20"/>
                <w:lang w:eastAsia="en-GB"/>
              </w:rPr>
              <w:t xml:space="preserve"> odkazující na § 71i odst. 1 a 2 zákona č. 235/2004 Sb., o dani z přidané hodnoty, ve znění pozdějších předpisů. </w:t>
            </w:r>
            <w:r w:rsidRPr="0035187E">
              <w:rPr>
                <w:rFonts w:ascii="Times New Roman" w:hAnsi="Times New Roman" w:cs="Times New Roman"/>
                <w:bCs/>
                <w:i/>
                <w:iCs/>
                <w:sz w:val="20"/>
                <w:szCs w:val="20"/>
                <w:lang w:eastAsia="en-GB"/>
              </w:rPr>
              <w:t>Službou obdobnou dodání knihy</w:t>
            </w:r>
            <w:r w:rsidRPr="0035187E">
              <w:rPr>
                <w:rFonts w:ascii="Times New Roman" w:hAnsi="Times New Roman" w:cs="Times New Roman"/>
                <w:bCs/>
                <w:sz w:val="20"/>
                <w:szCs w:val="20"/>
                <w:lang w:eastAsia="en-GB"/>
              </w:rPr>
              <w:t xml:space="preserve"> se tedy rozumí právě elektronická kniha nebo audiokniha.</w:t>
            </w:r>
          </w:p>
        </w:tc>
        <w:tc>
          <w:tcPr>
            <w:tcW w:w="1453" w:type="pct"/>
            <w:tcBorders>
              <w:top w:val="single" w:sz="4" w:space="0" w:color="auto"/>
              <w:left w:val="single" w:sz="4" w:space="0" w:color="auto"/>
              <w:right w:val="single" w:sz="4" w:space="0" w:color="auto"/>
            </w:tcBorders>
            <w:shd w:val="clear" w:color="auto" w:fill="auto"/>
          </w:tcPr>
          <w:p w14:paraId="74C02758"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b/>
                <w:sz w:val="20"/>
                <w:szCs w:val="20"/>
              </w:rPr>
              <w:lastRenderedPageBreak/>
              <w:t>Nevyhověno.</w:t>
            </w:r>
            <w:r w:rsidRPr="0035187E">
              <w:rPr>
                <w:rFonts w:ascii="Times New Roman" w:hAnsi="Times New Roman" w:cs="Times New Roman"/>
                <w:sz w:val="20"/>
                <w:szCs w:val="20"/>
              </w:rPr>
              <w:t xml:space="preserve"> </w:t>
            </w:r>
          </w:p>
          <w:p w14:paraId="767A8313" w14:textId="5BC932E1"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Podnět přesahuje rámec navrhované úpravy zákona o evidenci tržeb.</w:t>
            </w:r>
          </w:p>
          <w:p w14:paraId="7E94BD46" w14:textId="15CBC80A"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Příspěvek na knihy podle § 6 odst. 9 písm. d) bodu 4 zákona o daních z příjmů má primárně za cíl podporovat kulturní rozvoj zaměstnanců a jejich vzdělávání, zejména osob s nižšími příjmy a rodin s dětmi, pro které může nákup knih představovat významnou finanční zátěž. Tento benefit je záměrně vymezen pouze na tištěné knihy, včetně dětských obrázkových knih, aby byl účel opatření – přístup k tištěné literatuře a podpora čtenářství – naplněn.</w:t>
            </w:r>
          </w:p>
          <w:p w14:paraId="575CC023"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Rozšíření příspěvku na elektronické knihy nebo audioknihy by znamenalo významné rozšíření daňového osvobození, což by mohlo vést k nejasnostem a komplikacím při administraci a kontrole plnění podmínek osvobození. Zároveň by takové rozšíření bylo v rozporu se zásadou zjednodušování daňového systému a s cílem omezovat daňové výjimky na přesně vymezené účely.</w:t>
            </w:r>
          </w:p>
          <w:p w14:paraId="0CDEF3B9" w14:textId="77777777" w:rsidR="00A93BA8" w:rsidRPr="0035187E" w:rsidRDefault="00A93BA8" w:rsidP="0035187E">
            <w:pPr>
              <w:jc w:val="both"/>
              <w:rPr>
                <w:rFonts w:ascii="Times New Roman" w:hAnsi="Times New Roman" w:cs="Times New Roman"/>
                <w:sz w:val="20"/>
                <w:szCs w:val="20"/>
              </w:rPr>
            </w:pPr>
          </w:p>
          <w:p w14:paraId="4B79FD70" w14:textId="37732954" w:rsidR="00A93BA8" w:rsidRPr="0035187E" w:rsidRDefault="00D76098" w:rsidP="0035187E">
            <w:pPr>
              <w:jc w:val="both"/>
              <w:rPr>
                <w:rFonts w:ascii="Times New Roman" w:hAnsi="Times New Roman" w:cs="Times New Roman"/>
                <w:sz w:val="20"/>
                <w:szCs w:val="20"/>
              </w:rPr>
            </w:pPr>
            <w:r w:rsidRPr="0035187E">
              <w:rPr>
                <w:rFonts w:ascii="Times New Roman" w:hAnsi="Times New Roman" w:cs="Times New Roman"/>
                <w:i/>
                <w:iCs/>
                <w:sz w:val="20"/>
                <w:szCs w:val="20"/>
              </w:rPr>
              <w:t xml:space="preserve">Viz částečné vyjádření v rámci </w:t>
            </w:r>
            <w:r w:rsidR="00A93BA8" w:rsidRPr="0035187E">
              <w:rPr>
                <w:rFonts w:ascii="Times New Roman" w:hAnsi="Times New Roman" w:cs="Times New Roman"/>
                <w:i/>
                <w:iCs/>
                <w:sz w:val="20"/>
                <w:szCs w:val="20"/>
              </w:rPr>
              <w:t>vypořádání připomínky Konfederace zaměstnavatelských a podnikatelských svazů ČR č. 8.</w:t>
            </w:r>
          </w:p>
        </w:tc>
      </w:tr>
      <w:tr w:rsidR="0035187E" w:rsidRPr="0035187E" w14:paraId="43E9BFD2"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D8B89FF" w14:textId="3399D08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77.</w:t>
            </w:r>
          </w:p>
        </w:tc>
        <w:tc>
          <w:tcPr>
            <w:tcW w:w="583" w:type="pct"/>
            <w:tcBorders>
              <w:top w:val="single" w:sz="4" w:space="0" w:color="auto"/>
              <w:left w:val="single" w:sz="4" w:space="0" w:color="auto"/>
              <w:right w:val="single" w:sz="4" w:space="0" w:color="auto"/>
            </w:tcBorders>
            <w:shd w:val="clear" w:color="auto" w:fill="auto"/>
          </w:tcPr>
          <w:p w14:paraId="4D39E24A" w14:textId="24D679A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Úřad Národní rozpočtové rady</w:t>
            </w:r>
          </w:p>
        </w:tc>
        <w:tc>
          <w:tcPr>
            <w:tcW w:w="168" w:type="pct"/>
            <w:tcBorders>
              <w:top w:val="single" w:sz="4" w:space="0" w:color="auto"/>
              <w:left w:val="single" w:sz="4" w:space="0" w:color="auto"/>
              <w:right w:val="single" w:sz="4" w:space="0" w:color="auto"/>
            </w:tcBorders>
            <w:shd w:val="clear" w:color="auto" w:fill="auto"/>
          </w:tcPr>
          <w:p w14:paraId="40AB04E1" w14:textId="2CB5616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7BE6F6F7" w14:textId="45671ED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3EC62C1" w14:textId="77777777" w:rsidR="000B4BD4" w:rsidRPr="0035187E" w:rsidRDefault="000B4BD4" w:rsidP="0035187E">
            <w:pPr>
              <w:contextualSpacing/>
              <w:jc w:val="both"/>
              <w:rPr>
                <w:rFonts w:ascii="Times New Roman" w:hAnsi="Times New Roman" w:cs="Times New Roman"/>
                <w:b/>
                <w:bCs/>
                <w:sz w:val="20"/>
                <w:szCs w:val="20"/>
              </w:rPr>
            </w:pPr>
            <w:r w:rsidRPr="0035187E">
              <w:rPr>
                <w:rFonts w:ascii="Times New Roman" w:hAnsi="Times New Roman" w:cs="Times New Roman"/>
                <w:b/>
                <w:bCs/>
                <w:sz w:val="20"/>
                <w:szCs w:val="20"/>
              </w:rPr>
              <w:t>Zásadní připomínka</w:t>
            </w:r>
          </w:p>
          <w:p w14:paraId="6E955250" w14:textId="77777777" w:rsidR="000B4BD4" w:rsidRPr="0035187E" w:rsidRDefault="000B4BD4" w:rsidP="0035187E">
            <w:pPr>
              <w:jc w:val="both"/>
              <w:rPr>
                <w:rFonts w:ascii="Times New Roman" w:hAnsi="Times New Roman" w:cs="Times New Roman"/>
                <w:sz w:val="20"/>
                <w:szCs w:val="20"/>
              </w:rPr>
            </w:pPr>
          </w:p>
          <w:p w14:paraId="7183BCD9" w14:textId="77777777" w:rsidR="000B4BD4" w:rsidRPr="0035187E" w:rsidRDefault="000B4BD4" w:rsidP="0035187E">
            <w:pPr>
              <w:widowControl w:val="0"/>
              <w:autoSpaceDE w:val="0"/>
              <w:autoSpaceDN w:val="0"/>
              <w:adjustRightInd w:val="0"/>
              <w:jc w:val="both"/>
              <w:rPr>
                <w:rFonts w:ascii="Times New Roman" w:hAnsi="Times New Roman" w:cs="Times New Roman"/>
                <w:bCs/>
                <w:sz w:val="20"/>
                <w:szCs w:val="20"/>
              </w:rPr>
            </w:pPr>
            <w:r w:rsidRPr="0035187E">
              <w:rPr>
                <w:rFonts w:ascii="Times New Roman" w:hAnsi="Times New Roman" w:cs="Times New Roman"/>
                <w:bCs/>
                <w:sz w:val="20"/>
                <w:szCs w:val="20"/>
              </w:rPr>
              <w:t xml:space="preserve">NRR žádá do důvodové zprávy vysvětlit, jak přesně prakticky zamýšlí MF ČR v praxi interpretovat tzv. osvobození spropitného ze stravovacích služeb od daně z příjmů (Bod 6. paragrafovaného znění zákona doplňující Zákon o daních z příjmů). Z textace není zřejmé, zda je navrhovatelem zamýšleno, že osvobození se může týkat 7 % </w:t>
            </w:r>
            <w:r w:rsidRPr="0035187E">
              <w:rPr>
                <w:rFonts w:ascii="Times New Roman" w:hAnsi="Times New Roman" w:cs="Times New Roman"/>
                <w:b/>
                <w:bCs/>
                <w:sz w:val="20"/>
                <w:szCs w:val="20"/>
              </w:rPr>
              <w:t>jakýchkoli</w:t>
            </w:r>
            <w:r w:rsidRPr="0035187E">
              <w:rPr>
                <w:rFonts w:ascii="Times New Roman" w:hAnsi="Times New Roman" w:cs="Times New Roman"/>
                <w:bCs/>
                <w:sz w:val="20"/>
                <w:szCs w:val="20"/>
              </w:rPr>
              <w:t xml:space="preserve"> měsíčních tržeb zaměstnavatele v oblasti gastronomie i bez ohledu na to, zda byla tržba příjemcem služby ex ante identifikována jako spropitné či nikoli. Dle textace paragrafu by bylo možné i dovodit, že každý poskytovatel služeb v oblasti gastronomie v libovolném měsíci může deklarovat 7 % celkových tržeb jako tržby, které podléhají tomuto osvobození, a to bez ohledu na to, zda byly zaplaceny jako spropitné či nikoli. A že tak může činit systematicky. Pokud by tomu tak bylo, není jasné, jak by se pak chovalo placení daně z přidané hodnoty z tržeb a další s nimi související povinné platby. </w:t>
            </w:r>
            <w:r w:rsidRPr="0035187E">
              <w:rPr>
                <w:rFonts w:ascii="Times New Roman" w:hAnsi="Times New Roman" w:cs="Times New Roman"/>
                <w:b/>
                <w:bCs/>
                <w:sz w:val="20"/>
                <w:szCs w:val="20"/>
              </w:rPr>
              <w:t xml:space="preserve">Předpokládáme ale, že zamýšleno je osvobodit jen příjmy, které jsou zpětně </w:t>
            </w:r>
            <w:proofErr w:type="spellStart"/>
            <w:r w:rsidRPr="0035187E">
              <w:rPr>
                <w:rFonts w:ascii="Times New Roman" w:hAnsi="Times New Roman" w:cs="Times New Roman"/>
                <w:b/>
                <w:bCs/>
                <w:sz w:val="20"/>
                <w:szCs w:val="20"/>
              </w:rPr>
              <w:t>rekonstruovatelně</w:t>
            </w:r>
            <w:proofErr w:type="spellEnd"/>
            <w:r w:rsidRPr="0035187E">
              <w:rPr>
                <w:rFonts w:ascii="Times New Roman" w:hAnsi="Times New Roman" w:cs="Times New Roman"/>
                <w:b/>
                <w:bCs/>
                <w:sz w:val="20"/>
                <w:szCs w:val="20"/>
              </w:rPr>
              <w:t xml:space="preserve"> evidovány jako spropitné od příjemce služby a žádné jiné</w:t>
            </w:r>
            <w:r w:rsidRPr="0035187E">
              <w:rPr>
                <w:rFonts w:ascii="Times New Roman" w:hAnsi="Times New Roman" w:cs="Times New Roman"/>
                <w:bCs/>
                <w:sz w:val="20"/>
                <w:szCs w:val="20"/>
              </w:rPr>
              <w:t xml:space="preserve"> (když bude spropitné tvořit jen 1 % tržeb v daném měsíci, nebude možné si odečíst více, pokud naopak bude spropitné činit i 25 % tržeb, bude možné si stále aplikovat daňovou úlevu jen na 7 %), a že </w:t>
            </w:r>
            <w:r w:rsidRPr="0035187E">
              <w:rPr>
                <w:rFonts w:ascii="Times New Roman" w:hAnsi="Times New Roman" w:cs="Times New Roman"/>
                <w:b/>
                <w:bCs/>
                <w:sz w:val="20"/>
                <w:szCs w:val="20"/>
              </w:rPr>
              <w:t>stropem pro možnost tuto daňovou úlevu využít budou celkové tržby v daném měsíci.</w:t>
            </w:r>
            <w:r w:rsidRPr="0035187E">
              <w:rPr>
                <w:rFonts w:ascii="Times New Roman" w:hAnsi="Times New Roman" w:cs="Times New Roman"/>
                <w:bCs/>
                <w:sz w:val="20"/>
                <w:szCs w:val="20"/>
              </w:rPr>
              <w:t xml:space="preserve">  Předpokládáme také, že takto byl kalkulován i fiskální dopad tohoto opatření. Pokud tomu tak je, doporučujeme to explicitně do důvodové zprávy napsat k zamezení všech pochybností a vyhnutí se kreativity na straně poskytovatelů stravovacích služeb, která by vedla ke snaze uměle zvyšovat příjmy podléhající této daňové úlevě. </w:t>
            </w:r>
          </w:p>
          <w:p w14:paraId="669D49A7" w14:textId="1113620E" w:rsidR="000B4BD4" w:rsidRPr="0035187E" w:rsidRDefault="000B4BD4" w:rsidP="0035187E">
            <w:pPr>
              <w:widowControl w:val="0"/>
              <w:autoSpaceDE w:val="0"/>
              <w:autoSpaceDN w:val="0"/>
              <w:adjustRightInd w:val="0"/>
              <w:jc w:val="both"/>
              <w:rPr>
                <w:rFonts w:ascii="Times New Roman" w:eastAsia="Aptos" w:hAnsi="Times New Roman" w:cs="Times New Roman"/>
                <w:b/>
                <w:bCs/>
                <w:sz w:val="20"/>
                <w:szCs w:val="20"/>
              </w:rPr>
            </w:pPr>
            <w:r w:rsidRPr="0035187E">
              <w:rPr>
                <w:rFonts w:ascii="Times New Roman" w:hAnsi="Times New Roman" w:cs="Times New Roman"/>
                <w:bCs/>
                <w:sz w:val="20"/>
                <w:szCs w:val="20"/>
              </w:rPr>
              <w:t xml:space="preserve">NRR zároveň chápe textaci tak, že na daňovou úlevu mají nárok nejen zaměstnanci poskytovatele stravovacích služeb, ale i ti, kteří pro něj pracují na dohodu. Je chápání NRR v tomto ohledu správné? </w:t>
            </w:r>
          </w:p>
        </w:tc>
        <w:tc>
          <w:tcPr>
            <w:tcW w:w="1453" w:type="pct"/>
            <w:tcBorders>
              <w:top w:val="single" w:sz="4" w:space="0" w:color="auto"/>
              <w:left w:val="single" w:sz="4" w:space="0" w:color="auto"/>
              <w:right w:val="single" w:sz="4" w:space="0" w:color="auto"/>
            </w:tcBorders>
            <w:shd w:val="clear" w:color="auto" w:fill="auto"/>
          </w:tcPr>
          <w:p w14:paraId="18D939F7" w14:textId="5D6F7C65" w:rsidR="000B4BD4" w:rsidRPr="0035187E" w:rsidRDefault="008C140F"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Vysvětleno</w:t>
            </w:r>
            <w:r w:rsidR="000B4BD4" w:rsidRPr="0035187E">
              <w:rPr>
                <w:rFonts w:ascii="Times New Roman" w:hAnsi="Times New Roman" w:cs="Times New Roman"/>
                <w:b/>
                <w:bCs/>
                <w:sz w:val="20"/>
                <w:szCs w:val="20"/>
              </w:rPr>
              <w:t>.</w:t>
            </w:r>
          </w:p>
          <w:p w14:paraId="4694D78E" w14:textId="71370FC5"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Ministerstvo financí potvrzuje, že navržená právní úprava osvobození spropitného ze stravovacích služeb od daně z příjmů se vztahuje výhradně na spropitné, které je skutečně poskytnuto zaměstnanci zákazníkem v přímé souvislosti s poskytnutou stravovací službou a které je zpětně rekonstruovatelné. Limit 7 % uvedený v zákoně o daních z příjmů se stanovuje z měsíčních příjmů zaměstnavatele ze stravovacích služeb, tedy z jeho tržeb za poskytované služby, a slouží pouze jako parametr pro výpočet maximální částky spropitného, které může být od daně osvobozeno. Tento limit neznamená, že zaměstnavatel může libovolně označit 7 % svých tržeb jako spropitné. Osvobozeno od daně bude jen v rozsahu skutečně přijaté částky zaměstnanci, maximálně však do výše zákonem stanoveného limitu. Pokud spropitné v daném měsíci převýší tento limit, nadlimitní část je zdanitelným příjmem na straně zaměstnance. </w:t>
            </w:r>
          </w:p>
          <w:p w14:paraId="3D3A9C32" w14:textId="49A8F11F"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Ministerstvo financí dále potvrzuje, že osvobození se vztahuje nejen na zaměstnance v pracovním poměru, ale i na osoby pracující pro zaměstnavatele na základě dohod konaných mimo pracovní poměr, pokud jejich příjem plynoucí ze stravovacích služeb spadá do § 6 odst. 1 písm. a) až c) zákona o daních z příjmů. </w:t>
            </w:r>
          </w:p>
          <w:p w14:paraId="5DE31363"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Kontrolu dodržování pravidel týkajících se dobrovolného spropitného bude vykonávat finanční správa. </w:t>
            </w:r>
            <w:r w:rsidRPr="0035187E">
              <w:rPr>
                <w:rFonts w:ascii="Times New Roman" w:hAnsi="Times New Roman" w:cs="Times New Roman"/>
                <w:sz w:val="20"/>
                <w:szCs w:val="20"/>
              </w:rPr>
              <w:lastRenderedPageBreak/>
              <w:t>Navržená legislativní úprava poskytuje finanční správě jasnou právní oporu k tomu, aby mohla prověřovat případné nekalé praktiky, např. tlak na snižování mezd, obcházení příplatků nebo přenášení odpovědnosti za příjem zaměstnanců na zákazníky, a v případě zjištění takových praktik přijmout patřičná opatření. Legislativní rámec tedy zajišťuje, že spropitné může fungovat jako dobrovolný a doplňkový příjem, aniž by docházelo k ohrožení spravedlivého odměňování zaměstnanců.</w:t>
            </w:r>
          </w:p>
          <w:p w14:paraId="4D37DF04" w14:textId="77777777" w:rsidR="008C140F" w:rsidRPr="0035187E" w:rsidRDefault="008C140F" w:rsidP="0035187E">
            <w:pPr>
              <w:jc w:val="both"/>
              <w:rPr>
                <w:rFonts w:ascii="Times New Roman" w:hAnsi="Times New Roman" w:cs="Times New Roman"/>
                <w:sz w:val="20"/>
                <w:szCs w:val="20"/>
              </w:rPr>
            </w:pPr>
          </w:p>
          <w:p w14:paraId="3B1F8979" w14:textId="42B8EC6A" w:rsidR="000A5EF0" w:rsidRPr="0035187E" w:rsidRDefault="000A5EF0"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Připomínkové místo bere vypořádání za vysvětlené</w:t>
            </w:r>
            <w:r w:rsidR="00C67F44" w:rsidRPr="0035187E">
              <w:rPr>
                <w:rFonts w:ascii="Times New Roman" w:hAnsi="Times New Roman" w:cs="Times New Roman"/>
                <w:i/>
                <w:iCs/>
                <w:sz w:val="20"/>
                <w:szCs w:val="20"/>
              </w:rPr>
              <w:t xml:space="preserve"> a požaduje změnit způsob vyřízení z „nevyhověno“ na „vysvětleno“.</w:t>
            </w:r>
          </w:p>
        </w:tc>
      </w:tr>
      <w:tr w:rsidR="0035187E" w:rsidRPr="0035187E" w14:paraId="69FE2FCB"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778FA83" w14:textId="1AE50FD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79.</w:t>
            </w:r>
          </w:p>
        </w:tc>
        <w:tc>
          <w:tcPr>
            <w:tcW w:w="583" w:type="pct"/>
            <w:tcBorders>
              <w:top w:val="single" w:sz="4" w:space="0" w:color="auto"/>
              <w:left w:val="single" w:sz="4" w:space="0" w:color="auto"/>
              <w:right w:val="single" w:sz="4" w:space="0" w:color="auto"/>
            </w:tcBorders>
            <w:shd w:val="clear" w:color="auto" w:fill="auto"/>
          </w:tcPr>
          <w:p w14:paraId="172F2FD6" w14:textId="00722EC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Úřad pro ochranu osobních údajů</w:t>
            </w:r>
          </w:p>
        </w:tc>
        <w:tc>
          <w:tcPr>
            <w:tcW w:w="168" w:type="pct"/>
            <w:tcBorders>
              <w:top w:val="single" w:sz="4" w:space="0" w:color="auto"/>
              <w:left w:val="single" w:sz="4" w:space="0" w:color="auto"/>
              <w:right w:val="single" w:sz="4" w:space="0" w:color="auto"/>
            </w:tcBorders>
            <w:shd w:val="clear" w:color="auto" w:fill="auto"/>
          </w:tcPr>
          <w:p w14:paraId="084AD9B8" w14:textId="316B978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3A8F2B6E" w14:textId="079FE33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E394535" w14:textId="77777777" w:rsidR="000B4BD4" w:rsidRPr="0035187E" w:rsidRDefault="000B4BD4" w:rsidP="0035187E">
            <w:pPr>
              <w:keepNext/>
              <w:tabs>
                <w:tab w:val="left" w:pos="7190"/>
              </w:tabs>
              <w:jc w:val="both"/>
              <w:rPr>
                <w:rFonts w:ascii="Times New Roman" w:hAnsi="Times New Roman" w:cs="Times New Roman"/>
                <w:b/>
                <w:sz w:val="20"/>
                <w:szCs w:val="20"/>
              </w:rPr>
            </w:pPr>
            <w:r w:rsidRPr="0035187E">
              <w:rPr>
                <w:rFonts w:ascii="Times New Roman" w:hAnsi="Times New Roman" w:cs="Times New Roman"/>
                <w:b/>
                <w:sz w:val="20"/>
                <w:szCs w:val="20"/>
              </w:rPr>
              <w:t>Obecně</w:t>
            </w:r>
          </w:p>
          <w:p w14:paraId="4620B774" w14:textId="002ACBD0"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Úřad pro ochranu osobních údajů oceňuje, že důvodová zpráva v oddíle 9.11 obecné části – legislativní DPIA (dále „oddíl“) vystihuje, že návrh zavádí povinnost evidovat tržby, že dochází k automatizovanému elektronickému zpracování a že osobní údaje se týkají především fyzických osob – poplatníků. ÚOOÚ rovněž pozitivně hodnotí, že důvodová zpráva popisuje základní kategorie zpracovávaných údajů, uvádí neveřejnost zpracování, konstatuje neomezení práv subjektů údajů podle čl. 15 až 22 nařízení (EU) 2016/679, obecného nařízení o ochraně osobních údajů (GDPR), a v obecné rovině odkazuje na technická a organizační opatření, včetně začlenění údajů do zvláštní daňové analytické evidence s přísnějším režimem ochrany. </w:t>
            </w:r>
          </w:p>
          <w:p w14:paraId="04D989D0" w14:textId="77777777" w:rsidR="000B4BD4" w:rsidRPr="0035187E" w:rsidRDefault="000B4BD4" w:rsidP="0035187E">
            <w:pPr>
              <w:jc w:val="both"/>
              <w:rPr>
                <w:rFonts w:ascii="Times New Roman" w:hAnsi="Times New Roman" w:cs="Times New Roman"/>
                <w:sz w:val="20"/>
                <w:szCs w:val="20"/>
              </w:rPr>
            </w:pPr>
          </w:p>
          <w:p w14:paraId="2181EEA8" w14:textId="239D83A4" w:rsidR="000B4BD4" w:rsidRPr="0035187E" w:rsidRDefault="000B4BD4" w:rsidP="0035187E">
            <w:pPr>
              <w:jc w:val="both"/>
              <w:rPr>
                <w:rFonts w:ascii="Times New Roman" w:eastAsia="Aptos" w:hAnsi="Times New Roman" w:cs="Times New Roman"/>
                <w:b/>
                <w:bCs/>
                <w:sz w:val="20"/>
                <w:szCs w:val="20"/>
              </w:rPr>
            </w:pPr>
            <w:r w:rsidRPr="0035187E">
              <w:rPr>
                <w:rFonts w:ascii="Times New Roman" w:hAnsi="Times New Roman" w:cs="Times New Roman"/>
                <w:sz w:val="20"/>
                <w:szCs w:val="20"/>
              </w:rPr>
              <w:t xml:space="preserve">Stávající text však představuje pouze dílčí základ, nikoli úplné posouzení vlivu na ochranu osobních údajů (DPIA) v legislativním smyslu. Podle čl. 35 odst. 7 a odst. 10 GDPR má legislativní DPIA povahu odůvodněného a systematického posouzení; má obsahovat vysvětlení účelu zpracování, popis návaznosti na další zpracování, posouzení nezbytnosti a přiměřenosti, vyhodnocení rizik a návrh opatření. Důvodová zpráva bez dostatečně rozvedené analýzy uzavírá, že dopady na práva a svobody subjektů údajů jsou přiměřené a akceptovatelné. </w:t>
            </w:r>
          </w:p>
        </w:tc>
        <w:tc>
          <w:tcPr>
            <w:tcW w:w="1453" w:type="pct"/>
            <w:tcBorders>
              <w:top w:val="single" w:sz="4" w:space="0" w:color="auto"/>
              <w:left w:val="single" w:sz="4" w:space="0" w:color="auto"/>
              <w:right w:val="single" w:sz="4" w:space="0" w:color="auto"/>
            </w:tcBorders>
            <w:shd w:val="clear" w:color="auto" w:fill="auto"/>
          </w:tcPr>
          <w:p w14:paraId="10AD78C1" w14:textId="5CDB9C53"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b/>
                <w:sz w:val="20"/>
                <w:szCs w:val="20"/>
              </w:rPr>
              <w:t>Bere se na vědomí.</w:t>
            </w:r>
          </w:p>
        </w:tc>
      </w:tr>
      <w:tr w:rsidR="0035187E" w:rsidRPr="0035187E" w14:paraId="526D72D4"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6E2D793" w14:textId="4D13595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79.</w:t>
            </w:r>
          </w:p>
        </w:tc>
        <w:tc>
          <w:tcPr>
            <w:tcW w:w="583" w:type="pct"/>
            <w:tcBorders>
              <w:top w:val="single" w:sz="4" w:space="0" w:color="auto"/>
              <w:left w:val="single" w:sz="4" w:space="0" w:color="auto"/>
              <w:right w:val="single" w:sz="4" w:space="0" w:color="auto"/>
            </w:tcBorders>
            <w:shd w:val="clear" w:color="auto" w:fill="auto"/>
          </w:tcPr>
          <w:p w14:paraId="4774C70B" w14:textId="7A584C2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Úřad pro ochranu osobních údajů</w:t>
            </w:r>
          </w:p>
        </w:tc>
        <w:tc>
          <w:tcPr>
            <w:tcW w:w="168" w:type="pct"/>
            <w:tcBorders>
              <w:top w:val="single" w:sz="4" w:space="0" w:color="auto"/>
              <w:left w:val="single" w:sz="4" w:space="0" w:color="auto"/>
              <w:right w:val="single" w:sz="4" w:space="0" w:color="auto"/>
            </w:tcBorders>
            <w:shd w:val="clear" w:color="auto" w:fill="auto"/>
          </w:tcPr>
          <w:p w14:paraId="6604C404" w14:textId="5191736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w:t>
            </w:r>
          </w:p>
        </w:tc>
        <w:tc>
          <w:tcPr>
            <w:tcW w:w="169" w:type="pct"/>
            <w:tcBorders>
              <w:top w:val="single" w:sz="4" w:space="0" w:color="auto"/>
              <w:left w:val="single" w:sz="4" w:space="0" w:color="auto"/>
              <w:right w:val="single" w:sz="4" w:space="0" w:color="auto"/>
            </w:tcBorders>
            <w:shd w:val="clear" w:color="auto" w:fill="auto"/>
          </w:tcPr>
          <w:p w14:paraId="5FE0B12E" w14:textId="540503E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5A7692B" w14:textId="77777777" w:rsidR="000B4BD4" w:rsidRPr="0035187E" w:rsidRDefault="000B4BD4" w:rsidP="0035187E">
            <w:pPr>
              <w:keepNext/>
              <w:jc w:val="both"/>
              <w:rPr>
                <w:rFonts w:ascii="Times New Roman" w:hAnsi="Times New Roman" w:cs="Times New Roman"/>
                <w:b/>
                <w:sz w:val="20"/>
                <w:szCs w:val="20"/>
              </w:rPr>
            </w:pPr>
            <w:r w:rsidRPr="0035187E">
              <w:rPr>
                <w:rFonts w:ascii="Times New Roman" w:hAnsi="Times New Roman" w:cs="Times New Roman"/>
                <w:b/>
                <w:sz w:val="20"/>
                <w:szCs w:val="20"/>
              </w:rPr>
              <w:t>K důvodové zprávě nebo odůvodnění</w:t>
            </w:r>
          </w:p>
          <w:p w14:paraId="4A82678F" w14:textId="77777777" w:rsidR="000B4BD4" w:rsidRPr="0035187E" w:rsidRDefault="000B4BD4" w:rsidP="0035187E">
            <w:pPr>
              <w:keepNext/>
              <w:widowControl w:val="0"/>
              <w:tabs>
                <w:tab w:val="num" w:pos="567"/>
              </w:tabs>
              <w:jc w:val="both"/>
              <w:outlineLvl w:val="0"/>
              <w:rPr>
                <w:rFonts w:ascii="Times New Roman" w:hAnsi="Times New Roman" w:cs="Times New Roman"/>
                <w:sz w:val="20"/>
                <w:szCs w:val="20"/>
              </w:rPr>
            </w:pPr>
          </w:p>
          <w:p w14:paraId="127A83CB" w14:textId="2C996C6C" w:rsidR="000B4BD4" w:rsidRPr="0035187E" w:rsidRDefault="000B4BD4" w:rsidP="0035187E">
            <w:pPr>
              <w:pStyle w:val="Odstavecseseznamem"/>
              <w:keepNext/>
              <w:widowControl w:val="0"/>
              <w:numPr>
                <w:ilvl w:val="4"/>
                <w:numId w:val="29"/>
              </w:numPr>
              <w:tabs>
                <w:tab w:val="clear" w:pos="851"/>
                <w:tab w:val="num" w:pos="0"/>
                <w:tab w:val="num" w:pos="567"/>
              </w:tabs>
              <w:ind w:left="0" w:firstLine="0"/>
              <w:jc w:val="both"/>
              <w:outlineLvl w:val="0"/>
              <w:rPr>
                <w:rFonts w:ascii="Times New Roman" w:hAnsi="Times New Roman"/>
                <w:sz w:val="20"/>
                <w:szCs w:val="20"/>
              </w:rPr>
            </w:pPr>
            <w:r w:rsidRPr="0035187E">
              <w:rPr>
                <w:rFonts w:ascii="Times New Roman" w:hAnsi="Times New Roman"/>
                <w:sz w:val="20"/>
                <w:szCs w:val="20"/>
              </w:rPr>
              <w:t xml:space="preserve">Oddíl DPIA je třeba přepracovat a doplnit, aby odpovídal požadavkům čl. 35 odst. 7 a odst. 10 nařízení (EU) 2016/679 (GDPR).  </w:t>
            </w:r>
            <w:r w:rsidRPr="0035187E">
              <w:rPr>
                <w:rFonts w:ascii="Times New Roman" w:hAnsi="Times New Roman"/>
                <w:b/>
                <w:bCs/>
                <w:sz w:val="20"/>
                <w:szCs w:val="20"/>
              </w:rPr>
              <w:t>Tato připomínka je zásadní</w:t>
            </w:r>
            <w:r w:rsidRPr="0035187E">
              <w:rPr>
                <w:rFonts w:ascii="Times New Roman" w:hAnsi="Times New Roman"/>
                <w:sz w:val="20"/>
                <w:szCs w:val="20"/>
              </w:rPr>
              <w:t xml:space="preserve">. </w:t>
            </w:r>
          </w:p>
          <w:p w14:paraId="011ECF2D" w14:textId="77777777" w:rsidR="000B4BD4" w:rsidRPr="0035187E" w:rsidRDefault="000B4BD4" w:rsidP="0035187E">
            <w:pPr>
              <w:keepNext/>
              <w:numPr>
                <w:ilvl w:val="1"/>
                <w:numId w:val="0"/>
              </w:numPr>
              <w:ind w:hanging="567"/>
              <w:jc w:val="both"/>
              <w:outlineLvl w:val="1"/>
              <w:rPr>
                <w:rFonts w:ascii="Times New Roman" w:hAnsi="Times New Roman" w:cs="Times New Roman"/>
                <w:i/>
                <w:sz w:val="20"/>
                <w:szCs w:val="20"/>
              </w:rPr>
            </w:pPr>
          </w:p>
          <w:p w14:paraId="4A2A78FE" w14:textId="12BE4625" w:rsidR="000B4BD4" w:rsidRPr="0035187E" w:rsidRDefault="000B4BD4" w:rsidP="0035187E">
            <w:pPr>
              <w:numPr>
                <w:ilvl w:val="2"/>
                <w:numId w:val="0"/>
              </w:numPr>
              <w:jc w:val="both"/>
              <w:outlineLvl w:val="2"/>
              <w:rPr>
                <w:rFonts w:ascii="Times New Roman" w:hAnsi="Times New Roman" w:cs="Times New Roman"/>
                <w:i/>
                <w:sz w:val="20"/>
                <w:szCs w:val="20"/>
              </w:rPr>
            </w:pPr>
            <w:r w:rsidRPr="0035187E">
              <w:rPr>
                <w:rFonts w:ascii="Times New Roman" w:hAnsi="Times New Roman" w:cs="Times New Roman"/>
                <w:i/>
                <w:sz w:val="20"/>
                <w:szCs w:val="20"/>
              </w:rPr>
              <w:t>Odůvodnění:</w:t>
            </w:r>
          </w:p>
          <w:p w14:paraId="15FEAF51" w14:textId="2895A461" w:rsidR="000B4BD4" w:rsidRPr="0035187E" w:rsidRDefault="000B4BD4" w:rsidP="0035187E">
            <w:pPr>
              <w:numPr>
                <w:ilvl w:val="2"/>
                <w:numId w:val="0"/>
              </w:numPr>
              <w:jc w:val="both"/>
              <w:outlineLvl w:val="2"/>
              <w:rPr>
                <w:rFonts w:ascii="Times New Roman" w:hAnsi="Times New Roman" w:cs="Times New Roman"/>
                <w:i/>
                <w:sz w:val="20"/>
                <w:szCs w:val="20"/>
              </w:rPr>
            </w:pPr>
            <w:r w:rsidRPr="0035187E">
              <w:rPr>
                <w:rFonts w:ascii="Times New Roman" w:hAnsi="Times New Roman" w:cs="Times New Roman"/>
                <w:i/>
                <w:sz w:val="20"/>
                <w:szCs w:val="20"/>
              </w:rPr>
              <w:t>Stávající text oddílu je nutné tento dopracovat a zpřesnit v rovině nezbytnosti, proporcionality, rizik a záruk podle čl. 35 odst. 7 a odst. 10 GDPR o následující okruhy.</w:t>
            </w:r>
          </w:p>
          <w:p w14:paraId="0FCFD3CA" w14:textId="77777777" w:rsidR="000B4BD4" w:rsidRPr="0035187E" w:rsidRDefault="000B4BD4" w:rsidP="0035187E">
            <w:pPr>
              <w:numPr>
                <w:ilvl w:val="2"/>
                <w:numId w:val="0"/>
              </w:numPr>
              <w:jc w:val="both"/>
              <w:outlineLvl w:val="2"/>
              <w:rPr>
                <w:rFonts w:ascii="Times New Roman" w:hAnsi="Times New Roman" w:cs="Times New Roman"/>
                <w:i/>
                <w:sz w:val="20"/>
                <w:szCs w:val="20"/>
              </w:rPr>
            </w:pPr>
          </w:p>
          <w:p w14:paraId="66987238" w14:textId="77777777" w:rsidR="000B4BD4" w:rsidRPr="0035187E" w:rsidRDefault="000B4BD4" w:rsidP="0035187E">
            <w:pPr>
              <w:numPr>
                <w:ilvl w:val="2"/>
                <w:numId w:val="0"/>
              </w:numPr>
              <w:jc w:val="both"/>
              <w:outlineLvl w:val="2"/>
              <w:rPr>
                <w:rFonts w:ascii="Times New Roman" w:hAnsi="Times New Roman" w:cs="Times New Roman"/>
                <w:i/>
                <w:sz w:val="20"/>
                <w:szCs w:val="20"/>
              </w:rPr>
            </w:pPr>
            <w:r w:rsidRPr="0035187E">
              <w:rPr>
                <w:rFonts w:ascii="Times New Roman" w:hAnsi="Times New Roman" w:cs="Times New Roman"/>
                <w:i/>
                <w:sz w:val="20"/>
                <w:szCs w:val="20"/>
              </w:rPr>
              <w:t>a) přesnější popis operací zpracování a datových toků,</w:t>
            </w:r>
          </w:p>
          <w:p w14:paraId="0162B1BE" w14:textId="32FCA8DA" w:rsidR="000B4BD4" w:rsidRPr="0035187E" w:rsidRDefault="000B4BD4" w:rsidP="0035187E">
            <w:pPr>
              <w:keepNext/>
              <w:jc w:val="both"/>
              <w:outlineLvl w:val="1"/>
              <w:rPr>
                <w:rFonts w:ascii="Times New Roman" w:hAnsi="Times New Roman" w:cs="Times New Roman"/>
                <w:i/>
                <w:sz w:val="20"/>
                <w:szCs w:val="20"/>
              </w:rPr>
            </w:pPr>
            <w:r w:rsidRPr="0035187E">
              <w:rPr>
                <w:rFonts w:ascii="Times New Roman" w:hAnsi="Times New Roman" w:cs="Times New Roman"/>
                <w:i/>
                <w:sz w:val="20"/>
                <w:szCs w:val="20"/>
              </w:rPr>
              <w:lastRenderedPageBreak/>
              <w:t xml:space="preserve">Je třeba jasně popsat „cestu údajů“ od okamžiku, kdy podnikatel odešle údaj o tržbě, až po jeho uložení a další použití, tedy kdo údaje přijímá, kam se ukládají, kdo s nimi dále pracuje, komu se předávají a v jakých situacích. Současné znění dostatečně nepopisuje tok údajů od poplatníka přes datovou zprávu a certifikát, roli Finanční správy České republiky a Celní správy České republiky, okruh interních přístupů ani návaznost na další evidence a kontrolní mechanismy. </w:t>
            </w:r>
          </w:p>
          <w:p w14:paraId="21E67D14" w14:textId="77777777" w:rsidR="000B4BD4" w:rsidRPr="0035187E" w:rsidRDefault="000B4BD4" w:rsidP="0035187E">
            <w:pPr>
              <w:keepNext/>
              <w:jc w:val="both"/>
              <w:outlineLvl w:val="1"/>
              <w:rPr>
                <w:rFonts w:ascii="Times New Roman" w:hAnsi="Times New Roman" w:cs="Times New Roman"/>
                <w:i/>
                <w:sz w:val="20"/>
                <w:szCs w:val="20"/>
              </w:rPr>
            </w:pPr>
          </w:p>
          <w:p w14:paraId="4249644B" w14:textId="77777777" w:rsidR="000B4BD4" w:rsidRPr="0035187E" w:rsidRDefault="000B4BD4" w:rsidP="0035187E">
            <w:pPr>
              <w:numPr>
                <w:ilvl w:val="2"/>
                <w:numId w:val="0"/>
              </w:numPr>
              <w:jc w:val="both"/>
              <w:outlineLvl w:val="2"/>
              <w:rPr>
                <w:rFonts w:ascii="Times New Roman" w:hAnsi="Times New Roman" w:cs="Times New Roman"/>
                <w:i/>
                <w:sz w:val="20"/>
                <w:szCs w:val="20"/>
              </w:rPr>
            </w:pPr>
            <w:r w:rsidRPr="0035187E">
              <w:rPr>
                <w:rFonts w:ascii="Times New Roman" w:hAnsi="Times New Roman" w:cs="Times New Roman"/>
                <w:i/>
                <w:sz w:val="20"/>
                <w:szCs w:val="20"/>
              </w:rPr>
              <w:t>b) výslovné vyhodnocení návaznosti na zvláštní daňovou analytickou evidenci a další související zpracování,</w:t>
            </w:r>
          </w:p>
          <w:p w14:paraId="149979C6" w14:textId="22591F7D" w:rsidR="000B4BD4" w:rsidRPr="0035187E" w:rsidRDefault="000B4BD4" w:rsidP="0035187E">
            <w:pPr>
              <w:keepNext/>
              <w:jc w:val="both"/>
              <w:outlineLvl w:val="1"/>
              <w:rPr>
                <w:rFonts w:ascii="Times New Roman" w:hAnsi="Times New Roman" w:cs="Times New Roman"/>
                <w:i/>
                <w:sz w:val="20"/>
                <w:szCs w:val="20"/>
              </w:rPr>
            </w:pPr>
            <w:r w:rsidRPr="0035187E">
              <w:rPr>
                <w:rFonts w:ascii="Times New Roman" w:hAnsi="Times New Roman" w:cs="Times New Roman"/>
                <w:i/>
                <w:sz w:val="20"/>
                <w:szCs w:val="20"/>
              </w:rPr>
              <w:t>Nepostačuje uvést, že údaje budou chráněny přísnějším režimem. Je třeba vysvětlit, co to prakticky znamená, zda budou údaje z evidence tržeb jen bezpečně uloženy, nebo také dále analyticky využívány, s jakými dalšími daňovými údaji mohou být spojovány a kdo k nim bude mít přístup. (Důvodová zpráva by mělo otevřeně popsat, zda jde jen o „uložení“, nebo i o „další práci s daty“.)</w:t>
            </w:r>
          </w:p>
          <w:p w14:paraId="5019D33A" w14:textId="77777777" w:rsidR="000B4BD4" w:rsidRPr="0035187E" w:rsidRDefault="000B4BD4" w:rsidP="0035187E">
            <w:pPr>
              <w:keepNext/>
              <w:jc w:val="both"/>
              <w:outlineLvl w:val="1"/>
              <w:rPr>
                <w:rFonts w:ascii="Times New Roman" w:hAnsi="Times New Roman" w:cs="Times New Roman"/>
                <w:i/>
                <w:sz w:val="20"/>
                <w:szCs w:val="20"/>
              </w:rPr>
            </w:pPr>
          </w:p>
          <w:p w14:paraId="5EE16EC7" w14:textId="77777777" w:rsidR="000B4BD4" w:rsidRPr="0035187E" w:rsidRDefault="000B4BD4" w:rsidP="0035187E">
            <w:pPr>
              <w:numPr>
                <w:ilvl w:val="2"/>
                <w:numId w:val="0"/>
              </w:numPr>
              <w:jc w:val="both"/>
              <w:outlineLvl w:val="2"/>
              <w:rPr>
                <w:rFonts w:ascii="Times New Roman" w:hAnsi="Times New Roman" w:cs="Times New Roman"/>
                <w:i/>
                <w:sz w:val="20"/>
                <w:szCs w:val="20"/>
              </w:rPr>
            </w:pPr>
            <w:r w:rsidRPr="0035187E">
              <w:rPr>
                <w:rFonts w:ascii="Times New Roman" w:hAnsi="Times New Roman" w:cs="Times New Roman"/>
                <w:i/>
                <w:sz w:val="20"/>
                <w:szCs w:val="20"/>
              </w:rPr>
              <w:t>c) posouzení nezbytnosti jednotlivých kategorií osobních údajů a jejich rozsahu,</w:t>
            </w:r>
          </w:p>
          <w:p w14:paraId="0963BDEF" w14:textId="09C94997" w:rsidR="000B4BD4" w:rsidRPr="0035187E" w:rsidRDefault="000B4BD4" w:rsidP="0035187E">
            <w:pPr>
              <w:keepNext/>
              <w:jc w:val="both"/>
              <w:outlineLvl w:val="1"/>
              <w:rPr>
                <w:rFonts w:ascii="Times New Roman" w:hAnsi="Times New Roman" w:cs="Times New Roman"/>
                <w:i/>
                <w:sz w:val="20"/>
                <w:szCs w:val="20"/>
              </w:rPr>
            </w:pPr>
            <w:r w:rsidRPr="0035187E">
              <w:rPr>
                <w:rFonts w:ascii="Times New Roman" w:hAnsi="Times New Roman" w:cs="Times New Roman"/>
                <w:i/>
                <w:sz w:val="20"/>
                <w:szCs w:val="20"/>
              </w:rPr>
              <w:t>DPIA by mělo vyložit, proč stát potřebuje právě tyto údaje, a právě v tomto rozsahu. Nestačí vycházet z toho, že údaje souvisejí s evidovanou tržbou; je třeba doložit, že zvolený rozsah je nejmenší ještě účinný rozsah. To platí tím více, že podle § 18 návrhu jsou zasílány identifikátory poplatníka, evidenční jednotky a pokladního zařízení, datum a čas, částka a další transakční údaje, že podle § 19 odst. 2 může být evidenční identifikační číslo fyzické osoby tvořeno i rodným číslem, a že podle § 18 odst. 3 může správce daně určit a zveřejnit další údaje, které může poplatník zasílat. Právě možnost použití rodného čísla a otevřená formulace „</w:t>
            </w:r>
            <w:r w:rsidRPr="0035187E">
              <w:rPr>
                <w:rFonts w:ascii="Times New Roman" w:hAnsi="Times New Roman" w:cs="Times New Roman"/>
                <w:iCs/>
                <w:sz w:val="20"/>
                <w:szCs w:val="20"/>
              </w:rPr>
              <w:t>dalších údajů</w:t>
            </w:r>
            <w:r w:rsidRPr="0035187E">
              <w:rPr>
                <w:rFonts w:ascii="Times New Roman" w:hAnsi="Times New Roman" w:cs="Times New Roman"/>
                <w:i/>
                <w:sz w:val="20"/>
                <w:szCs w:val="20"/>
              </w:rPr>
              <w:t>“ zvyšují požadavky na test minimalizace a předvídatelnosti právní úpravy; z DPIA proto musí být zřejmé, proč návrh volí právě takové řešení, jaké má pojistky proti zbytečnému rozšiřování rozsahu údajů a proč by užší, šetrnější varianta nepostačovala.</w:t>
            </w:r>
          </w:p>
          <w:p w14:paraId="0A18E074" w14:textId="77777777" w:rsidR="000B4BD4" w:rsidRPr="0035187E" w:rsidRDefault="000B4BD4" w:rsidP="0035187E">
            <w:pPr>
              <w:keepNext/>
              <w:jc w:val="both"/>
              <w:outlineLvl w:val="1"/>
              <w:rPr>
                <w:rFonts w:ascii="Times New Roman" w:hAnsi="Times New Roman" w:cs="Times New Roman"/>
                <w:i/>
                <w:sz w:val="20"/>
                <w:szCs w:val="20"/>
              </w:rPr>
            </w:pPr>
          </w:p>
          <w:p w14:paraId="527A340B" w14:textId="77777777" w:rsidR="000B4BD4" w:rsidRPr="0035187E" w:rsidRDefault="000B4BD4" w:rsidP="0035187E">
            <w:pPr>
              <w:keepNext/>
              <w:jc w:val="both"/>
              <w:outlineLvl w:val="1"/>
              <w:rPr>
                <w:rFonts w:ascii="Times New Roman" w:hAnsi="Times New Roman" w:cs="Times New Roman"/>
                <w:i/>
                <w:sz w:val="20"/>
                <w:szCs w:val="20"/>
              </w:rPr>
            </w:pPr>
            <w:r w:rsidRPr="0035187E">
              <w:rPr>
                <w:rFonts w:ascii="Times New Roman" w:hAnsi="Times New Roman" w:cs="Times New Roman"/>
                <w:i/>
                <w:sz w:val="20"/>
                <w:szCs w:val="20"/>
              </w:rPr>
              <w:t>d) přesnější vymezení právního základu jednotlivých zpracování,</w:t>
            </w:r>
          </w:p>
          <w:p w14:paraId="352B6902" w14:textId="77677743" w:rsidR="000B4BD4" w:rsidRPr="0035187E" w:rsidRDefault="000B4BD4" w:rsidP="0035187E">
            <w:pPr>
              <w:numPr>
                <w:ilvl w:val="2"/>
                <w:numId w:val="0"/>
              </w:numPr>
              <w:jc w:val="both"/>
              <w:outlineLvl w:val="2"/>
              <w:rPr>
                <w:rFonts w:ascii="Times New Roman" w:hAnsi="Times New Roman" w:cs="Times New Roman"/>
                <w:i/>
                <w:sz w:val="20"/>
                <w:szCs w:val="20"/>
              </w:rPr>
            </w:pPr>
            <w:r w:rsidRPr="0035187E">
              <w:rPr>
                <w:rFonts w:ascii="Times New Roman" w:hAnsi="Times New Roman" w:cs="Times New Roman"/>
                <w:i/>
                <w:sz w:val="20"/>
                <w:szCs w:val="20"/>
              </w:rPr>
              <w:t>Důvodová zpráva uvádí, že právním titulem je „právní povinnost a výkon veřejné moci“, avšak v závěru se opírá již jen o čl. 6 odst. 1 písm. c) GDPR. Takové vyjádření je zjednodušené a právně nepřesné. U poplatníka lze uvažovat o splnění právní povinnosti, zatímco u správce daně a dalších veřejných orgánů jde typicky o zpracování nezbytné pro splnění úkolu prováděného ve veřejném zájmu nebo při výkonu veřejné moci podle čl. 6 odst. 1 písm. e) GDPR. DPIA by proto mělo tuto rovinu rozlišit a popsat přesněji.</w:t>
            </w:r>
          </w:p>
          <w:p w14:paraId="57573D39" w14:textId="77777777" w:rsidR="000B4BD4" w:rsidRPr="0035187E" w:rsidRDefault="000B4BD4" w:rsidP="0035187E">
            <w:pPr>
              <w:numPr>
                <w:ilvl w:val="2"/>
                <w:numId w:val="0"/>
              </w:numPr>
              <w:jc w:val="both"/>
              <w:outlineLvl w:val="2"/>
              <w:rPr>
                <w:rFonts w:ascii="Times New Roman" w:hAnsi="Times New Roman" w:cs="Times New Roman"/>
                <w:i/>
                <w:sz w:val="20"/>
                <w:szCs w:val="20"/>
              </w:rPr>
            </w:pPr>
          </w:p>
          <w:p w14:paraId="5D68317D" w14:textId="77777777" w:rsidR="000B4BD4" w:rsidRPr="0035187E" w:rsidRDefault="000B4BD4" w:rsidP="0035187E">
            <w:pPr>
              <w:keepNext/>
              <w:jc w:val="both"/>
              <w:outlineLvl w:val="1"/>
              <w:rPr>
                <w:rFonts w:ascii="Times New Roman" w:hAnsi="Times New Roman" w:cs="Times New Roman"/>
                <w:i/>
                <w:sz w:val="20"/>
                <w:szCs w:val="20"/>
              </w:rPr>
            </w:pPr>
            <w:r w:rsidRPr="0035187E">
              <w:rPr>
                <w:rFonts w:ascii="Times New Roman" w:hAnsi="Times New Roman" w:cs="Times New Roman"/>
                <w:i/>
                <w:sz w:val="20"/>
                <w:szCs w:val="20"/>
              </w:rPr>
              <w:t>e) konkrétnější vymezení retenčního režimu a pravidel přístupu k údajům,</w:t>
            </w:r>
          </w:p>
          <w:p w14:paraId="013F785B" w14:textId="77777777" w:rsidR="000B4BD4" w:rsidRPr="0035187E" w:rsidRDefault="000B4BD4" w:rsidP="0035187E">
            <w:pPr>
              <w:numPr>
                <w:ilvl w:val="2"/>
                <w:numId w:val="0"/>
              </w:numPr>
              <w:jc w:val="both"/>
              <w:outlineLvl w:val="2"/>
              <w:rPr>
                <w:rFonts w:ascii="Times New Roman" w:hAnsi="Times New Roman" w:cs="Times New Roman"/>
                <w:i/>
                <w:sz w:val="20"/>
                <w:szCs w:val="20"/>
              </w:rPr>
            </w:pPr>
            <w:r w:rsidRPr="0035187E">
              <w:rPr>
                <w:rFonts w:ascii="Times New Roman" w:hAnsi="Times New Roman" w:cs="Times New Roman"/>
                <w:i/>
                <w:sz w:val="20"/>
                <w:szCs w:val="20"/>
              </w:rPr>
              <w:t xml:space="preserve">Formulace, že údaje budou uchovávány po dobu jejich „potřebnosti“, je příliš obecná. DPIA by mělo vyložit, jak dlouho se budou údaje obvykle uchovávat, kdo do nich může nahlížet, podle jakých rolí nebo oprávnění a jak se pozná, že již další uchování není nutné. </w:t>
            </w:r>
          </w:p>
          <w:p w14:paraId="7AF8FCC4" w14:textId="77777777" w:rsidR="000B4BD4" w:rsidRPr="0035187E" w:rsidRDefault="000B4BD4" w:rsidP="0035187E">
            <w:pPr>
              <w:numPr>
                <w:ilvl w:val="2"/>
                <w:numId w:val="0"/>
              </w:numPr>
              <w:jc w:val="both"/>
              <w:outlineLvl w:val="2"/>
              <w:rPr>
                <w:rFonts w:ascii="Times New Roman" w:hAnsi="Times New Roman" w:cs="Times New Roman"/>
                <w:i/>
                <w:sz w:val="20"/>
                <w:szCs w:val="20"/>
              </w:rPr>
            </w:pPr>
            <w:r w:rsidRPr="0035187E">
              <w:rPr>
                <w:rFonts w:ascii="Times New Roman" w:hAnsi="Times New Roman" w:cs="Times New Roman"/>
                <w:i/>
                <w:sz w:val="20"/>
                <w:szCs w:val="20"/>
              </w:rPr>
              <w:t>e) Vyhodnocení rizik a zbývajících rizik po přijetí opatření</w:t>
            </w:r>
          </w:p>
          <w:p w14:paraId="3D05F6DF" w14:textId="77777777" w:rsidR="000B4BD4" w:rsidRPr="0035187E" w:rsidRDefault="000B4BD4" w:rsidP="0035187E">
            <w:pPr>
              <w:numPr>
                <w:ilvl w:val="2"/>
                <w:numId w:val="0"/>
              </w:numPr>
              <w:jc w:val="both"/>
              <w:outlineLvl w:val="2"/>
              <w:rPr>
                <w:rFonts w:ascii="Times New Roman" w:hAnsi="Times New Roman" w:cs="Times New Roman"/>
                <w:i/>
                <w:sz w:val="20"/>
                <w:szCs w:val="20"/>
              </w:rPr>
            </w:pPr>
            <w:r w:rsidRPr="0035187E">
              <w:rPr>
                <w:rFonts w:ascii="Times New Roman" w:hAnsi="Times New Roman" w:cs="Times New Roman"/>
                <w:i/>
                <w:sz w:val="20"/>
                <w:szCs w:val="20"/>
              </w:rPr>
              <w:lastRenderedPageBreak/>
              <w:t xml:space="preserve">DPIA by nemělo zůstat jen u obecného tvrzení, že orgány přijmou bezpečnostní opatření a že se uplatní právní úprava ochrany osobních údajů a informačních systémů veřejné správy. </w:t>
            </w:r>
          </w:p>
          <w:p w14:paraId="28DC9E35" w14:textId="48D4A586" w:rsidR="000B4BD4" w:rsidRPr="0035187E" w:rsidRDefault="000B4BD4" w:rsidP="0035187E">
            <w:pPr>
              <w:numPr>
                <w:ilvl w:val="2"/>
                <w:numId w:val="0"/>
              </w:numPr>
              <w:jc w:val="both"/>
              <w:outlineLvl w:val="2"/>
              <w:rPr>
                <w:rFonts w:ascii="Times New Roman" w:hAnsi="Times New Roman" w:cs="Times New Roman"/>
                <w:i/>
                <w:sz w:val="20"/>
                <w:szCs w:val="20"/>
              </w:rPr>
            </w:pPr>
            <w:r w:rsidRPr="0035187E">
              <w:rPr>
                <w:rFonts w:ascii="Times New Roman" w:hAnsi="Times New Roman" w:cs="Times New Roman"/>
                <w:i/>
                <w:sz w:val="20"/>
                <w:szCs w:val="20"/>
              </w:rPr>
              <w:t>Je třeba popsat hlavní konkrétní hrozby a uvést, jakými opatřeními budou tato rizika snížena. V daném případě je namístě výslovně vyhodnotit alespoň riziko zpětné identifikace fyzických osob podnikatelů a jejich provozních vzorců, riziko zneužití rodného čísla v evidenčním identifikačním čísle, riziko neoprávněného interního přístupu, riziko zneužití certifikátu, riziko chybného nebo nadměrného rozšíření datového rozsahu podle § 18 odst. 3 a také rizika plynoucí z kontrolních nákupů a z předávání údajů mezi Finanční správou České republiky a Celní správou České republiky. Současně je také uvést, jaká rizika zůstávají i po zavedení ochranných opatření.</w:t>
            </w:r>
          </w:p>
          <w:p w14:paraId="20DEDC26" w14:textId="77777777" w:rsidR="000B4BD4" w:rsidRPr="0035187E" w:rsidRDefault="000B4BD4" w:rsidP="0035187E">
            <w:pPr>
              <w:numPr>
                <w:ilvl w:val="2"/>
                <w:numId w:val="0"/>
              </w:numPr>
              <w:jc w:val="both"/>
              <w:outlineLvl w:val="2"/>
              <w:rPr>
                <w:rFonts w:ascii="Times New Roman" w:hAnsi="Times New Roman" w:cs="Times New Roman"/>
                <w:i/>
                <w:sz w:val="20"/>
                <w:szCs w:val="20"/>
              </w:rPr>
            </w:pPr>
          </w:p>
          <w:p w14:paraId="32AE1EE3" w14:textId="77777777" w:rsidR="000B4BD4" w:rsidRPr="0035187E" w:rsidRDefault="000B4BD4" w:rsidP="0035187E">
            <w:pPr>
              <w:numPr>
                <w:ilvl w:val="2"/>
                <w:numId w:val="0"/>
              </w:numPr>
              <w:jc w:val="both"/>
              <w:outlineLvl w:val="2"/>
              <w:rPr>
                <w:rFonts w:ascii="Times New Roman" w:hAnsi="Times New Roman" w:cs="Times New Roman"/>
                <w:i/>
                <w:sz w:val="20"/>
                <w:szCs w:val="20"/>
              </w:rPr>
            </w:pPr>
            <w:r w:rsidRPr="0035187E">
              <w:rPr>
                <w:rFonts w:ascii="Times New Roman" w:hAnsi="Times New Roman" w:cs="Times New Roman"/>
                <w:i/>
                <w:sz w:val="20"/>
                <w:szCs w:val="20"/>
              </w:rPr>
              <w:t>f)  závěr, zda po navržených opatřeních přetrvává vysoké riziko ve smyslu čl. 36 GDPR,</w:t>
            </w:r>
          </w:p>
          <w:p w14:paraId="49FA28D9" w14:textId="127012FB" w:rsidR="000B4BD4" w:rsidRPr="0035187E" w:rsidRDefault="000B4BD4" w:rsidP="0035187E">
            <w:pPr>
              <w:keepNext/>
              <w:widowControl w:val="0"/>
              <w:jc w:val="both"/>
              <w:outlineLvl w:val="0"/>
              <w:rPr>
                <w:rFonts w:ascii="Times New Roman" w:hAnsi="Times New Roman" w:cs="Times New Roman"/>
                <w:b/>
                <w:sz w:val="20"/>
                <w:szCs w:val="20"/>
              </w:rPr>
            </w:pPr>
            <w:r w:rsidRPr="0035187E">
              <w:rPr>
                <w:rFonts w:ascii="Times New Roman" w:hAnsi="Times New Roman" w:cs="Times New Roman"/>
                <w:sz w:val="20"/>
                <w:szCs w:val="20"/>
              </w:rPr>
              <w:t xml:space="preserve">Na závěr DPIA je žádoucí uvést, zda po započtení všech ochranných opatření zůstává pro subjekty údajů vysoké riziko. (Tj. uvést, zda jsou rizika již dostatečně zvládnuta, nebo zda by bylo namístě uvažovat o dalším postupu podle čl. 36 GDPR. Současný závěr je v tomto směru příliš obecný.) </w:t>
            </w:r>
          </w:p>
        </w:tc>
        <w:tc>
          <w:tcPr>
            <w:tcW w:w="1453" w:type="pct"/>
            <w:tcBorders>
              <w:top w:val="single" w:sz="4" w:space="0" w:color="auto"/>
              <w:left w:val="single" w:sz="4" w:space="0" w:color="auto"/>
              <w:right w:val="single" w:sz="4" w:space="0" w:color="auto"/>
            </w:tcBorders>
            <w:shd w:val="clear" w:color="auto" w:fill="auto"/>
          </w:tcPr>
          <w:p w14:paraId="6CC9D32E"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Vyhověno.</w:t>
            </w:r>
          </w:p>
          <w:p w14:paraId="7982B991" w14:textId="2E99388E"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r w:rsidR="00292478" w:rsidRPr="0035187E">
              <w:rPr>
                <w:rFonts w:ascii="Times New Roman" w:hAnsi="Times New Roman" w:cs="Times New Roman"/>
                <w:sz w:val="20"/>
                <w:szCs w:val="20"/>
              </w:rPr>
              <w:t>, a to i na základě repliky k zaslanému vypořádání připomínky.</w:t>
            </w:r>
          </w:p>
          <w:p w14:paraId="4B893BE6" w14:textId="77777777" w:rsidR="00D7629F" w:rsidRPr="0035187E" w:rsidRDefault="00D7629F" w:rsidP="0035187E">
            <w:pPr>
              <w:jc w:val="both"/>
              <w:rPr>
                <w:rFonts w:ascii="Times New Roman" w:hAnsi="Times New Roman" w:cs="Times New Roman"/>
                <w:sz w:val="20"/>
                <w:szCs w:val="20"/>
              </w:rPr>
            </w:pPr>
          </w:p>
          <w:p w14:paraId="457DB831" w14:textId="5342EA6F" w:rsidR="00D7629F" w:rsidRPr="0035187E" w:rsidRDefault="006C1474"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Vyjádření připomínkového místa po jednání dne 8. dubna 2026</w:t>
            </w:r>
            <w:r w:rsidR="00D7629F" w:rsidRPr="0035187E">
              <w:rPr>
                <w:rFonts w:ascii="Times New Roman" w:hAnsi="Times New Roman" w:cs="Times New Roman"/>
                <w:i/>
                <w:iCs/>
                <w:sz w:val="20"/>
                <w:szCs w:val="20"/>
              </w:rPr>
              <w:t>: souhlasí s vypořádáním připomínky.</w:t>
            </w:r>
          </w:p>
          <w:p w14:paraId="1CFDDF55" w14:textId="253372FC" w:rsidR="00905688" w:rsidRPr="0035187E" w:rsidRDefault="00905688" w:rsidP="0035187E">
            <w:pPr>
              <w:pStyle w:val="Nadpis5"/>
              <w:keepNext w:val="0"/>
              <w:keepLines w:val="0"/>
              <w:spacing w:before="0"/>
              <w:jc w:val="both"/>
              <w:rPr>
                <w:color w:val="auto"/>
              </w:rPr>
            </w:pPr>
          </w:p>
        </w:tc>
      </w:tr>
      <w:tr w:rsidR="0035187E" w:rsidRPr="0035187E" w14:paraId="73C21F2D"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695FE69" w14:textId="286F632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79.</w:t>
            </w:r>
          </w:p>
        </w:tc>
        <w:tc>
          <w:tcPr>
            <w:tcW w:w="583" w:type="pct"/>
            <w:tcBorders>
              <w:top w:val="single" w:sz="4" w:space="0" w:color="auto"/>
              <w:left w:val="single" w:sz="4" w:space="0" w:color="auto"/>
              <w:right w:val="single" w:sz="4" w:space="0" w:color="auto"/>
            </w:tcBorders>
            <w:shd w:val="clear" w:color="auto" w:fill="auto"/>
          </w:tcPr>
          <w:p w14:paraId="134DD013" w14:textId="543C362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Úřad pro ochranu osobních údajů</w:t>
            </w:r>
          </w:p>
        </w:tc>
        <w:tc>
          <w:tcPr>
            <w:tcW w:w="168" w:type="pct"/>
            <w:tcBorders>
              <w:top w:val="single" w:sz="4" w:space="0" w:color="auto"/>
              <w:left w:val="single" w:sz="4" w:space="0" w:color="auto"/>
              <w:right w:val="single" w:sz="4" w:space="0" w:color="auto"/>
            </w:tcBorders>
            <w:shd w:val="clear" w:color="auto" w:fill="auto"/>
          </w:tcPr>
          <w:p w14:paraId="2B3418C8" w14:textId="62AACAB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3.</w:t>
            </w:r>
          </w:p>
        </w:tc>
        <w:tc>
          <w:tcPr>
            <w:tcW w:w="169" w:type="pct"/>
            <w:tcBorders>
              <w:top w:val="single" w:sz="4" w:space="0" w:color="auto"/>
              <w:left w:val="single" w:sz="4" w:space="0" w:color="auto"/>
              <w:right w:val="single" w:sz="4" w:space="0" w:color="auto"/>
            </w:tcBorders>
            <w:shd w:val="clear" w:color="auto" w:fill="auto"/>
          </w:tcPr>
          <w:p w14:paraId="08A78D1F" w14:textId="4D306B6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F0337AE" w14:textId="77777777" w:rsidR="000B4BD4" w:rsidRPr="0035187E" w:rsidRDefault="000B4BD4" w:rsidP="0035187E">
            <w:pPr>
              <w:keepNext/>
              <w:jc w:val="both"/>
              <w:rPr>
                <w:rFonts w:ascii="Times New Roman" w:hAnsi="Times New Roman" w:cs="Times New Roman"/>
                <w:b/>
                <w:sz w:val="20"/>
                <w:szCs w:val="20"/>
              </w:rPr>
            </w:pPr>
            <w:r w:rsidRPr="0035187E">
              <w:rPr>
                <w:rFonts w:ascii="Times New Roman" w:hAnsi="Times New Roman" w:cs="Times New Roman"/>
                <w:b/>
                <w:sz w:val="20"/>
                <w:szCs w:val="20"/>
              </w:rPr>
              <w:t>K jednotlivým ustanovením</w:t>
            </w:r>
          </w:p>
          <w:p w14:paraId="4C9C9077" w14:textId="77777777" w:rsidR="000B4BD4" w:rsidRPr="0035187E" w:rsidRDefault="000B4BD4" w:rsidP="0035187E">
            <w:pPr>
              <w:keepNext/>
              <w:widowControl w:val="0"/>
              <w:tabs>
                <w:tab w:val="num" w:pos="567"/>
              </w:tabs>
              <w:jc w:val="both"/>
              <w:outlineLvl w:val="0"/>
              <w:rPr>
                <w:rFonts w:ascii="Times New Roman" w:hAnsi="Times New Roman" w:cs="Times New Roman"/>
                <w:sz w:val="20"/>
                <w:szCs w:val="20"/>
              </w:rPr>
            </w:pPr>
          </w:p>
          <w:p w14:paraId="597BD9E3" w14:textId="475AFAD3" w:rsidR="000B4BD4" w:rsidRPr="0035187E" w:rsidRDefault="000B4BD4" w:rsidP="0035187E">
            <w:pPr>
              <w:pStyle w:val="Odstavecseseznamem"/>
              <w:keepNext/>
              <w:widowControl w:val="0"/>
              <w:numPr>
                <w:ilvl w:val="4"/>
                <w:numId w:val="29"/>
              </w:numPr>
              <w:tabs>
                <w:tab w:val="clear" w:pos="851"/>
                <w:tab w:val="num" w:pos="-27"/>
                <w:tab w:val="num" w:pos="567"/>
              </w:tabs>
              <w:ind w:left="-27" w:firstLine="0"/>
              <w:jc w:val="both"/>
              <w:outlineLvl w:val="0"/>
              <w:rPr>
                <w:rFonts w:ascii="Times New Roman" w:hAnsi="Times New Roman"/>
                <w:sz w:val="20"/>
                <w:szCs w:val="20"/>
              </w:rPr>
            </w:pPr>
            <w:r w:rsidRPr="0035187E">
              <w:rPr>
                <w:rFonts w:ascii="Times New Roman" w:hAnsi="Times New Roman"/>
                <w:sz w:val="20"/>
                <w:szCs w:val="20"/>
              </w:rPr>
              <w:t xml:space="preserve">Paragraf 18 odst. 3 je zapotřebí zpřesnit tak, aby bylo zřejmé, jaký okruh dalších nepovinných údajů může správce daně určit a zveřejnit, za jakým účelem tak může učinit a jaké meze při tom musí respektovat. </w:t>
            </w:r>
            <w:r w:rsidRPr="0035187E">
              <w:rPr>
                <w:rFonts w:ascii="Times New Roman" w:hAnsi="Times New Roman"/>
                <w:b/>
                <w:bCs/>
                <w:sz w:val="20"/>
                <w:szCs w:val="20"/>
              </w:rPr>
              <w:t>Tato připomínka je zásadní</w:t>
            </w:r>
            <w:r w:rsidRPr="0035187E">
              <w:rPr>
                <w:rFonts w:ascii="Times New Roman" w:hAnsi="Times New Roman"/>
                <w:sz w:val="20"/>
                <w:szCs w:val="20"/>
              </w:rPr>
              <w:t xml:space="preserve">. </w:t>
            </w:r>
          </w:p>
          <w:p w14:paraId="7F62C4D5" w14:textId="77777777" w:rsidR="000B4BD4" w:rsidRPr="0035187E" w:rsidRDefault="000B4BD4" w:rsidP="0035187E">
            <w:pPr>
              <w:keepNext/>
              <w:numPr>
                <w:ilvl w:val="1"/>
                <w:numId w:val="0"/>
              </w:numPr>
              <w:ind w:hanging="567"/>
              <w:jc w:val="both"/>
              <w:outlineLvl w:val="1"/>
              <w:rPr>
                <w:rFonts w:ascii="Times New Roman" w:hAnsi="Times New Roman" w:cs="Times New Roman"/>
                <w:i/>
                <w:sz w:val="20"/>
                <w:szCs w:val="20"/>
              </w:rPr>
            </w:pPr>
          </w:p>
          <w:p w14:paraId="3F309833" w14:textId="55B6298A" w:rsidR="000B4BD4" w:rsidRPr="0035187E" w:rsidRDefault="000B4BD4" w:rsidP="0035187E">
            <w:pPr>
              <w:numPr>
                <w:ilvl w:val="2"/>
                <w:numId w:val="0"/>
              </w:numPr>
              <w:jc w:val="both"/>
              <w:outlineLvl w:val="2"/>
              <w:rPr>
                <w:rFonts w:ascii="Times New Roman" w:hAnsi="Times New Roman" w:cs="Times New Roman"/>
                <w:i/>
                <w:sz w:val="20"/>
                <w:szCs w:val="20"/>
              </w:rPr>
            </w:pPr>
            <w:r w:rsidRPr="0035187E">
              <w:rPr>
                <w:rFonts w:ascii="Times New Roman" w:hAnsi="Times New Roman" w:cs="Times New Roman"/>
                <w:i/>
                <w:sz w:val="20"/>
                <w:szCs w:val="20"/>
              </w:rPr>
              <w:t>Odůvodnění:</w:t>
            </w:r>
          </w:p>
          <w:p w14:paraId="0B262AC0" w14:textId="48647F55" w:rsidR="000B4BD4" w:rsidRPr="0035187E" w:rsidRDefault="000B4BD4" w:rsidP="0035187E">
            <w:pPr>
              <w:numPr>
                <w:ilvl w:val="2"/>
                <w:numId w:val="0"/>
              </w:numPr>
              <w:jc w:val="both"/>
              <w:outlineLvl w:val="2"/>
              <w:rPr>
                <w:rFonts w:ascii="Times New Roman" w:hAnsi="Times New Roman" w:cs="Times New Roman"/>
                <w:i/>
                <w:sz w:val="20"/>
                <w:szCs w:val="20"/>
              </w:rPr>
            </w:pPr>
            <w:r w:rsidRPr="0035187E">
              <w:rPr>
                <w:rFonts w:ascii="Times New Roman" w:hAnsi="Times New Roman" w:cs="Times New Roman"/>
                <w:i/>
                <w:sz w:val="20"/>
                <w:szCs w:val="20"/>
              </w:rPr>
              <w:t>Důvodová zpráva k § 18 odst. 3 uvádí, že § 18 odst. 3 umožňuje správci daně určit další fakultativní údaje nad rámec zákonného minima, a to nejen z důvodu kompatibility se starší technickou infrastrukturou, ale i pro účely tzv. horizontálního monitoringu, s nímž má být spojena vyšší míra důvěryhodnosti daňového subjektu a nižší kontrolní zátěž.</w:t>
            </w:r>
          </w:p>
          <w:p w14:paraId="5275B572" w14:textId="77777777" w:rsidR="000B4BD4" w:rsidRPr="0035187E" w:rsidRDefault="000B4BD4" w:rsidP="0035187E">
            <w:pPr>
              <w:numPr>
                <w:ilvl w:val="2"/>
                <w:numId w:val="0"/>
              </w:numPr>
              <w:jc w:val="both"/>
              <w:outlineLvl w:val="2"/>
              <w:rPr>
                <w:rFonts w:ascii="Times New Roman" w:hAnsi="Times New Roman" w:cs="Times New Roman"/>
                <w:i/>
                <w:sz w:val="20"/>
                <w:szCs w:val="20"/>
              </w:rPr>
            </w:pPr>
          </w:p>
          <w:p w14:paraId="5242B588" w14:textId="08BEC0E4" w:rsidR="000B4BD4" w:rsidRPr="0035187E" w:rsidRDefault="000B4BD4" w:rsidP="0035187E">
            <w:pPr>
              <w:numPr>
                <w:ilvl w:val="2"/>
                <w:numId w:val="0"/>
              </w:numPr>
              <w:jc w:val="both"/>
              <w:outlineLvl w:val="2"/>
              <w:rPr>
                <w:rFonts w:ascii="Times New Roman" w:hAnsi="Times New Roman" w:cs="Times New Roman"/>
                <w:i/>
                <w:sz w:val="20"/>
                <w:szCs w:val="20"/>
              </w:rPr>
            </w:pPr>
            <w:r w:rsidRPr="0035187E">
              <w:rPr>
                <w:rFonts w:ascii="Times New Roman" w:hAnsi="Times New Roman" w:cs="Times New Roman"/>
                <w:i/>
                <w:sz w:val="20"/>
                <w:szCs w:val="20"/>
              </w:rPr>
              <w:t>Takové zmocnění však ponechává správci daně příliš otevřený prostor pro faktické rozšiřování datového rozsahu, aniž jsou v zákoně nebo v důvodové zprávě dostatečně určeny druhy těchto údajů, jejich účel a meze jejich využití. Z pohledu legislativního DPIA přitom právě změny parametrů zpracování, rozšíření okruhu údajů, návaznost na další zpracování a s tím spojená rizika musí být výslovně posouzeny.</w:t>
            </w:r>
          </w:p>
          <w:p w14:paraId="18FAA294" w14:textId="77777777" w:rsidR="000B4BD4" w:rsidRPr="0035187E" w:rsidRDefault="000B4BD4" w:rsidP="0035187E">
            <w:pPr>
              <w:numPr>
                <w:ilvl w:val="2"/>
                <w:numId w:val="0"/>
              </w:numPr>
              <w:jc w:val="both"/>
              <w:outlineLvl w:val="2"/>
              <w:rPr>
                <w:rFonts w:ascii="Times New Roman" w:hAnsi="Times New Roman" w:cs="Times New Roman"/>
                <w:i/>
                <w:sz w:val="20"/>
                <w:szCs w:val="20"/>
              </w:rPr>
            </w:pPr>
          </w:p>
          <w:p w14:paraId="1EDD9749" w14:textId="1EA38F02" w:rsidR="000B4BD4" w:rsidRPr="0035187E" w:rsidRDefault="000B4BD4" w:rsidP="0035187E">
            <w:pPr>
              <w:numPr>
                <w:ilvl w:val="2"/>
                <w:numId w:val="0"/>
              </w:numPr>
              <w:jc w:val="both"/>
              <w:outlineLvl w:val="2"/>
              <w:rPr>
                <w:rFonts w:ascii="Times New Roman" w:hAnsi="Times New Roman" w:cs="Times New Roman"/>
                <w:b/>
                <w:sz w:val="20"/>
                <w:szCs w:val="20"/>
              </w:rPr>
            </w:pPr>
            <w:r w:rsidRPr="0035187E">
              <w:rPr>
                <w:rFonts w:ascii="Times New Roman" w:hAnsi="Times New Roman" w:cs="Times New Roman"/>
                <w:i/>
                <w:sz w:val="20"/>
                <w:szCs w:val="20"/>
              </w:rPr>
              <w:t>ÚOOÚ proto požaduje § 18 odst. 3 zpřesnit tak, aby bylo zřejmé, jaké další nepovinné údaje lze určit a zveřejnit, za jakým účelem tak lze učinit a jaké zákonné meze musí správce daně respektovat.</w:t>
            </w:r>
          </w:p>
        </w:tc>
        <w:tc>
          <w:tcPr>
            <w:tcW w:w="1453" w:type="pct"/>
            <w:tcBorders>
              <w:top w:val="single" w:sz="4" w:space="0" w:color="auto"/>
              <w:left w:val="single" w:sz="4" w:space="0" w:color="auto"/>
              <w:right w:val="single" w:sz="4" w:space="0" w:color="auto"/>
            </w:tcBorders>
            <w:shd w:val="clear" w:color="auto" w:fill="auto"/>
          </w:tcPr>
          <w:p w14:paraId="54CCBEB4" w14:textId="4D0C3A8C"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t>Vyhověno</w:t>
            </w:r>
            <w:r w:rsidR="003F5C64" w:rsidRPr="0035187E">
              <w:rPr>
                <w:rFonts w:ascii="Times New Roman" w:hAnsi="Times New Roman" w:cs="Times New Roman"/>
                <w:b/>
                <w:sz w:val="20"/>
                <w:szCs w:val="20"/>
              </w:rPr>
              <w:t xml:space="preserve"> jinak</w:t>
            </w:r>
            <w:r w:rsidRPr="0035187E">
              <w:rPr>
                <w:rFonts w:ascii="Times New Roman" w:hAnsi="Times New Roman" w:cs="Times New Roman"/>
                <w:b/>
                <w:sz w:val="20"/>
                <w:szCs w:val="20"/>
              </w:rPr>
              <w:t>.</w:t>
            </w:r>
          </w:p>
          <w:p w14:paraId="663E7C28" w14:textId="57D9D723"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Materiál byl upraven </w:t>
            </w:r>
            <w:r w:rsidR="003F5C64" w:rsidRPr="0035187E">
              <w:rPr>
                <w:rFonts w:ascii="Times New Roman" w:hAnsi="Times New Roman" w:cs="Times New Roman"/>
                <w:sz w:val="20"/>
                <w:szCs w:val="20"/>
              </w:rPr>
              <w:t>ve prospěch vypuštění odstavce 3 v § 18.</w:t>
            </w:r>
          </w:p>
          <w:p w14:paraId="2DEB39CC" w14:textId="77777777" w:rsidR="00D7629F" w:rsidRPr="0035187E" w:rsidRDefault="00D7629F" w:rsidP="0035187E">
            <w:pPr>
              <w:pStyle w:val="Nadpis5"/>
              <w:keepNext w:val="0"/>
              <w:keepLines w:val="0"/>
              <w:spacing w:before="0"/>
              <w:jc w:val="both"/>
              <w:rPr>
                <w:rFonts w:ascii="Times New Roman" w:hAnsi="Times New Roman" w:cs="Times New Roman"/>
                <w:i/>
                <w:iCs/>
                <w:color w:val="auto"/>
                <w:sz w:val="20"/>
                <w:szCs w:val="20"/>
              </w:rPr>
            </w:pPr>
          </w:p>
          <w:p w14:paraId="360187C3" w14:textId="34B09F1B" w:rsidR="000B4BD4" w:rsidRPr="0035187E" w:rsidRDefault="006C1474"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Vyjádření připomínkového místa po jednání dne 8. dubna 2026</w:t>
            </w:r>
            <w:r w:rsidR="00D7629F" w:rsidRPr="0035187E">
              <w:rPr>
                <w:rFonts w:ascii="Times New Roman" w:hAnsi="Times New Roman" w:cs="Times New Roman"/>
                <w:i/>
                <w:iCs/>
                <w:sz w:val="20"/>
                <w:szCs w:val="20"/>
              </w:rPr>
              <w:t>: souhlasí s vypořádáním připomínky.</w:t>
            </w:r>
          </w:p>
        </w:tc>
      </w:tr>
      <w:tr w:rsidR="0035187E" w:rsidRPr="0035187E" w14:paraId="207805ED"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9AF0E31" w14:textId="24F70FC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79.</w:t>
            </w:r>
          </w:p>
        </w:tc>
        <w:tc>
          <w:tcPr>
            <w:tcW w:w="583" w:type="pct"/>
            <w:tcBorders>
              <w:top w:val="single" w:sz="4" w:space="0" w:color="auto"/>
              <w:left w:val="single" w:sz="4" w:space="0" w:color="auto"/>
              <w:right w:val="single" w:sz="4" w:space="0" w:color="auto"/>
            </w:tcBorders>
            <w:shd w:val="clear" w:color="auto" w:fill="auto"/>
          </w:tcPr>
          <w:p w14:paraId="7BC05FEA" w14:textId="3524037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Úřad pro ochranu osobních údajů</w:t>
            </w:r>
          </w:p>
        </w:tc>
        <w:tc>
          <w:tcPr>
            <w:tcW w:w="168" w:type="pct"/>
            <w:tcBorders>
              <w:top w:val="single" w:sz="4" w:space="0" w:color="auto"/>
              <w:left w:val="single" w:sz="4" w:space="0" w:color="auto"/>
              <w:right w:val="single" w:sz="4" w:space="0" w:color="auto"/>
            </w:tcBorders>
            <w:shd w:val="clear" w:color="auto" w:fill="auto"/>
          </w:tcPr>
          <w:p w14:paraId="1E2C865A" w14:textId="02EF5A8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w:t>
            </w:r>
          </w:p>
        </w:tc>
        <w:tc>
          <w:tcPr>
            <w:tcW w:w="169" w:type="pct"/>
            <w:tcBorders>
              <w:top w:val="single" w:sz="4" w:space="0" w:color="auto"/>
              <w:left w:val="single" w:sz="4" w:space="0" w:color="auto"/>
              <w:right w:val="single" w:sz="4" w:space="0" w:color="auto"/>
            </w:tcBorders>
            <w:shd w:val="clear" w:color="auto" w:fill="auto"/>
          </w:tcPr>
          <w:p w14:paraId="2D2AE55E" w14:textId="3371653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3DE6C9F" w14:textId="77777777" w:rsidR="000B4BD4" w:rsidRPr="0035187E" w:rsidRDefault="000B4BD4" w:rsidP="0035187E">
            <w:pPr>
              <w:pStyle w:val="Odstavecseseznamem"/>
              <w:keepNext/>
              <w:widowControl w:val="0"/>
              <w:numPr>
                <w:ilvl w:val="4"/>
                <w:numId w:val="29"/>
              </w:numPr>
              <w:tabs>
                <w:tab w:val="clear" w:pos="851"/>
                <w:tab w:val="num" w:pos="-27"/>
                <w:tab w:val="num" w:pos="567"/>
              </w:tabs>
              <w:ind w:left="-27" w:firstLine="0"/>
              <w:jc w:val="both"/>
              <w:outlineLvl w:val="0"/>
              <w:rPr>
                <w:rFonts w:ascii="Times New Roman" w:hAnsi="Times New Roman"/>
                <w:sz w:val="20"/>
                <w:szCs w:val="20"/>
              </w:rPr>
            </w:pPr>
            <w:r w:rsidRPr="0035187E">
              <w:rPr>
                <w:rFonts w:ascii="Times New Roman" w:hAnsi="Times New Roman"/>
                <w:sz w:val="20"/>
                <w:szCs w:val="20"/>
              </w:rPr>
              <w:t xml:space="preserve">V § 19 odst. 2 je žádoucí přehodnotit konstrukci evidenčního identifikačního čísla fyzické osoby („EIČ“) tak, aby rodné číslo nebylo užíváno jako preferovaný či standardní </w:t>
            </w:r>
            <w:r w:rsidRPr="0035187E">
              <w:rPr>
                <w:rFonts w:ascii="Times New Roman" w:hAnsi="Times New Roman"/>
                <w:sz w:val="20"/>
                <w:szCs w:val="20"/>
              </w:rPr>
              <w:lastRenderedPageBreak/>
              <w:t xml:space="preserve">identifikátor, případně aby bylo jeho použití omezeno pouze na výjimečné, řádně odůvodněné situace. </w:t>
            </w:r>
            <w:r w:rsidRPr="0035187E">
              <w:rPr>
                <w:rFonts w:ascii="Times New Roman" w:hAnsi="Times New Roman"/>
                <w:b/>
                <w:bCs/>
                <w:sz w:val="20"/>
                <w:szCs w:val="20"/>
              </w:rPr>
              <w:t>Tato připomínka je zásadní</w:t>
            </w:r>
            <w:r w:rsidRPr="0035187E">
              <w:rPr>
                <w:rFonts w:ascii="Times New Roman" w:hAnsi="Times New Roman"/>
                <w:sz w:val="20"/>
                <w:szCs w:val="20"/>
              </w:rPr>
              <w:t>.</w:t>
            </w:r>
          </w:p>
          <w:p w14:paraId="66F9E999" w14:textId="77777777" w:rsidR="000B4BD4" w:rsidRPr="0035187E" w:rsidRDefault="000B4BD4" w:rsidP="0035187E">
            <w:pPr>
              <w:keepNext/>
              <w:numPr>
                <w:ilvl w:val="1"/>
                <w:numId w:val="0"/>
              </w:numPr>
              <w:ind w:hanging="567"/>
              <w:jc w:val="both"/>
              <w:outlineLvl w:val="1"/>
              <w:rPr>
                <w:rFonts w:ascii="Times New Roman" w:hAnsi="Times New Roman" w:cs="Times New Roman"/>
                <w:i/>
                <w:sz w:val="20"/>
                <w:szCs w:val="20"/>
              </w:rPr>
            </w:pPr>
          </w:p>
          <w:p w14:paraId="78023CD2" w14:textId="33298B75" w:rsidR="000B4BD4" w:rsidRPr="0035187E" w:rsidRDefault="000B4BD4" w:rsidP="0035187E">
            <w:pPr>
              <w:numPr>
                <w:ilvl w:val="2"/>
                <w:numId w:val="0"/>
              </w:numPr>
              <w:jc w:val="both"/>
              <w:outlineLvl w:val="2"/>
              <w:rPr>
                <w:rFonts w:ascii="Times New Roman" w:hAnsi="Times New Roman" w:cs="Times New Roman"/>
                <w:i/>
                <w:sz w:val="20"/>
                <w:szCs w:val="20"/>
              </w:rPr>
            </w:pPr>
            <w:r w:rsidRPr="0035187E">
              <w:rPr>
                <w:rFonts w:ascii="Times New Roman" w:hAnsi="Times New Roman" w:cs="Times New Roman"/>
                <w:i/>
                <w:sz w:val="20"/>
                <w:szCs w:val="20"/>
              </w:rPr>
              <w:t>Odůvodnění:</w:t>
            </w:r>
          </w:p>
          <w:p w14:paraId="1C838A9F" w14:textId="6EB38500" w:rsidR="000B4BD4" w:rsidRPr="0035187E" w:rsidRDefault="000B4BD4" w:rsidP="0035187E">
            <w:pPr>
              <w:numPr>
                <w:ilvl w:val="2"/>
                <w:numId w:val="0"/>
              </w:numPr>
              <w:jc w:val="both"/>
              <w:outlineLvl w:val="2"/>
              <w:rPr>
                <w:rFonts w:ascii="Times New Roman" w:hAnsi="Times New Roman" w:cs="Times New Roman"/>
                <w:i/>
                <w:sz w:val="20"/>
                <w:szCs w:val="20"/>
              </w:rPr>
            </w:pPr>
            <w:r w:rsidRPr="0035187E">
              <w:rPr>
                <w:rFonts w:ascii="Times New Roman" w:hAnsi="Times New Roman" w:cs="Times New Roman"/>
                <w:i/>
                <w:sz w:val="20"/>
                <w:szCs w:val="20"/>
              </w:rPr>
              <w:t xml:space="preserve">Důvodová zpráva uvádí, že po zrušení registrace k dani z příjmů fyzických osob bylo třeba nalézt univerzálnější identifikátor a současně zachovat technicky co nejpodobnější řešení dřívějšímu systému. Návrh však v § 19 odst. 2 staví u fyzických osob s rodným číslem právě rodné číslo do pozice standardního základu evidenčního identifikačního čísla, zatímco vlastní identifikátor správce daně ponechává spíše jako řešení doplňkové. Přitom důvodová zpráva sama argumentuje minimalizací zásahu do práv subjektů údajů a používáním identifikátoru správce daně namísto jiných osobních údajů. </w:t>
            </w:r>
          </w:p>
          <w:p w14:paraId="7D69A8C9" w14:textId="5BD7DB0C" w:rsidR="000B4BD4" w:rsidRPr="0035187E" w:rsidRDefault="000B4BD4" w:rsidP="0035187E">
            <w:pPr>
              <w:numPr>
                <w:ilvl w:val="2"/>
                <w:numId w:val="0"/>
              </w:numPr>
              <w:jc w:val="both"/>
              <w:outlineLvl w:val="2"/>
              <w:rPr>
                <w:rFonts w:ascii="Times New Roman" w:hAnsi="Times New Roman" w:cs="Times New Roman"/>
                <w:i/>
                <w:sz w:val="20"/>
                <w:szCs w:val="20"/>
              </w:rPr>
            </w:pPr>
            <w:r w:rsidRPr="0035187E">
              <w:rPr>
                <w:rFonts w:ascii="Times New Roman" w:hAnsi="Times New Roman" w:cs="Times New Roman"/>
                <w:i/>
                <w:sz w:val="20"/>
                <w:szCs w:val="20"/>
              </w:rPr>
              <w:t xml:space="preserve">Není dostatečně vysvětleno, proč výchozím řešením není použití právě vlastního identifikátoru od správce daně. </w:t>
            </w:r>
          </w:p>
          <w:p w14:paraId="02FB4982" w14:textId="77777777" w:rsidR="000B4BD4" w:rsidRPr="0035187E" w:rsidRDefault="000B4BD4" w:rsidP="0035187E">
            <w:pPr>
              <w:numPr>
                <w:ilvl w:val="2"/>
                <w:numId w:val="0"/>
              </w:numPr>
              <w:jc w:val="both"/>
              <w:outlineLvl w:val="2"/>
              <w:rPr>
                <w:rFonts w:ascii="Times New Roman" w:hAnsi="Times New Roman" w:cs="Times New Roman"/>
                <w:i/>
                <w:sz w:val="20"/>
                <w:szCs w:val="20"/>
              </w:rPr>
            </w:pPr>
          </w:p>
          <w:p w14:paraId="597D1B9B" w14:textId="7D3FB426" w:rsidR="000B4BD4" w:rsidRPr="0035187E" w:rsidRDefault="000B4BD4" w:rsidP="0035187E">
            <w:pPr>
              <w:numPr>
                <w:ilvl w:val="2"/>
                <w:numId w:val="0"/>
              </w:numPr>
              <w:jc w:val="both"/>
              <w:outlineLvl w:val="2"/>
              <w:rPr>
                <w:rFonts w:ascii="Times New Roman" w:hAnsi="Times New Roman" w:cs="Times New Roman"/>
                <w:i/>
                <w:sz w:val="20"/>
                <w:szCs w:val="20"/>
              </w:rPr>
            </w:pPr>
            <w:r w:rsidRPr="0035187E">
              <w:rPr>
                <w:rFonts w:ascii="Times New Roman" w:hAnsi="Times New Roman" w:cs="Times New Roman"/>
                <w:i/>
                <w:sz w:val="20"/>
                <w:szCs w:val="20"/>
              </w:rPr>
              <w:t xml:space="preserve">Rovněž je třeba zohlednit, že dlouhodobým trendem veřejné správy a digitální identifikace je omezování užití rodného čísla jako univerzálního identifikátoru a jeho nahrazování identifikátory účelově či </w:t>
            </w:r>
            <w:proofErr w:type="spellStart"/>
            <w:r w:rsidRPr="0035187E">
              <w:rPr>
                <w:rFonts w:ascii="Times New Roman" w:hAnsi="Times New Roman" w:cs="Times New Roman"/>
                <w:i/>
                <w:sz w:val="20"/>
                <w:szCs w:val="20"/>
              </w:rPr>
              <w:t>agendově</w:t>
            </w:r>
            <w:proofErr w:type="spellEnd"/>
            <w:r w:rsidRPr="0035187E">
              <w:rPr>
                <w:rFonts w:ascii="Times New Roman" w:hAnsi="Times New Roman" w:cs="Times New Roman"/>
                <w:i/>
                <w:sz w:val="20"/>
                <w:szCs w:val="20"/>
              </w:rPr>
              <w:t xml:space="preserve"> vázanými. ÚOOÚ konstatuje, v rámci systému základních registrů byl jednotný a neměnný identifikační údaj – rodné číslo – nahrazen zdrojovým identifikátorem fyzické osoby a agendovými identifikátory fyzické osoby právě za účelem omezení nekontrolovatelného propojování osobních údajů.  V tomto kontextu se proto jeví jako systematičtější a šetrnější, aby byl u fyzických osob bez daňového identifikačního čísla jako pravidlo upřednostněn vlastní identifikátor správce daně, zatímco použití rodného čísla by přicházelo v úvahu jen výjimečně a při splnění předem vymezených podmínek. </w:t>
            </w:r>
          </w:p>
          <w:p w14:paraId="0FEF114B" w14:textId="77777777" w:rsidR="000B4BD4" w:rsidRPr="0035187E" w:rsidRDefault="000B4BD4" w:rsidP="0035187E">
            <w:pPr>
              <w:numPr>
                <w:ilvl w:val="2"/>
                <w:numId w:val="0"/>
              </w:numPr>
              <w:jc w:val="both"/>
              <w:outlineLvl w:val="2"/>
              <w:rPr>
                <w:rFonts w:ascii="Times New Roman" w:hAnsi="Times New Roman" w:cs="Times New Roman"/>
                <w:i/>
                <w:sz w:val="20"/>
                <w:szCs w:val="20"/>
              </w:rPr>
            </w:pPr>
          </w:p>
          <w:p w14:paraId="61AE033D" w14:textId="69BAD6BC" w:rsidR="000B4BD4" w:rsidRPr="0035187E" w:rsidRDefault="000B4BD4" w:rsidP="0035187E">
            <w:pPr>
              <w:numPr>
                <w:ilvl w:val="2"/>
                <w:numId w:val="0"/>
              </w:numPr>
              <w:jc w:val="both"/>
              <w:outlineLvl w:val="2"/>
              <w:rPr>
                <w:rFonts w:ascii="Times New Roman" w:hAnsi="Times New Roman" w:cs="Times New Roman"/>
                <w:b/>
                <w:sz w:val="20"/>
                <w:szCs w:val="20"/>
              </w:rPr>
            </w:pPr>
            <w:r w:rsidRPr="0035187E">
              <w:rPr>
                <w:rFonts w:ascii="Times New Roman" w:hAnsi="Times New Roman" w:cs="Times New Roman"/>
                <w:i/>
                <w:sz w:val="20"/>
                <w:szCs w:val="20"/>
              </w:rPr>
              <w:t xml:space="preserve">ÚOOÚ proto požaduje § 19 odst. 2 upravit tak, aby rodné číslo nebylo preferovaným či standardním identifikátorem, popřípadě aby bylo jeho použití omezeno pouze na výjimečné a řádně odůvodněné situace. </w:t>
            </w:r>
          </w:p>
        </w:tc>
        <w:tc>
          <w:tcPr>
            <w:tcW w:w="1453" w:type="pct"/>
            <w:tcBorders>
              <w:top w:val="single" w:sz="4" w:space="0" w:color="auto"/>
              <w:left w:val="single" w:sz="4" w:space="0" w:color="auto"/>
              <w:right w:val="single" w:sz="4" w:space="0" w:color="auto"/>
            </w:tcBorders>
            <w:shd w:val="clear" w:color="auto" w:fill="auto"/>
          </w:tcPr>
          <w:p w14:paraId="6BD19D1F" w14:textId="3250C6CF"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Nevyhověno.</w:t>
            </w:r>
            <w:r w:rsidR="00CF5CEC" w:rsidRPr="0035187E">
              <w:rPr>
                <w:rFonts w:ascii="Times New Roman" w:hAnsi="Times New Roman" w:cs="Times New Roman"/>
                <w:b/>
                <w:sz w:val="20"/>
                <w:szCs w:val="20"/>
              </w:rPr>
              <w:t xml:space="preserve"> ROZPOR</w:t>
            </w:r>
          </w:p>
          <w:p w14:paraId="1080AB9D"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Evidenční číslo poplatníka je záměrně konstruováno tak, aby nemuselo dojít k jeho změně v případě, kdy se daný poplatník stane registrovaným daňovým subjektem (typicky plátcem daně z přidané hodnoty). </w:t>
            </w:r>
            <w:r w:rsidRPr="0035187E">
              <w:rPr>
                <w:rFonts w:ascii="Times New Roman" w:hAnsi="Times New Roman" w:cs="Times New Roman"/>
                <w:sz w:val="20"/>
                <w:szCs w:val="20"/>
              </w:rPr>
              <w:lastRenderedPageBreak/>
              <w:t xml:space="preserve">Pak mu je přiděleno </w:t>
            </w:r>
            <w:proofErr w:type="gramStart"/>
            <w:r w:rsidRPr="0035187E">
              <w:rPr>
                <w:rFonts w:ascii="Times New Roman" w:hAnsi="Times New Roman" w:cs="Times New Roman"/>
                <w:sz w:val="20"/>
                <w:szCs w:val="20"/>
              </w:rPr>
              <w:t>DIČ</w:t>
            </w:r>
            <w:proofErr w:type="gramEnd"/>
            <w:r w:rsidRPr="0035187E">
              <w:rPr>
                <w:rFonts w:ascii="Times New Roman" w:hAnsi="Times New Roman" w:cs="Times New Roman"/>
                <w:sz w:val="20"/>
                <w:szCs w:val="20"/>
              </w:rPr>
              <w:t xml:space="preserve"> a to je konstruováno tak, že prioritně se použije rodné číslo (viz § 130 daňového řádu). Řešení je tedy zvoleno tak, aby maximálně šetřilo administrativní náklady poplatníků.</w:t>
            </w:r>
          </w:p>
          <w:p w14:paraId="05FBF55A"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Současně je možné zdůraznit, že Evidenční číslo poplatníka využívá pouze samotný poplatník při technické komunikaci se správcem daně. Dané číslo tak nebude (na rozdíl od DIČ) využíváno navenek.</w:t>
            </w:r>
          </w:p>
          <w:p w14:paraId="5A0EE3C6" w14:textId="77777777" w:rsidR="00905688" w:rsidRPr="0035187E" w:rsidRDefault="00905688" w:rsidP="0035187E">
            <w:pPr>
              <w:jc w:val="both"/>
              <w:rPr>
                <w:rFonts w:ascii="Times New Roman" w:hAnsi="Times New Roman" w:cs="Times New Roman"/>
                <w:sz w:val="20"/>
                <w:szCs w:val="20"/>
              </w:rPr>
            </w:pPr>
          </w:p>
          <w:p w14:paraId="08450876" w14:textId="49FBF45A" w:rsidR="00905688" w:rsidRPr="0035187E" w:rsidRDefault="00CF5CEC" w:rsidP="0035187E">
            <w:pPr>
              <w:pStyle w:val="Nadpis5"/>
              <w:spacing w:before="0"/>
              <w:jc w:val="both"/>
              <w:rPr>
                <w:rFonts w:ascii="Times New Roman" w:hAnsi="Times New Roman" w:cs="Times New Roman"/>
                <w:i/>
                <w:iCs/>
                <w:color w:val="auto"/>
                <w:sz w:val="20"/>
                <w:szCs w:val="20"/>
              </w:rPr>
            </w:pPr>
            <w:r w:rsidRPr="0035187E">
              <w:rPr>
                <w:rFonts w:ascii="Times New Roman" w:hAnsi="Times New Roman" w:cs="Times New Roman"/>
                <w:i/>
                <w:iCs/>
                <w:color w:val="auto"/>
                <w:sz w:val="20"/>
                <w:szCs w:val="20"/>
              </w:rPr>
              <w:t xml:space="preserve">Vyjádření připomínkového </w:t>
            </w:r>
            <w:r w:rsidR="00C40383" w:rsidRPr="0035187E">
              <w:rPr>
                <w:rFonts w:ascii="Times New Roman" w:hAnsi="Times New Roman" w:cs="Times New Roman"/>
                <w:i/>
                <w:iCs/>
                <w:color w:val="auto"/>
                <w:sz w:val="20"/>
                <w:szCs w:val="20"/>
              </w:rPr>
              <w:t>místa</w:t>
            </w:r>
            <w:r w:rsidRPr="0035187E">
              <w:rPr>
                <w:rFonts w:ascii="Times New Roman" w:hAnsi="Times New Roman" w:cs="Times New Roman"/>
                <w:i/>
                <w:iCs/>
                <w:color w:val="auto"/>
                <w:sz w:val="20"/>
                <w:szCs w:val="20"/>
              </w:rPr>
              <w:t xml:space="preserve"> k písemnému vypořádání</w:t>
            </w:r>
            <w:r w:rsidR="00C40383" w:rsidRPr="0035187E">
              <w:rPr>
                <w:rFonts w:ascii="Times New Roman" w:hAnsi="Times New Roman" w:cs="Times New Roman"/>
                <w:i/>
                <w:iCs/>
                <w:color w:val="auto"/>
                <w:sz w:val="20"/>
                <w:szCs w:val="20"/>
              </w:rPr>
              <w:t xml:space="preserve">: </w:t>
            </w:r>
            <w:r w:rsidR="00905688" w:rsidRPr="0035187E">
              <w:rPr>
                <w:rFonts w:ascii="Times New Roman" w:hAnsi="Times New Roman" w:cs="Times New Roman"/>
                <w:i/>
                <w:iCs/>
                <w:color w:val="auto"/>
                <w:sz w:val="20"/>
                <w:szCs w:val="20"/>
              </w:rPr>
              <w:t xml:space="preserve">Trvá na připomínce. </w:t>
            </w:r>
          </w:p>
          <w:p w14:paraId="5B624F10" w14:textId="77777777" w:rsidR="00905688" w:rsidRPr="0035187E" w:rsidRDefault="00905688" w:rsidP="0035187E">
            <w:pPr>
              <w:pStyle w:val="Nadpis1"/>
              <w:jc w:val="both"/>
              <w:rPr>
                <w:rFonts w:ascii="Times New Roman" w:hAnsi="Times New Roman" w:cs="Times New Roman"/>
                <w:b w:val="0"/>
                <w:bCs w:val="0"/>
                <w:i/>
                <w:iCs/>
                <w:sz w:val="20"/>
                <w:szCs w:val="20"/>
              </w:rPr>
            </w:pPr>
            <w:r w:rsidRPr="0035187E">
              <w:rPr>
                <w:rFonts w:ascii="Times New Roman" w:hAnsi="Times New Roman" w:cs="Times New Roman"/>
                <w:b w:val="0"/>
                <w:bCs w:val="0"/>
                <w:i/>
                <w:iCs/>
                <w:sz w:val="20"/>
                <w:szCs w:val="20"/>
              </w:rPr>
              <w:t xml:space="preserve">Připomínka UOOU nesměřovala ke změně struktury DIČ, nýbrž k tomu, aby EIČ jako nový identifikátor specifický pro systém EET bylo primárně tvořeno nevýznamovým identifikátorem správce daně. </w:t>
            </w:r>
          </w:p>
          <w:p w14:paraId="657FFB7E" w14:textId="77777777" w:rsidR="00905688" w:rsidRPr="0035187E" w:rsidRDefault="00905688" w:rsidP="0035187E">
            <w:pPr>
              <w:pStyle w:val="Nadpis1"/>
              <w:jc w:val="both"/>
              <w:rPr>
                <w:rFonts w:ascii="Times New Roman" w:hAnsi="Times New Roman" w:cs="Times New Roman"/>
                <w:b w:val="0"/>
                <w:bCs w:val="0"/>
                <w:i/>
                <w:iCs/>
                <w:sz w:val="20"/>
                <w:szCs w:val="20"/>
              </w:rPr>
            </w:pPr>
            <w:r w:rsidRPr="0035187E">
              <w:rPr>
                <w:rFonts w:ascii="Times New Roman" w:hAnsi="Times New Roman" w:cs="Times New Roman"/>
                <w:b w:val="0"/>
                <w:bCs w:val="0"/>
                <w:i/>
                <w:iCs/>
                <w:sz w:val="20"/>
                <w:szCs w:val="20"/>
              </w:rPr>
              <w:t>Pokud jde o argument „interního“ použití, UOOU upozorňuje, že zásada minimalizace dat dle čl. 5 odst. 1 písm. c) GDPR se vztahuje na veškeré zpracování, tedy i na interní, nikoli pouze na zveřejňování. Skutečnost, že se rodné číslo nebude tisknout na účtenku, neeliminuje rizika interního propojování, neoprávněného přístupu či dopadů případného bezpečnostního incidentu při analytickém využití dat.</w:t>
            </w:r>
          </w:p>
          <w:p w14:paraId="79DFF313" w14:textId="77777777" w:rsidR="00905688" w:rsidRPr="0035187E" w:rsidRDefault="00905688" w:rsidP="0035187E">
            <w:pPr>
              <w:pStyle w:val="Nadpis1"/>
              <w:jc w:val="both"/>
              <w:rPr>
                <w:rFonts w:ascii="Times New Roman" w:hAnsi="Times New Roman" w:cs="Times New Roman"/>
                <w:b w:val="0"/>
                <w:bCs w:val="0"/>
                <w:i/>
                <w:iCs/>
                <w:sz w:val="20"/>
                <w:szCs w:val="20"/>
              </w:rPr>
            </w:pPr>
            <w:r w:rsidRPr="0035187E">
              <w:rPr>
                <w:rFonts w:ascii="Times New Roman" w:hAnsi="Times New Roman" w:cs="Times New Roman"/>
                <w:b w:val="0"/>
                <w:bCs w:val="0"/>
                <w:i/>
                <w:iCs/>
                <w:sz w:val="20"/>
                <w:szCs w:val="20"/>
              </w:rPr>
              <w:t xml:space="preserve">Zavedení zdrojových identifikátorů fyzické osoby a agendových identifikátorů fyzické osoby v systému základních registrů sledovalo právě cíl omezit nekontrolovatelné propojování osobních údajů prostřednictvím univerzálního identifikátoru – rodného čísla. Návrh se tomuto trendu bez dostatečného zdůvodnění vzdaluje. </w:t>
            </w:r>
          </w:p>
          <w:p w14:paraId="1F7D2C18" w14:textId="77777777" w:rsidR="00905688" w:rsidRPr="0035187E" w:rsidRDefault="00905688" w:rsidP="0035187E">
            <w:pPr>
              <w:pStyle w:val="Nadpis1"/>
              <w:jc w:val="both"/>
              <w:rPr>
                <w:rFonts w:ascii="Times New Roman" w:hAnsi="Times New Roman" w:cs="Times New Roman"/>
                <w:b w:val="0"/>
                <w:bCs w:val="0"/>
                <w:i/>
                <w:iCs/>
                <w:sz w:val="20"/>
                <w:szCs w:val="20"/>
              </w:rPr>
            </w:pPr>
            <w:r w:rsidRPr="0035187E">
              <w:rPr>
                <w:rFonts w:ascii="Times New Roman" w:hAnsi="Times New Roman" w:cs="Times New Roman"/>
                <w:b w:val="0"/>
                <w:bCs w:val="0"/>
                <w:i/>
                <w:iCs/>
                <w:sz w:val="20"/>
                <w:szCs w:val="20"/>
              </w:rPr>
              <w:t xml:space="preserve">Z hlediska ochrany osobních údajů je zapotřebí § 19 koncepčně změnit v tom smyslu, aby vlastní identifikátor správce daně byl u FO bez DIČ primární a rodné číslo bylo jen subsidiárně (na žádost). Např. </w:t>
            </w:r>
          </w:p>
          <w:p w14:paraId="201168DE" w14:textId="77777777" w:rsidR="00905688" w:rsidRPr="0035187E" w:rsidRDefault="00905688" w:rsidP="0035187E">
            <w:pPr>
              <w:pStyle w:val="Nadpis1"/>
              <w:jc w:val="both"/>
              <w:rPr>
                <w:rFonts w:ascii="Times New Roman" w:hAnsi="Times New Roman" w:cs="Times New Roman"/>
                <w:b w:val="0"/>
                <w:bCs w:val="0"/>
                <w:i/>
                <w:iCs/>
                <w:sz w:val="20"/>
                <w:szCs w:val="20"/>
              </w:rPr>
            </w:pPr>
            <w:r w:rsidRPr="0035187E">
              <w:rPr>
                <w:rFonts w:ascii="Times New Roman" w:hAnsi="Times New Roman" w:cs="Times New Roman"/>
                <w:b w:val="0"/>
                <w:bCs w:val="0"/>
                <w:i/>
                <w:iCs/>
                <w:sz w:val="20"/>
                <w:szCs w:val="20"/>
              </w:rPr>
              <w:t xml:space="preserve">(1) </w:t>
            </w:r>
            <w:r w:rsidRPr="0035187E">
              <w:rPr>
                <w:rFonts w:ascii="Times New Roman" w:hAnsi="Times New Roman" w:cs="Times New Roman"/>
                <w:b w:val="0"/>
                <w:bCs w:val="0"/>
                <w:i/>
                <w:iCs/>
                <w:sz w:val="20"/>
                <w:szCs w:val="20"/>
              </w:rPr>
              <w:tab/>
              <w:t xml:space="preserve">Bylo-li poplatníkovi, který je fyzickou osobou, určeno evidenční identifikační číslo podle odstavce 2, používá se pro účely tohoto zákona i poté, co je poplatníkovi přiděleno daňové identifikační číslo. </w:t>
            </w:r>
          </w:p>
          <w:p w14:paraId="56F0BF73" w14:textId="77777777" w:rsidR="00905688" w:rsidRPr="0035187E" w:rsidRDefault="00905688" w:rsidP="0035187E">
            <w:pPr>
              <w:pStyle w:val="Nadpis4"/>
              <w:spacing w:before="0"/>
              <w:jc w:val="both"/>
              <w:rPr>
                <w:rFonts w:ascii="Times New Roman" w:hAnsi="Times New Roman" w:cs="Times New Roman"/>
                <w:color w:val="auto"/>
                <w:sz w:val="20"/>
                <w:szCs w:val="20"/>
              </w:rPr>
            </w:pPr>
            <w:r w:rsidRPr="0035187E">
              <w:rPr>
                <w:rFonts w:ascii="Times New Roman" w:hAnsi="Times New Roman" w:cs="Times New Roman"/>
                <w:color w:val="auto"/>
                <w:sz w:val="20"/>
                <w:szCs w:val="20"/>
              </w:rPr>
              <w:t xml:space="preserve">(Tím by se v odst. 1 zajistila kontinuita – pokud byla fyzické osobě bez DIČ přidělena identifikace podle odstavce 2 („CZ + vlastní identifikátor“) může se pro </w:t>
            </w:r>
            <w:r w:rsidRPr="0035187E">
              <w:rPr>
                <w:rFonts w:ascii="Times New Roman" w:hAnsi="Times New Roman" w:cs="Times New Roman"/>
                <w:color w:val="auto"/>
                <w:sz w:val="20"/>
                <w:szCs w:val="20"/>
              </w:rPr>
              <w:lastRenderedPageBreak/>
              <w:t>účely EET používat dál i po přidělení DIČ a identifikátor by se nemusel měnit.)</w:t>
            </w:r>
          </w:p>
          <w:p w14:paraId="6CED7E75" w14:textId="77777777" w:rsidR="00905688" w:rsidRPr="0035187E" w:rsidRDefault="00905688" w:rsidP="0035187E">
            <w:pPr>
              <w:pStyle w:val="Nadpis1"/>
              <w:jc w:val="both"/>
              <w:rPr>
                <w:rFonts w:ascii="Times New Roman" w:hAnsi="Times New Roman" w:cs="Times New Roman"/>
                <w:b w:val="0"/>
                <w:bCs w:val="0"/>
                <w:i/>
                <w:iCs/>
                <w:sz w:val="20"/>
                <w:szCs w:val="20"/>
              </w:rPr>
            </w:pPr>
            <w:r w:rsidRPr="0035187E">
              <w:rPr>
                <w:rFonts w:ascii="Times New Roman" w:hAnsi="Times New Roman" w:cs="Times New Roman"/>
                <w:b w:val="0"/>
                <w:bCs w:val="0"/>
                <w:i/>
                <w:iCs/>
                <w:sz w:val="20"/>
                <w:szCs w:val="20"/>
              </w:rPr>
              <w:t xml:space="preserve">(2) </w:t>
            </w:r>
            <w:r w:rsidRPr="0035187E">
              <w:rPr>
                <w:rFonts w:ascii="Times New Roman" w:hAnsi="Times New Roman" w:cs="Times New Roman"/>
                <w:b w:val="0"/>
                <w:bCs w:val="0"/>
                <w:i/>
                <w:iCs/>
                <w:sz w:val="20"/>
                <w:szCs w:val="20"/>
              </w:rPr>
              <w:tab/>
              <w:t xml:space="preserve">Nebylo-li poplatníkovi, který je fyzickou osobou, správcem daně přiděleno daňové identifikační číslo, je evidenční identifikační číslo tvořeno kódem „CZ“ následovaným kmenovou částí, kterou tvoří </w:t>
            </w:r>
          </w:p>
          <w:p w14:paraId="6E194CFB" w14:textId="77777777" w:rsidR="00905688" w:rsidRPr="0035187E" w:rsidRDefault="00905688" w:rsidP="0035187E">
            <w:pPr>
              <w:pStyle w:val="Nadpis1"/>
              <w:jc w:val="both"/>
              <w:rPr>
                <w:rFonts w:ascii="Times New Roman" w:hAnsi="Times New Roman" w:cs="Times New Roman"/>
                <w:b w:val="0"/>
                <w:bCs w:val="0"/>
                <w:i/>
                <w:iCs/>
                <w:sz w:val="20"/>
                <w:szCs w:val="20"/>
              </w:rPr>
            </w:pPr>
            <w:r w:rsidRPr="0035187E">
              <w:rPr>
                <w:rFonts w:ascii="Times New Roman" w:hAnsi="Times New Roman" w:cs="Times New Roman"/>
                <w:b w:val="0"/>
                <w:bCs w:val="0"/>
                <w:i/>
                <w:iCs/>
                <w:sz w:val="20"/>
                <w:szCs w:val="20"/>
              </w:rPr>
              <w:t>a) vlastní identifikátor správce daně, nebo</w:t>
            </w:r>
          </w:p>
          <w:p w14:paraId="5BAB2A66" w14:textId="77777777" w:rsidR="00905688" w:rsidRPr="0035187E" w:rsidRDefault="00905688" w:rsidP="0035187E">
            <w:pPr>
              <w:pStyle w:val="Nadpis1"/>
              <w:jc w:val="both"/>
              <w:rPr>
                <w:rFonts w:ascii="Times New Roman" w:hAnsi="Times New Roman" w:cs="Times New Roman"/>
                <w:b w:val="0"/>
                <w:bCs w:val="0"/>
                <w:i/>
                <w:iCs/>
                <w:sz w:val="20"/>
                <w:szCs w:val="20"/>
              </w:rPr>
            </w:pPr>
            <w:r w:rsidRPr="0035187E">
              <w:rPr>
                <w:rFonts w:ascii="Times New Roman" w:hAnsi="Times New Roman" w:cs="Times New Roman"/>
                <w:b w:val="0"/>
                <w:bCs w:val="0"/>
                <w:i/>
                <w:iCs/>
                <w:sz w:val="20"/>
                <w:szCs w:val="20"/>
              </w:rPr>
              <w:t>b) rodné číslo poplatníka, pouze na žádost poplatníka.</w:t>
            </w:r>
          </w:p>
          <w:p w14:paraId="50867693" w14:textId="77777777" w:rsidR="00905688" w:rsidRPr="0035187E" w:rsidRDefault="00905688" w:rsidP="0035187E">
            <w:pPr>
              <w:pStyle w:val="Nadpis1"/>
              <w:jc w:val="both"/>
              <w:rPr>
                <w:rFonts w:ascii="Times New Roman" w:hAnsi="Times New Roman" w:cs="Times New Roman"/>
                <w:b w:val="0"/>
                <w:bCs w:val="0"/>
                <w:i/>
                <w:iCs/>
                <w:sz w:val="20"/>
                <w:szCs w:val="20"/>
              </w:rPr>
            </w:pPr>
            <w:r w:rsidRPr="0035187E">
              <w:rPr>
                <w:rFonts w:ascii="Times New Roman" w:hAnsi="Times New Roman" w:cs="Times New Roman"/>
                <w:b w:val="0"/>
                <w:bCs w:val="0"/>
                <w:i/>
                <w:iCs/>
                <w:sz w:val="20"/>
                <w:szCs w:val="20"/>
              </w:rPr>
              <w:t>(Obracení výchozí volby identifikátoru v odst. 2. U fyzických osob bez DIČ by primárně byl kmenovou částí EIČ vlastní (nevýznamový) identifikátor správce daně; rodné číslo by bylo možné použít jen subsidiárně, výhradně na žádost poplatníka. Tím by</w:t>
            </w:r>
            <w:r w:rsidRPr="0035187E">
              <w:rPr>
                <w:rFonts w:ascii="Times New Roman" w:hAnsi="Times New Roman" w:cs="Times New Roman"/>
                <w:b w:val="0"/>
                <w:bCs w:val="0"/>
                <w:sz w:val="20"/>
                <w:szCs w:val="20"/>
              </w:rPr>
              <w:t xml:space="preserve"> </w:t>
            </w:r>
            <w:r w:rsidRPr="0035187E">
              <w:rPr>
                <w:rFonts w:ascii="Times New Roman" w:hAnsi="Times New Roman" w:cs="Times New Roman"/>
                <w:b w:val="0"/>
                <w:bCs w:val="0"/>
                <w:i/>
                <w:iCs/>
                <w:sz w:val="20"/>
                <w:szCs w:val="20"/>
              </w:rPr>
              <w:t xml:space="preserve">se rodné číslo nestává (nezůstávalo) standardem. </w:t>
            </w:r>
          </w:p>
          <w:p w14:paraId="517FD857" w14:textId="77777777" w:rsidR="00905688" w:rsidRPr="0035187E" w:rsidRDefault="00905688" w:rsidP="0035187E">
            <w:pPr>
              <w:pStyle w:val="Nadpis1"/>
              <w:jc w:val="both"/>
              <w:rPr>
                <w:rFonts w:ascii="Times New Roman" w:hAnsi="Times New Roman" w:cs="Times New Roman"/>
                <w:b w:val="0"/>
                <w:bCs w:val="0"/>
                <w:i/>
                <w:iCs/>
                <w:sz w:val="20"/>
                <w:szCs w:val="20"/>
              </w:rPr>
            </w:pPr>
            <w:r w:rsidRPr="0035187E">
              <w:rPr>
                <w:rFonts w:ascii="Times New Roman" w:hAnsi="Times New Roman" w:cs="Times New Roman"/>
                <w:b w:val="0"/>
                <w:bCs w:val="0"/>
                <w:i/>
                <w:iCs/>
                <w:sz w:val="20"/>
                <w:szCs w:val="20"/>
              </w:rPr>
              <w:t xml:space="preserve">(3) </w:t>
            </w:r>
            <w:r w:rsidRPr="0035187E">
              <w:rPr>
                <w:rFonts w:ascii="Times New Roman" w:hAnsi="Times New Roman" w:cs="Times New Roman"/>
                <w:b w:val="0"/>
                <w:bCs w:val="0"/>
                <w:i/>
                <w:iCs/>
                <w:sz w:val="20"/>
                <w:szCs w:val="20"/>
              </w:rPr>
              <w:tab/>
              <w:t>Správce daně poplatníkovi, který je fyzickou osobou</w:t>
            </w:r>
            <w:r w:rsidRPr="0035187E">
              <w:rPr>
                <w:rFonts w:ascii="Times New Roman" w:hAnsi="Times New Roman" w:cs="Times New Roman"/>
                <w:b w:val="0"/>
                <w:bCs w:val="0"/>
                <w:i/>
                <w:iCs/>
                <w:strike/>
                <w:sz w:val="20"/>
                <w:szCs w:val="20"/>
              </w:rPr>
              <w:t xml:space="preserve"> a který nemá rodné číslo</w:t>
            </w:r>
            <w:r w:rsidRPr="0035187E">
              <w:rPr>
                <w:rFonts w:ascii="Times New Roman" w:hAnsi="Times New Roman" w:cs="Times New Roman"/>
                <w:b w:val="0"/>
                <w:bCs w:val="0"/>
                <w:i/>
                <w:iCs/>
                <w:sz w:val="20"/>
                <w:szCs w:val="20"/>
              </w:rPr>
              <w:t xml:space="preserve">, zpřístupní prostřednictvím daňové informační schránky vlastní identifikátor správce daně. </w:t>
            </w:r>
          </w:p>
          <w:p w14:paraId="77C03F33" w14:textId="77777777" w:rsidR="00905688" w:rsidRPr="0035187E" w:rsidRDefault="00905688" w:rsidP="0035187E">
            <w:pPr>
              <w:pStyle w:val="Nadpis1"/>
              <w:jc w:val="both"/>
              <w:rPr>
                <w:rFonts w:ascii="Times New Roman" w:hAnsi="Times New Roman" w:cs="Times New Roman"/>
                <w:b w:val="0"/>
                <w:bCs w:val="0"/>
                <w:i/>
                <w:iCs/>
                <w:sz w:val="20"/>
                <w:szCs w:val="20"/>
              </w:rPr>
            </w:pPr>
            <w:r w:rsidRPr="0035187E">
              <w:rPr>
                <w:rFonts w:ascii="Times New Roman" w:hAnsi="Times New Roman" w:cs="Times New Roman"/>
                <w:b w:val="0"/>
                <w:bCs w:val="0"/>
                <w:i/>
                <w:iCs/>
                <w:sz w:val="20"/>
                <w:szCs w:val="20"/>
              </w:rPr>
              <w:t>(V odst. 3 by se zajistila technická proveditelnost pravidla podle odst. 2, kdy správce daně zpřístupní vlastní identifikátor všem fyzickým osobám (prostřednictvím daňové informační schránky), aby tak mohl být reálně používán jako primární EIČ u fyzických osob bez DIČ.)</w:t>
            </w:r>
          </w:p>
          <w:p w14:paraId="7DB5445E" w14:textId="77777777" w:rsidR="00D7629F" w:rsidRPr="0035187E" w:rsidRDefault="00D7629F" w:rsidP="0035187E"/>
          <w:p w14:paraId="6BBF2EEC" w14:textId="32F71D5A" w:rsidR="00D7629F" w:rsidRPr="0035187E" w:rsidRDefault="006C1474"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Vyjádření připomínkového místa po jednání dne 8. dubna 2026: trvá na své zásadní připomínce.</w:t>
            </w:r>
          </w:p>
        </w:tc>
      </w:tr>
      <w:tr w:rsidR="0035187E" w:rsidRPr="0035187E" w14:paraId="7DE5320C"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443A393D" w14:textId="795844D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88.</w:t>
            </w:r>
          </w:p>
        </w:tc>
        <w:tc>
          <w:tcPr>
            <w:tcW w:w="583" w:type="pct"/>
            <w:tcBorders>
              <w:top w:val="single" w:sz="4" w:space="0" w:color="auto"/>
              <w:left w:val="single" w:sz="4" w:space="0" w:color="auto"/>
              <w:right w:val="single" w:sz="4" w:space="0" w:color="auto"/>
            </w:tcBorders>
            <w:shd w:val="clear" w:color="auto" w:fill="auto"/>
          </w:tcPr>
          <w:p w14:paraId="08B2AC8F" w14:textId="2541B73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Asociace cestovních kanceláří České republiky</w:t>
            </w:r>
          </w:p>
        </w:tc>
        <w:tc>
          <w:tcPr>
            <w:tcW w:w="168" w:type="pct"/>
            <w:tcBorders>
              <w:top w:val="single" w:sz="4" w:space="0" w:color="auto"/>
              <w:left w:val="single" w:sz="4" w:space="0" w:color="auto"/>
              <w:right w:val="single" w:sz="4" w:space="0" w:color="auto"/>
            </w:tcBorders>
            <w:shd w:val="clear" w:color="auto" w:fill="auto"/>
          </w:tcPr>
          <w:p w14:paraId="4992A3CB" w14:textId="29F3410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19A28548" w14:textId="7412E4C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5DCFD6C"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Připomínky: </w:t>
            </w:r>
          </w:p>
          <w:p w14:paraId="69F3051A"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V návaznosti na předložený návrh úpravy evidence tržeb (EET 2.0) si dovolujeme z pohledu cestovních kanceláří a agentur upozornit na několik specifických oblastí, které vyplývají z charakteru podnikání v cestovním ruchu. Tento sektor je typický kombinací zprostředkovatelského modelu, komplexních balíčků služeb, přeshraničních transakcí a vícefázových platebních toků (zálohy, doplatky, storna). </w:t>
            </w:r>
          </w:p>
          <w:p w14:paraId="2B17B3BA"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Pokud má systém skutečně narovnat podmínky na trhu, je zásadní, aby obsahoval co nejméně výjimek a platil pro co nejširší okruh subjektů. To je klíčové i z pohledu boje proti neoprávněnému podnikání s cílem zajistit </w:t>
            </w:r>
            <w:r w:rsidRPr="0035187E">
              <w:rPr>
                <w:rFonts w:ascii="Times New Roman" w:hAnsi="Times New Roman" w:cs="Times New Roman"/>
                <w:i/>
                <w:iCs/>
                <w:sz w:val="20"/>
                <w:szCs w:val="20"/>
              </w:rPr>
              <w:t xml:space="preserve">předvídatelné a férové prostředí pro podnikatele napříč všemi sektory. </w:t>
            </w:r>
          </w:p>
          <w:p w14:paraId="4756B505"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Segment cestovních kanceláří a agentur dlouhodobě čelí neoprávněně působícím subjektům, které nedodržují legislativní povinnosti, zejména ve vztahu k zákonu č. 159/1999 Sb. Tím narušují nejen férovou konkurenci, ale i ochranu spotřebitele. Je proto žádoucí, aby i tyto subjekty podléhaly kontrolním mechanismům, včetně nástrojů typu EET. </w:t>
            </w:r>
          </w:p>
          <w:p w14:paraId="646B6179"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lastRenderedPageBreak/>
              <w:t xml:space="preserve">Zároveň vítáme tlak na snižování byrokratické a administrativní zátěže pro podnikatele, která je v segmentu cestovních kanceláří a agentur dlouhodobě vysoká vzhledem k rozsahu jejich zákonných povinností. </w:t>
            </w:r>
          </w:p>
          <w:p w14:paraId="068744F0"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V návaznosti na výše uvedené uvádíme konkrétní okruhy, u nichž považujeme za důležité doplnění výkladu, případně úpravu legislativního textu. A to u řádně podnikajících CK/CA. </w:t>
            </w:r>
          </w:p>
          <w:p w14:paraId="0ADFC92A" w14:textId="7AA300E9" w:rsidR="000B4BD4" w:rsidRPr="0035187E" w:rsidRDefault="000B4BD4" w:rsidP="0035187E">
            <w:pPr>
              <w:numPr>
                <w:ilvl w:val="0"/>
                <w:numId w:val="86"/>
              </w:num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 xml:space="preserve">Vymezení evidované tržby u zprostředkovatelského modelu </w:t>
            </w:r>
            <w:r w:rsidRPr="0035187E">
              <w:rPr>
                <w:rFonts w:ascii="Times New Roman" w:hAnsi="Times New Roman" w:cs="Times New Roman"/>
                <w:sz w:val="20"/>
                <w:szCs w:val="20"/>
              </w:rPr>
              <w:t xml:space="preserve">V našem modelu představují inkasované částky za letenky a další zprostředkované služby převážnou část obratu, avšak do základu daně vstupuje pouze náš servisní poplatek, který tvoří jen jednotky procent z celkového inkasovaného objemu. Z návrhu není zcela zřejmé, zda má být evidovanou tržbou celý inkasovaný objem, nebo pouze část představující skutečný zdanitelný příjem agentury? </w:t>
            </w:r>
          </w:p>
        </w:tc>
        <w:tc>
          <w:tcPr>
            <w:tcW w:w="1453" w:type="pct"/>
            <w:tcBorders>
              <w:top w:val="single" w:sz="4" w:space="0" w:color="auto"/>
              <w:left w:val="single" w:sz="4" w:space="0" w:color="auto"/>
              <w:right w:val="single" w:sz="4" w:space="0" w:color="auto"/>
            </w:tcBorders>
            <w:shd w:val="clear" w:color="auto" w:fill="auto"/>
          </w:tcPr>
          <w:p w14:paraId="04A1E11A" w14:textId="77777777" w:rsidR="000B4BD4" w:rsidRPr="0035187E" w:rsidRDefault="00C43A82"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Bere se na vědomí.</w:t>
            </w:r>
          </w:p>
          <w:p w14:paraId="452EA771" w14:textId="77777777" w:rsidR="00C43A82" w:rsidRPr="0035187E" w:rsidRDefault="00C43A82" w:rsidP="0035187E">
            <w:pPr>
              <w:jc w:val="both"/>
              <w:rPr>
                <w:rFonts w:ascii="Times New Roman" w:hAnsi="Times New Roman" w:cs="Times New Roman"/>
                <w:sz w:val="20"/>
                <w:szCs w:val="20"/>
              </w:rPr>
            </w:pPr>
            <w:r w:rsidRPr="0035187E">
              <w:rPr>
                <w:rFonts w:ascii="Times New Roman" w:hAnsi="Times New Roman" w:cs="Times New Roman"/>
                <w:sz w:val="20"/>
                <w:szCs w:val="20"/>
              </w:rPr>
              <w:t>Lze souhlasit s uvedenými východisky.</w:t>
            </w:r>
          </w:p>
          <w:p w14:paraId="439B5C0B" w14:textId="77777777" w:rsidR="00C43A82" w:rsidRPr="0035187E" w:rsidRDefault="00C43A82" w:rsidP="0035187E">
            <w:pPr>
              <w:jc w:val="both"/>
              <w:rPr>
                <w:rFonts w:ascii="Times New Roman" w:hAnsi="Times New Roman" w:cs="Times New Roman"/>
                <w:sz w:val="20"/>
                <w:szCs w:val="20"/>
              </w:rPr>
            </w:pPr>
          </w:p>
          <w:p w14:paraId="6C6A8CE7" w14:textId="77777777" w:rsidR="00C43A82" w:rsidRPr="0035187E" w:rsidRDefault="00C43A82" w:rsidP="0035187E">
            <w:pPr>
              <w:jc w:val="both"/>
              <w:rPr>
                <w:rFonts w:ascii="Times New Roman" w:hAnsi="Times New Roman" w:cs="Times New Roman"/>
                <w:sz w:val="20"/>
                <w:szCs w:val="20"/>
              </w:rPr>
            </w:pPr>
          </w:p>
          <w:p w14:paraId="4E60E0C1" w14:textId="77777777" w:rsidR="00C43A82" w:rsidRPr="0035187E" w:rsidRDefault="00C43A82" w:rsidP="0035187E">
            <w:pPr>
              <w:jc w:val="both"/>
              <w:rPr>
                <w:rFonts w:ascii="Times New Roman" w:hAnsi="Times New Roman" w:cs="Times New Roman"/>
                <w:sz w:val="20"/>
                <w:szCs w:val="20"/>
              </w:rPr>
            </w:pPr>
          </w:p>
          <w:p w14:paraId="7077C906" w14:textId="77777777" w:rsidR="00C43A82" w:rsidRPr="0035187E" w:rsidRDefault="00C43A82" w:rsidP="0035187E">
            <w:pPr>
              <w:jc w:val="both"/>
              <w:rPr>
                <w:rFonts w:ascii="Times New Roman" w:hAnsi="Times New Roman" w:cs="Times New Roman"/>
                <w:sz w:val="20"/>
                <w:szCs w:val="20"/>
              </w:rPr>
            </w:pPr>
          </w:p>
          <w:p w14:paraId="0E25B29B" w14:textId="77777777" w:rsidR="00C43A82" w:rsidRPr="0035187E" w:rsidRDefault="00C43A82" w:rsidP="0035187E">
            <w:pPr>
              <w:jc w:val="both"/>
              <w:rPr>
                <w:rFonts w:ascii="Times New Roman" w:hAnsi="Times New Roman" w:cs="Times New Roman"/>
                <w:sz w:val="20"/>
                <w:szCs w:val="20"/>
              </w:rPr>
            </w:pPr>
          </w:p>
          <w:p w14:paraId="39499AC1" w14:textId="77777777" w:rsidR="00C43A82" w:rsidRPr="0035187E" w:rsidRDefault="00C43A82" w:rsidP="0035187E">
            <w:pPr>
              <w:jc w:val="both"/>
              <w:rPr>
                <w:rFonts w:ascii="Times New Roman" w:hAnsi="Times New Roman" w:cs="Times New Roman"/>
                <w:sz w:val="20"/>
                <w:szCs w:val="20"/>
              </w:rPr>
            </w:pPr>
          </w:p>
          <w:p w14:paraId="5BE627DD" w14:textId="77777777" w:rsidR="00C43A82" w:rsidRPr="0035187E" w:rsidRDefault="00C43A82" w:rsidP="0035187E">
            <w:pPr>
              <w:jc w:val="both"/>
              <w:rPr>
                <w:rFonts w:ascii="Times New Roman" w:hAnsi="Times New Roman" w:cs="Times New Roman"/>
                <w:sz w:val="20"/>
                <w:szCs w:val="20"/>
              </w:rPr>
            </w:pPr>
          </w:p>
          <w:p w14:paraId="00C73C70" w14:textId="77777777" w:rsidR="00C43A82" w:rsidRPr="0035187E" w:rsidRDefault="00C43A82" w:rsidP="0035187E">
            <w:pPr>
              <w:jc w:val="both"/>
              <w:rPr>
                <w:rFonts w:ascii="Times New Roman" w:hAnsi="Times New Roman" w:cs="Times New Roman"/>
                <w:sz w:val="20"/>
                <w:szCs w:val="20"/>
              </w:rPr>
            </w:pPr>
          </w:p>
          <w:p w14:paraId="26BC6023" w14:textId="77777777" w:rsidR="00C43A82" w:rsidRPr="0035187E" w:rsidRDefault="00C43A82" w:rsidP="0035187E">
            <w:pPr>
              <w:jc w:val="both"/>
              <w:rPr>
                <w:rFonts w:ascii="Times New Roman" w:hAnsi="Times New Roman" w:cs="Times New Roman"/>
                <w:sz w:val="20"/>
                <w:szCs w:val="20"/>
              </w:rPr>
            </w:pPr>
          </w:p>
          <w:p w14:paraId="6EFEC627" w14:textId="77777777" w:rsidR="00C43A82" w:rsidRPr="0035187E" w:rsidRDefault="00C43A82" w:rsidP="0035187E">
            <w:pPr>
              <w:jc w:val="both"/>
              <w:rPr>
                <w:rFonts w:ascii="Times New Roman" w:hAnsi="Times New Roman" w:cs="Times New Roman"/>
                <w:sz w:val="20"/>
                <w:szCs w:val="20"/>
              </w:rPr>
            </w:pPr>
          </w:p>
          <w:p w14:paraId="102F856D" w14:textId="77777777" w:rsidR="00C43A82" w:rsidRPr="0035187E" w:rsidRDefault="00C43A82" w:rsidP="0035187E">
            <w:pPr>
              <w:jc w:val="both"/>
              <w:rPr>
                <w:rFonts w:ascii="Times New Roman" w:hAnsi="Times New Roman" w:cs="Times New Roman"/>
                <w:sz w:val="20"/>
                <w:szCs w:val="20"/>
              </w:rPr>
            </w:pPr>
          </w:p>
          <w:p w14:paraId="744DCB90" w14:textId="77777777" w:rsidR="00C43A82" w:rsidRPr="0035187E" w:rsidRDefault="00C43A82" w:rsidP="0035187E">
            <w:pPr>
              <w:jc w:val="both"/>
              <w:rPr>
                <w:rFonts w:ascii="Times New Roman" w:hAnsi="Times New Roman" w:cs="Times New Roman"/>
                <w:sz w:val="20"/>
                <w:szCs w:val="20"/>
              </w:rPr>
            </w:pPr>
          </w:p>
          <w:p w14:paraId="72FA0703" w14:textId="77777777" w:rsidR="00C43A82" w:rsidRPr="0035187E" w:rsidRDefault="00C43A82" w:rsidP="0035187E">
            <w:pPr>
              <w:jc w:val="both"/>
              <w:rPr>
                <w:rFonts w:ascii="Times New Roman" w:hAnsi="Times New Roman" w:cs="Times New Roman"/>
                <w:sz w:val="20"/>
                <w:szCs w:val="20"/>
              </w:rPr>
            </w:pPr>
          </w:p>
          <w:p w14:paraId="21A2CD98" w14:textId="77777777" w:rsidR="00C43A82" w:rsidRPr="0035187E" w:rsidRDefault="00C43A82" w:rsidP="0035187E">
            <w:pPr>
              <w:jc w:val="both"/>
              <w:rPr>
                <w:rFonts w:ascii="Times New Roman" w:hAnsi="Times New Roman" w:cs="Times New Roman"/>
                <w:sz w:val="20"/>
                <w:szCs w:val="20"/>
              </w:rPr>
            </w:pPr>
          </w:p>
          <w:p w14:paraId="7AC0D261" w14:textId="77777777" w:rsidR="00C43A82" w:rsidRPr="0035187E" w:rsidRDefault="00C43A82" w:rsidP="0035187E">
            <w:pPr>
              <w:jc w:val="both"/>
              <w:rPr>
                <w:rFonts w:ascii="Times New Roman" w:hAnsi="Times New Roman" w:cs="Times New Roman"/>
                <w:sz w:val="20"/>
                <w:szCs w:val="20"/>
              </w:rPr>
            </w:pPr>
          </w:p>
          <w:p w14:paraId="79767673" w14:textId="77777777" w:rsidR="00C43A82" w:rsidRPr="0035187E" w:rsidRDefault="00C43A82" w:rsidP="0035187E">
            <w:pPr>
              <w:jc w:val="both"/>
              <w:rPr>
                <w:rFonts w:ascii="Times New Roman" w:hAnsi="Times New Roman" w:cs="Times New Roman"/>
                <w:sz w:val="20"/>
                <w:szCs w:val="20"/>
              </w:rPr>
            </w:pPr>
          </w:p>
          <w:p w14:paraId="7FFA2168" w14:textId="77777777" w:rsidR="00C43A82" w:rsidRPr="0035187E" w:rsidRDefault="00C43A82" w:rsidP="0035187E">
            <w:pPr>
              <w:jc w:val="both"/>
              <w:rPr>
                <w:rFonts w:ascii="Times New Roman" w:hAnsi="Times New Roman" w:cs="Times New Roman"/>
                <w:sz w:val="20"/>
                <w:szCs w:val="20"/>
              </w:rPr>
            </w:pPr>
          </w:p>
          <w:p w14:paraId="28070E5E" w14:textId="77777777" w:rsidR="00C43A82" w:rsidRPr="0035187E" w:rsidRDefault="00C43A82" w:rsidP="0035187E">
            <w:pPr>
              <w:jc w:val="both"/>
              <w:rPr>
                <w:rFonts w:ascii="Times New Roman" w:hAnsi="Times New Roman" w:cs="Times New Roman"/>
                <w:sz w:val="20"/>
                <w:szCs w:val="20"/>
              </w:rPr>
            </w:pPr>
          </w:p>
          <w:p w14:paraId="12B46A2C" w14:textId="77777777" w:rsidR="00C43A82" w:rsidRPr="0035187E" w:rsidRDefault="00C43A82"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3D752738" w14:textId="0C09E487" w:rsidR="00C43A82" w:rsidRPr="0035187E" w:rsidRDefault="00C43A82"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Na tuto situaci dopadá především § 10 upravující nepřímé zastoupení </w:t>
            </w:r>
            <w:r w:rsidR="00245DFA" w:rsidRPr="0035187E">
              <w:rPr>
                <w:rFonts w:ascii="Times New Roman" w:hAnsi="Times New Roman" w:cs="Times New Roman"/>
                <w:sz w:val="20"/>
                <w:szCs w:val="20"/>
              </w:rPr>
              <w:t>a § 5 vymezení evidované tržby. Evidovanou tržbou bude v tomto případě celá „přijatá tržba“ bez ohledu na to, jaká její část pak bude vstupovat do základu daně.</w:t>
            </w:r>
          </w:p>
          <w:p w14:paraId="463517F7" w14:textId="352FEF1A" w:rsidR="00C43A82" w:rsidRPr="0035187E" w:rsidRDefault="00C43A82" w:rsidP="0035187E">
            <w:pPr>
              <w:jc w:val="both"/>
              <w:rPr>
                <w:rFonts w:ascii="Times New Roman" w:hAnsi="Times New Roman" w:cs="Times New Roman"/>
                <w:sz w:val="20"/>
                <w:szCs w:val="20"/>
              </w:rPr>
            </w:pPr>
          </w:p>
        </w:tc>
      </w:tr>
      <w:tr w:rsidR="0035187E" w:rsidRPr="0035187E" w14:paraId="48DC0C93"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5A44082" w14:textId="366086B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88.</w:t>
            </w:r>
          </w:p>
        </w:tc>
        <w:tc>
          <w:tcPr>
            <w:tcW w:w="583" w:type="pct"/>
            <w:tcBorders>
              <w:top w:val="single" w:sz="4" w:space="0" w:color="auto"/>
              <w:left w:val="single" w:sz="4" w:space="0" w:color="auto"/>
              <w:right w:val="single" w:sz="4" w:space="0" w:color="auto"/>
            </w:tcBorders>
            <w:shd w:val="clear" w:color="auto" w:fill="auto"/>
          </w:tcPr>
          <w:p w14:paraId="294B86E8" w14:textId="301BD4D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Asociace cestovních kanceláří České republiky</w:t>
            </w:r>
          </w:p>
        </w:tc>
        <w:tc>
          <w:tcPr>
            <w:tcW w:w="168" w:type="pct"/>
            <w:tcBorders>
              <w:top w:val="single" w:sz="4" w:space="0" w:color="auto"/>
              <w:left w:val="single" w:sz="4" w:space="0" w:color="auto"/>
              <w:right w:val="single" w:sz="4" w:space="0" w:color="auto"/>
            </w:tcBorders>
            <w:shd w:val="clear" w:color="auto" w:fill="auto"/>
          </w:tcPr>
          <w:p w14:paraId="5183374A" w14:textId="78ECF45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w:t>
            </w:r>
          </w:p>
        </w:tc>
        <w:tc>
          <w:tcPr>
            <w:tcW w:w="169" w:type="pct"/>
            <w:tcBorders>
              <w:top w:val="single" w:sz="4" w:space="0" w:color="auto"/>
              <w:left w:val="single" w:sz="4" w:space="0" w:color="auto"/>
              <w:right w:val="single" w:sz="4" w:space="0" w:color="auto"/>
            </w:tcBorders>
            <w:shd w:val="clear" w:color="auto" w:fill="auto"/>
          </w:tcPr>
          <w:p w14:paraId="31ECF6E3" w14:textId="3566D84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AC8369B" w14:textId="5902116B" w:rsidR="000B4BD4" w:rsidRPr="0035187E" w:rsidRDefault="000B4BD4" w:rsidP="0035187E">
            <w:pPr>
              <w:numPr>
                <w:ilvl w:val="0"/>
                <w:numId w:val="86"/>
              </w:num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 xml:space="preserve">Kombinovaná plnění s rozdílným režimem </w:t>
            </w:r>
            <w:r w:rsidRPr="0035187E">
              <w:rPr>
                <w:rFonts w:ascii="Times New Roman" w:hAnsi="Times New Roman" w:cs="Times New Roman"/>
                <w:sz w:val="20"/>
                <w:szCs w:val="20"/>
              </w:rPr>
              <w:t xml:space="preserve">Není zřejmé, jak má být postupováno v situaci, kdy jedna platba zahrnuje plnění vyňaté z evidence (např. prodej letenky cestovní agenturou) a současně plnění, na které se výjimka nevztahuje (např. ubytování). Bylo by vhodné upřesnit, zda se má v takovém případě platba rozdělovat, nebo jaký režim se použije. Z textu důvodové zprávy vyplývá, že výjimka pro leteckou dopravu míří i na prodej prostřednictvím distribučních systémů; bylo by vhodné tento výklad potvrdit i pro agenturní model. </w:t>
            </w:r>
          </w:p>
        </w:tc>
        <w:tc>
          <w:tcPr>
            <w:tcW w:w="1453" w:type="pct"/>
            <w:tcBorders>
              <w:top w:val="single" w:sz="4" w:space="0" w:color="auto"/>
              <w:left w:val="single" w:sz="4" w:space="0" w:color="auto"/>
              <w:right w:val="single" w:sz="4" w:space="0" w:color="auto"/>
            </w:tcBorders>
            <w:shd w:val="clear" w:color="auto" w:fill="auto"/>
          </w:tcPr>
          <w:p w14:paraId="2683FB16" w14:textId="77777777" w:rsidR="000B4BD4" w:rsidRPr="0035187E" w:rsidRDefault="009014E8"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4629370E" w14:textId="69EFD192" w:rsidR="00AF1D39" w:rsidRPr="0035187E" w:rsidRDefault="009014E8" w:rsidP="0035187E">
            <w:pPr>
              <w:jc w:val="both"/>
              <w:rPr>
                <w:rFonts w:ascii="Times New Roman" w:hAnsi="Times New Roman" w:cs="Times New Roman"/>
                <w:sz w:val="20"/>
                <w:szCs w:val="20"/>
              </w:rPr>
            </w:pPr>
            <w:r w:rsidRPr="0035187E">
              <w:rPr>
                <w:rFonts w:ascii="Times New Roman" w:hAnsi="Times New Roman" w:cs="Times New Roman"/>
                <w:sz w:val="20"/>
                <w:szCs w:val="20"/>
              </w:rPr>
              <w:t>Lze potvrdit, že § 13 odst. 1 písm. f) z okruhu evidovaných tržeb vyjímá tržby „</w:t>
            </w:r>
            <w:r w:rsidRPr="0035187E">
              <w:rPr>
                <w:rFonts w:ascii="Times New Roman" w:hAnsi="Times New Roman" w:cs="Times New Roman"/>
                <w:i/>
                <w:sz w:val="20"/>
                <w:szCs w:val="20"/>
              </w:rPr>
              <w:t>z obchodní letecké dopravy a ze služeb poskytovaných v přímé souvislosti s ní</w:t>
            </w:r>
            <w:r w:rsidRPr="0035187E">
              <w:rPr>
                <w:rFonts w:ascii="Times New Roman" w:hAnsi="Times New Roman" w:cs="Times New Roman"/>
                <w:sz w:val="20"/>
                <w:szCs w:val="20"/>
              </w:rPr>
              <w:t xml:space="preserve">“. </w:t>
            </w:r>
            <w:r w:rsidR="00AF1D39" w:rsidRPr="0035187E">
              <w:rPr>
                <w:rFonts w:ascii="Times New Roman" w:hAnsi="Times New Roman" w:cs="Times New Roman"/>
                <w:sz w:val="20"/>
                <w:szCs w:val="20"/>
              </w:rPr>
              <w:t xml:space="preserve">Vynětí tak platí jak na samotného poplatníka, tak na případného zprostředkovatele těchto tržeb (zejména přímého zástupce). </w:t>
            </w:r>
          </w:p>
          <w:p w14:paraId="1DE3D7D7" w14:textId="27125456" w:rsidR="009014E8" w:rsidRPr="0035187E" w:rsidRDefault="009014E8"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Podobně jako je tomu u některých dalších tržeb vyňatých z režimu evidence tržeb platí, že v případě jejich kombinace s tržbami, které vyňaty nejsou, je třeba zajistit, aby u těchto </w:t>
            </w:r>
            <w:r w:rsidR="00AF1D39" w:rsidRPr="0035187E">
              <w:rPr>
                <w:rFonts w:ascii="Times New Roman" w:hAnsi="Times New Roman" w:cs="Times New Roman"/>
                <w:sz w:val="20"/>
                <w:szCs w:val="20"/>
              </w:rPr>
              <w:t xml:space="preserve">zbývajících </w:t>
            </w:r>
            <w:r w:rsidRPr="0035187E">
              <w:rPr>
                <w:rFonts w:ascii="Times New Roman" w:hAnsi="Times New Roman" w:cs="Times New Roman"/>
                <w:sz w:val="20"/>
                <w:szCs w:val="20"/>
              </w:rPr>
              <w:t>evidovaných tržeb byla povinnost evidence splněna. Konkrétní technické řešení, jak toho nejsnáze docílit, bude na poplatníkovi.</w:t>
            </w:r>
            <w:r w:rsidR="001C32EC" w:rsidRPr="0035187E">
              <w:rPr>
                <w:rFonts w:ascii="Times New Roman" w:hAnsi="Times New Roman" w:cs="Times New Roman"/>
                <w:sz w:val="20"/>
                <w:szCs w:val="20"/>
              </w:rPr>
              <w:t xml:space="preserve"> Současně platí, že podrobnosti k jednotlivým tématům budou metodicky upraveny a zveřejněny ze strany Generálního finančního ředitelství.</w:t>
            </w:r>
          </w:p>
        </w:tc>
      </w:tr>
      <w:tr w:rsidR="0035187E" w:rsidRPr="0035187E" w14:paraId="47724A70"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138A8D8" w14:textId="36C04FA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88.</w:t>
            </w:r>
          </w:p>
        </w:tc>
        <w:tc>
          <w:tcPr>
            <w:tcW w:w="583" w:type="pct"/>
            <w:tcBorders>
              <w:top w:val="single" w:sz="4" w:space="0" w:color="auto"/>
              <w:left w:val="single" w:sz="4" w:space="0" w:color="auto"/>
              <w:right w:val="single" w:sz="4" w:space="0" w:color="auto"/>
            </w:tcBorders>
            <w:shd w:val="clear" w:color="auto" w:fill="auto"/>
          </w:tcPr>
          <w:p w14:paraId="15B21B25" w14:textId="0ABDCCC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Asociace cestovních kanceláří České republiky</w:t>
            </w:r>
          </w:p>
        </w:tc>
        <w:tc>
          <w:tcPr>
            <w:tcW w:w="168" w:type="pct"/>
            <w:tcBorders>
              <w:top w:val="single" w:sz="4" w:space="0" w:color="auto"/>
              <w:left w:val="single" w:sz="4" w:space="0" w:color="auto"/>
              <w:right w:val="single" w:sz="4" w:space="0" w:color="auto"/>
            </w:tcBorders>
            <w:shd w:val="clear" w:color="auto" w:fill="auto"/>
          </w:tcPr>
          <w:p w14:paraId="6CC82884" w14:textId="08301F2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3.</w:t>
            </w:r>
          </w:p>
        </w:tc>
        <w:tc>
          <w:tcPr>
            <w:tcW w:w="169" w:type="pct"/>
            <w:tcBorders>
              <w:top w:val="single" w:sz="4" w:space="0" w:color="auto"/>
              <w:left w:val="single" w:sz="4" w:space="0" w:color="auto"/>
              <w:right w:val="single" w:sz="4" w:space="0" w:color="auto"/>
            </w:tcBorders>
            <w:shd w:val="clear" w:color="auto" w:fill="auto"/>
          </w:tcPr>
          <w:p w14:paraId="55C73422" w14:textId="3927CF6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27C804A" w14:textId="77777777" w:rsidR="000B4BD4" w:rsidRPr="0035187E" w:rsidRDefault="000B4BD4" w:rsidP="0035187E">
            <w:pPr>
              <w:pStyle w:val="Odstavecseseznamem"/>
              <w:numPr>
                <w:ilvl w:val="0"/>
                <w:numId w:val="86"/>
              </w:numPr>
              <w:autoSpaceDE w:val="0"/>
              <w:autoSpaceDN w:val="0"/>
              <w:adjustRightInd w:val="0"/>
              <w:jc w:val="both"/>
              <w:rPr>
                <w:rFonts w:ascii="Times New Roman" w:hAnsi="Times New Roman"/>
                <w:sz w:val="20"/>
                <w:szCs w:val="20"/>
              </w:rPr>
            </w:pPr>
            <w:r w:rsidRPr="0035187E">
              <w:rPr>
                <w:rFonts w:ascii="Times New Roman" w:hAnsi="Times New Roman"/>
                <w:sz w:val="20"/>
                <w:szCs w:val="20"/>
              </w:rPr>
              <w:t xml:space="preserve">Vymezení „charakteru podnikatelské činnosti“ vs. online prodej CK </w:t>
            </w:r>
          </w:p>
          <w:p w14:paraId="7D525658"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Návrh staví evidenci na </w:t>
            </w:r>
            <w:r w:rsidRPr="0035187E">
              <w:rPr>
                <w:rFonts w:ascii="Times New Roman" w:hAnsi="Times New Roman" w:cs="Times New Roman"/>
                <w:b/>
                <w:bCs/>
                <w:sz w:val="20"/>
                <w:szCs w:val="20"/>
              </w:rPr>
              <w:t>charakteru interakce se zákazníkem (osobní vs. na dálku)</w:t>
            </w:r>
            <w:r w:rsidRPr="0035187E">
              <w:rPr>
                <w:rFonts w:ascii="Times New Roman" w:hAnsi="Times New Roman" w:cs="Times New Roman"/>
                <w:sz w:val="20"/>
                <w:szCs w:val="20"/>
              </w:rPr>
              <w:t xml:space="preserve">, nikoli na formě platby. </w:t>
            </w:r>
          </w:p>
          <w:p w14:paraId="5627D0A5" w14:textId="5AC76867" w:rsidR="000B4BD4" w:rsidRPr="0035187E" w:rsidRDefault="000B4BD4" w:rsidP="0035187E">
            <w:pPr>
              <w:pStyle w:val="Bezmezer"/>
              <w:jc w:val="both"/>
              <w:rPr>
                <w:rFonts w:ascii="Times New Roman" w:hAnsi="Times New Roman" w:cs="Times New Roman"/>
                <w:sz w:val="20"/>
                <w:szCs w:val="20"/>
              </w:rPr>
            </w:pPr>
            <w:r w:rsidRPr="0035187E">
              <w:rPr>
                <w:rFonts w:ascii="Times New Roman" w:eastAsia="Times New Roman" w:hAnsi="Times New Roman" w:cs="Times New Roman"/>
                <w:sz w:val="20"/>
                <w:szCs w:val="20"/>
              </w:rPr>
              <w:t>CK/CA fungují hybridně – online prodej (web, e-mail), ale i osobní kontakt (pobočka, call centrum). Má toto vliv na posuzování evidenční povinnosti? (např. rezervace online, doplatek na pobočce)?</w:t>
            </w:r>
          </w:p>
        </w:tc>
        <w:tc>
          <w:tcPr>
            <w:tcW w:w="1453" w:type="pct"/>
            <w:tcBorders>
              <w:top w:val="single" w:sz="4" w:space="0" w:color="auto"/>
              <w:left w:val="single" w:sz="4" w:space="0" w:color="auto"/>
              <w:right w:val="single" w:sz="4" w:space="0" w:color="auto"/>
            </w:tcBorders>
            <w:shd w:val="clear" w:color="auto" w:fill="auto"/>
          </w:tcPr>
          <w:p w14:paraId="01E2A3DD" w14:textId="77777777" w:rsidR="000B4BD4" w:rsidRPr="0035187E" w:rsidRDefault="00AF1D39"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507C310B" w14:textId="2F081BC8" w:rsidR="00AF1D39" w:rsidRPr="0035187E" w:rsidRDefault="00AF1D39" w:rsidP="0035187E">
            <w:pPr>
              <w:jc w:val="both"/>
              <w:rPr>
                <w:rFonts w:ascii="Times New Roman" w:hAnsi="Times New Roman" w:cs="Times New Roman"/>
                <w:sz w:val="20"/>
                <w:szCs w:val="20"/>
              </w:rPr>
            </w:pPr>
            <w:r w:rsidRPr="0035187E">
              <w:rPr>
                <w:rFonts w:ascii="Times New Roman" w:hAnsi="Times New Roman" w:cs="Times New Roman"/>
                <w:sz w:val="20"/>
                <w:szCs w:val="20"/>
              </w:rPr>
              <w:t>Lze potvrdit, že povinnost evidence se bude vztahovat pouze na tzv. kontaktní platbu, což bude typicky platba na pobočce. Je přitom irelevantní, zda jde o platbu celkové částky, nebo pouze o doplatek. Zálohy či doplatky představují z pohledu návrhu zákona samostatnou evidovanou tržbu.</w:t>
            </w:r>
            <w:r w:rsidR="00245DFA" w:rsidRPr="0035187E">
              <w:rPr>
                <w:rFonts w:ascii="Times New Roman" w:hAnsi="Times New Roman" w:cs="Times New Roman"/>
                <w:sz w:val="20"/>
                <w:szCs w:val="20"/>
              </w:rPr>
              <w:t xml:space="preserve"> Pokud by to bylo pro daného poplatníka jednodušší, lze samozřejmě evidovat všechny tržby.</w:t>
            </w:r>
          </w:p>
        </w:tc>
      </w:tr>
      <w:tr w:rsidR="0035187E" w:rsidRPr="0035187E" w14:paraId="2800313D"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9F2F812" w14:textId="2E65F73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88.</w:t>
            </w:r>
          </w:p>
        </w:tc>
        <w:tc>
          <w:tcPr>
            <w:tcW w:w="583" w:type="pct"/>
            <w:tcBorders>
              <w:top w:val="single" w:sz="4" w:space="0" w:color="auto"/>
              <w:left w:val="single" w:sz="4" w:space="0" w:color="auto"/>
              <w:right w:val="single" w:sz="4" w:space="0" w:color="auto"/>
            </w:tcBorders>
            <w:shd w:val="clear" w:color="auto" w:fill="auto"/>
          </w:tcPr>
          <w:p w14:paraId="692388CD" w14:textId="18C8C0C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Asociace cestovních kanceláří České republiky</w:t>
            </w:r>
          </w:p>
        </w:tc>
        <w:tc>
          <w:tcPr>
            <w:tcW w:w="168" w:type="pct"/>
            <w:tcBorders>
              <w:top w:val="single" w:sz="4" w:space="0" w:color="auto"/>
              <w:left w:val="single" w:sz="4" w:space="0" w:color="auto"/>
              <w:right w:val="single" w:sz="4" w:space="0" w:color="auto"/>
            </w:tcBorders>
            <w:shd w:val="clear" w:color="auto" w:fill="auto"/>
          </w:tcPr>
          <w:p w14:paraId="13441E81" w14:textId="4E80C05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w:t>
            </w:r>
          </w:p>
        </w:tc>
        <w:tc>
          <w:tcPr>
            <w:tcW w:w="169" w:type="pct"/>
            <w:tcBorders>
              <w:top w:val="single" w:sz="4" w:space="0" w:color="auto"/>
              <w:left w:val="single" w:sz="4" w:space="0" w:color="auto"/>
              <w:right w:val="single" w:sz="4" w:space="0" w:color="auto"/>
            </w:tcBorders>
            <w:shd w:val="clear" w:color="auto" w:fill="auto"/>
          </w:tcPr>
          <w:p w14:paraId="37530245" w14:textId="3C5F4ED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D5C0815" w14:textId="77777777" w:rsidR="000B4BD4" w:rsidRPr="0035187E" w:rsidRDefault="000B4BD4" w:rsidP="0035187E">
            <w:pPr>
              <w:numPr>
                <w:ilvl w:val="0"/>
                <w:numId w:val="86"/>
              </w:num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Platby přijaté jménem třetích osob (IATA, touroperátoři, GDS) </w:t>
            </w:r>
          </w:p>
          <w:p w14:paraId="5EAEF0C2"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CK/CA často inkasují platby, jménem leteckých společností (IATA BSP), přes GDS systémy, ale i jménem pojišťoven – cestovní pojištění a podobné produkty, kdy CK uzavírá s klientem k danému zájezdu smlouvu, ale také smlouvu k cestovnímu pojištění. </w:t>
            </w:r>
          </w:p>
          <w:p w14:paraId="068AEEE1" w14:textId="7857283A" w:rsidR="000B4BD4" w:rsidRPr="0035187E" w:rsidRDefault="000B4BD4" w:rsidP="0035187E">
            <w:pPr>
              <w:pStyle w:val="Bezmezer"/>
              <w:jc w:val="both"/>
              <w:rPr>
                <w:rFonts w:ascii="Times New Roman" w:hAnsi="Times New Roman" w:cs="Times New Roman"/>
                <w:sz w:val="20"/>
                <w:szCs w:val="20"/>
              </w:rPr>
            </w:pPr>
            <w:r w:rsidRPr="0035187E">
              <w:rPr>
                <w:rFonts w:ascii="Times New Roman" w:eastAsia="Times New Roman" w:hAnsi="Times New Roman" w:cs="Times New Roman"/>
                <w:sz w:val="20"/>
                <w:szCs w:val="20"/>
              </w:rPr>
              <w:t>Jak bude řešeno oddělení „cizích prostředků“ vs. vlastních tržeb v EET?</w:t>
            </w:r>
          </w:p>
        </w:tc>
        <w:tc>
          <w:tcPr>
            <w:tcW w:w="1453" w:type="pct"/>
            <w:tcBorders>
              <w:top w:val="single" w:sz="4" w:space="0" w:color="auto"/>
              <w:left w:val="single" w:sz="4" w:space="0" w:color="auto"/>
              <w:right w:val="single" w:sz="4" w:space="0" w:color="auto"/>
            </w:tcBorders>
            <w:shd w:val="clear" w:color="auto" w:fill="auto"/>
          </w:tcPr>
          <w:p w14:paraId="1880166F" w14:textId="77777777" w:rsidR="00C0537D" w:rsidRPr="0035187E" w:rsidRDefault="00C0537D"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0E426CD5" w14:textId="513BAC7E" w:rsidR="00C0537D" w:rsidRPr="0035187E" w:rsidRDefault="00C0537D"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Při plnění prvotní oznamovací (§ 16) povinnosti poplatník, který kombinuje vlastní tržby s tržbami z titulu nepřímého zastoupení, je třeba tuto informaci pro danou evidenční jednotku uvést. Správce daně tak </w:t>
            </w:r>
            <w:r w:rsidRPr="0035187E">
              <w:rPr>
                <w:rFonts w:ascii="Times New Roman" w:hAnsi="Times New Roman" w:cs="Times New Roman"/>
                <w:sz w:val="20"/>
                <w:szCs w:val="20"/>
              </w:rPr>
              <w:lastRenderedPageBreak/>
              <w:t>bude mít informaci o to, že ne všechny tržby evidované poplatníkem jsou jeho vlastními tržbami. Ambicí systému evidence tržeb však není tyto informace získávat z jednotlivých zaevidovaných tržeb, neboť by to představovalo</w:t>
            </w:r>
            <w:r w:rsidR="00C95F48" w:rsidRPr="0035187E">
              <w:rPr>
                <w:rFonts w:ascii="Times New Roman" w:hAnsi="Times New Roman" w:cs="Times New Roman"/>
                <w:sz w:val="20"/>
                <w:szCs w:val="20"/>
              </w:rPr>
              <w:t xml:space="preserve"> pro poplatníky komplikaci. Správce daně tedy ze získaných analytických dat vyhodnotí, zda poskytnutá data nevykazují nedůvodné odchylky a podle toho zaměří svou kontrolní činnost, v </w:t>
            </w:r>
            <w:proofErr w:type="gramStart"/>
            <w:r w:rsidR="00C95F48" w:rsidRPr="0035187E">
              <w:rPr>
                <w:rFonts w:ascii="Times New Roman" w:hAnsi="Times New Roman" w:cs="Times New Roman"/>
                <w:sz w:val="20"/>
                <w:szCs w:val="20"/>
              </w:rPr>
              <w:t>rámci</w:t>
            </w:r>
            <w:proofErr w:type="gramEnd"/>
            <w:r w:rsidR="00C95F48" w:rsidRPr="0035187E">
              <w:rPr>
                <w:rFonts w:ascii="Times New Roman" w:hAnsi="Times New Roman" w:cs="Times New Roman"/>
                <w:sz w:val="20"/>
                <w:szCs w:val="20"/>
              </w:rPr>
              <w:t xml:space="preserve"> které již v součinnosti s poplatníkem může rozklíčovat, jakou část objemu evidovaných tržeb tvoří tržby, které zakládají rozhodný příjem daného poplatníka.</w:t>
            </w:r>
          </w:p>
          <w:p w14:paraId="5129582B" w14:textId="7201718A" w:rsidR="00245DFA" w:rsidRPr="0035187E" w:rsidRDefault="00245DFA" w:rsidP="0035187E">
            <w:pPr>
              <w:jc w:val="both"/>
              <w:rPr>
                <w:rFonts w:ascii="Times New Roman" w:hAnsi="Times New Roman" w:cs="Times New Roman"/>
                <w:sz w:val="20"/>
                <w:szCs w:val="20"/>
              </w:rPr>
            </w:pPr>
            <w:r w:rsidRPr="0035187E">
              <w:rPr>
                <w:rFonts w:ascii="Times New Roman" w:hAnsi="Times New Roman" w:cs="Times New Roman"/>
                <w:sz w:val="20"/>
                <w:szCs w:val="20"/>
              </w:rPr>
              <w:t>Současně platí, že podrobnosti k jednotlivým tématům budou metodicky upraveny a zveřejněny ze strany Generálního finančního ředitelství.</w:t>
            </w:r>
          </w:p>
          <w:p w14:paraId="1AFAF11A" w14:textId="35D9573E" w:rsidR="00C95F48" w:rsidRPr="0035187E" w:rsidRDefault="00245DFA" w:rsidP="0035187E">
            <w:pPr>
              <w:jc w:val="both"/>
              <w:rPr>
                <w:rFonts w:ascii="Times New Roman" w:hAnsi="Times New Roman" w:cs="Times New Roman"/>
                <w:sz w:val="20"/>
                <w:szCs w:val="20"/>
              </w:rPr>
            </w:pPr>
            <w:r w:rsidRPr="0035187E">
              <w:rPr>
                <w:rFonts w:ascii="Times New Roman" w:hAnsi="Times New Roman" w:cs="Times New Roman"/>
                <w:sz w:val="20"/>
                <w:szCs w:val="20"/>
              </w:rPr>
              <w:t>Lze také nabídnout proškolení dotčených subjektů ze specifických oborů podnikání.</w:t>
            </w:r>
          </w:p>
        </w:tc>
      </w:tr>
      <w:tr w:rsidR="0035187E" w:rsidRPr="0035187E" w14:paraId="1272F0F0"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A6DACE1" w14:textId="68998CE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88.</w:t>
            </w:r>
          </w:p>
        </w:tc>
        <w:tc>
          <w:tcPr>
            <w:tcW w:w="583" w:type="pct"/>
            <w:tcBorders>
              <w:top w:val="single" w:sz="4" w:space="0" w:color="auto"/>
              <w:left w:val="single" w:sz="4" w:space="0" w:color="auto"/>
              <w:right w:val="single" w:sz="4" w:space="0" w:color="auto"/>
            </w:tcBorders>
            <w:shd w:val="clear" w:color="auto" w:fill="auto"/>
          </w:tcPr>
          <w:p w14:paraId="4C8E04A9" w14:textId="65BF739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Asociace cestovních kanceláří České republiky</w:t>
            </w:r>
          </w:p>
        </w:tc>
        <w:tc>
          <w:tcPr>
            <w:tcW w:w="168" w:type="pct"/>
            <w:tcBorders>
              <w:top w:val="single" w:sz="4" w:space="0" w:color="auto"/>
              <w:left w:val="single" w:sz="4" w:space="0" w:color="auto"/>
              <w:right w:val="single" w:sz="4" w:space="0" w:color="auto"/>
            </w:tcBorders>
            <w:shd w:val="clear" w:color="auto" w:fill="auto"/>
          </w:tcPr>
          <w:p w14:paraId="7F55A7D3" w14:textId="301C0CD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5.</w:t>
            </w:r>
          </w:p>
        </w:tc>
        <w:tc>
          <w:tcPr>
            <w:tcW w:w="169" w:type="pct"/>
            <w:tcBorders>
              <w:top w:val="single" w:sz="4" w:space="0" w:color="auto"/>
              <w:left w:val="single" w:sz="4" w:space="0" w:color="auto"/>
              <w:right w:val="single" w:sz="4" w:space="0" w:color="auto"/>
            </w:tcBorders>
            <w:shd w:val="clear" w:color="auto" w:fill="auto"/>
          </w:tcPr>
          <w:p w14:paraId="14144117" w14:textId="3F24C7E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65A6237" w14:textId="77777777" w:rsidR="000B4BD4" w:rsidRPr="0035187E" w:rsidRDefault="000B4BD4" w:rsidP="0035187E">
            <w:pPr>
              <w:numPr>
                <w:ilvl w:val="0"/>
                <w:numId w:val="86"/>
              </w:num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Zálohy, doplatky a storna zájezdů </w:t>
            </w:r>
          </w:p>
          <w:p w14:paraId="6811D782" w14:textId="7476A9A6" w:rsidR="000B4BD4" w:rsidRPr="0035187E" w:rsidRDefault="000B4BD4" w:rsidP="0035187E">
            <w:pPr>
              <w:pStyle w:val="Bezmezer"/>
              <w:jc w:val="both"/>
              <w:rPr>
                <w:rFonts w:ascii="Times New Roman" w:hAnsi="Times New Roman" w:cs="Times New Roman"/>
                <w:sz w:val="20"/>
                <w:szCs w:val="20"/>
              </w:rPr>
            </w:pPr>
            <w:r w:rsidRPr="0035187E">
              <w:rPr>
                <w:rFonts w:ascii="Times New Roman" w:eastAsia="Times New Roman" w:hAnsi="Times New Roman" w:cs="Times New Roman"/>
                <w:sz w:val="20"/>
                <w:szCs w:val="20"/>
              </w:rPr>
              <w:t>Typické pro CK: záloha → doplatek → změna ceny → storno → vrácení. Jedná se o více někdy i více platebních toků. Kdy vzniká evidovaná tržba u zájezdu? Při přijetí zálohy, nebo až při realizaci služby?</w:t>
            </w:r>
          </w:p>
        </w:tc>
        <w:tc>
          <w:tcPr>
            <w:tcW w:w="1453" w:type="pct"/>
            <w:tcBorders>
              <w:top w:val="single" w:sz="4" w:space="0" w:color="auto"/>
              <w:left w:val="single" w:sz="4" w:space="0" w:color="auto"/>
              <w:right w:val="single" w:sz="4" w:space="0" w:color="auto"/>
            </w:tcBorders>
            <w:shd w:val="clear" w:color="auto" w:fill="auto"/>
          </w:tcPr>
          <w:p w14:paraId="771E633B" w14:textId="77777777" w:rsidR="000B4BD4" w:rsidRPr="0035187E" w:rsidRDefault="00F11AF3"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63A20FD9" w14:textId="6BD6BBEF" w:rsidR="00245DFA" w:rsidRPr="0035187E" w:rsidRDefault="00245DFA" w:rsidP="0035187E">
            <w:pPr>
              <w:jc w:val="both"/>
              <w:rPr>
                <w:rFonts w:ascii="Times New Roman" w:hAnsi="Times New Roman" w:cs="Times New Roman"/>
                <w:sz w:val="20"/>
                <w:szCs w:val="20"/>
              </w:rPr>
            </w:pPr>
            <w:r w:rsidRPr="0035187E">
              <w:rPr>
                <w:rFonts w:ascii="Times New Roman" w:hAnsi="Times New Roman" w:cs="Times New Roman"/>
                <w:sz w:val="20"/>
                <w:szCs w:val="20"/>
              </w:rPr>
              <w:t>Záloha představuje samostatnou evidovanou tržbu, kterou je zapotřebí zaevidovat v momentu jejího uskutečnění, pokud se jedná o kontaktní platbu. (viz § 17 odst. 2). Storno je legitimní reakcí na vývoj dané transakce (viz § 9).</w:t>
            </w:r>
          </w:p>
          <w:p w14:paraId="5B46EF1E" w14:textId="2081C01A" w:rsidR="00245DFA" w:rsidRPr="0035187E" w:rsidRDefault="00245DFA" w:rsidP="0035187E">
            <w:pPr>
              <w:jc w:val="both"/>
              <w:rPr>
                <w:rFonts w:ascii="Times New Roman" w:hAnsi="Times New Roman" w:cs="Times New Roman"/>
                <w:sz w:val="20"/>
                <w:szCs w:val="20"/>
              </w:rPr>
            </w:pPr>
            <w:r w:rsidRPr="0035187E">
              <w:rPr>
                <w:rFonts w:ascii="Times New Roman" w:hAnsi="Times New Roman" w:cs="Times New Roman"/>
                <w:sz w:val="20"/>
                <w:szCs w:val="20"/>
              </w:rPr>
              <w:t>Současně platí, že podrobnosti k jednotlivým tématům budou metodicky upraveny a zveřejněny ze strany Generálního finančního ředitelství.</w:t>
            </w:r>
          </w:p>
          <w:p w14:paraId="0F85935C" w14:textId="3837A1C4" w:rsidR="00F11AF3" w:rsidRPr="0035187E" w:rsidRDefault="00245DFA" w:rsidP="0035187E">
            <w:pPr>
              <w:jc w:val="both"/>
              <w:rPr>
                <w:rFonts w:ascii="Times New Roman" w:hAnsi="Times New Roman" w:cs="Times New Roman"/>
                <w:sz w:val="20"/>
                <w:szCs w:val="20"/>
              </w:rPr>
            </w:pPr>
            <w:r w:rsidRPr="0035187E">
              <w:rPr>
                <w:rFonts w:ascii="Times New Roman" w:hAnsi="Times New Roman" w:cs="Times New Roman"/>
                <w:sz w:val="20"/>
                <w:szCs w:val="20"/>
              </w:rPr>
              <w:t>Lze také nabídnout proškolení dotčených subjektů ze specifických oborů podnikání.</w:t>
            </w:r>
          </w:p>
        </w:tc>
      </w:tr>
      <w:tr w:rsidR="0035187E" w:rsidRPr="0035187E" w14:paraId="042BBC9C"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66ABC7A" w14:textId="7CC2B42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88.</w:t>
            </w:r>
          </w:p>
        </w:tc>
        <w:tc>
          <w:tcPr>
            <w:tcW w:w="583" w:type="pct"/>
            <w:tcBorders>
              <w:top w:val="single" w:sz="4" w:space="0" w:color="auto"/>
              <w:left w:val="single" w:sz="4" w:space="0" w:color="auto"/>
              <w:right w:val="single" w:sz="4" w:space="0" w:color="auto"/>
            </w:tcBorders>
            <w:shd w:val="clear" w:color="auto" w:fill="auto"/>
          </w:tcPr>
          <w:p w14:paraId="57CD6FF5" w14:textId="548755B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Asociace cestovních kanceláří České republiky</w:t>
            </w:r>
          </w:p>
        </w:tc>
        <w:tc>
          <w:tcPr>
            <w:tcW w:w="168" w:type="pct"/>
            <w:tcBorders>
              <w:top w:val="single" w:sz="4" w:space="0" w:color="auto"/>
              <w:left w:val="single" w:sz="4" w:space="0" w:color="auto"/>
              <w:right w:val="single" w:sz="4" w:space="0" w:color="auto"/>
            </w:tcBorders>
            <w:shd w:val="clear" w:color="auto" w:fill="auto"/>
          </w:tcPr>
          <w:p w14:paraId="7F4CE976" w14:textId="3C6CEC2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6.</w:t>
            </w:r>
          </w:p>
        </w:tc>
        <w:tc>
          <w:tcPr>
            <w:tcW w:w="169" w:type="pct"/>
            <w:tcBorders>
              <w:top w:val="single" w:sz="4" w:space="0" w:color="auto"/>
              <w:left w:val="single" w:sz="4" w:space="0" w:color="auto"/>
              <w:right w:val="single" w:sz="4" w:space="0" w:color="auto"/>
            </w:tcBorders>
            <w:shd w:val="clear" w:color="auto" w:fill="auto"/>
          </w:tcPr>
          <w:p w14:paraId="44A53D71" w14:textId="39AD300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CB9AAE5" w14:textId="77777777" w:rsidR="000B4BD4" w:rsidRPr="0035187E" w:rsidRDefault="000B4BD4" w:rsidP="0035187E">
            <w:pPr>
              <w:numPr>
                <w:ilvl w:val="0"/>
                <w:numId w:val="86"/>
              </w:num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Bezhotovostní a zahraniční platby (</w:t>
            </w:r>
            <w:proofErr w:type="spellStart"/>
            <w:r w:rsidRPr="0035187E">
              <w:rPr>
                <w:rFonts w:ascii="Times New Roman" w:hAnsi="Times New Roman" w:cs="Times New Roman"/>
                <w:sz w:val="20"/>
                <w:szCs w:val="20"/>
              </w:rPr>
              <w:t>Revolut</w:t>
            </w:r>
            <w:proofErr w:type="spellEnd"/>
            <w:r w:rsidRPr="0035187E">
              <w:rPr>
                <w:rFonts w:ascii="Times New Roman" w:hAnsi="Times New Roman" w:cs="Times New Roman"/>
                <w:sz w:val="20"/>
                <w:szCs w:val="20"/>
              </w:rPr>
              <w:t xml:space="preserve">, PayPal, zahraniční účty) </w:t>
            </w:r>
          </w:p>
          <w:p w14:paraId="1232EF58" w14:textId="29DDFC78" w:rsidR="000B4BD4" w:rsidRPr="0035187E" w:rsidRDefault="000B4BD4" w:rsidP="0035187E">
            <w:pPr>
              <w:pStyle w:val="Bezmezer"/>
              <w:jc w:val="both"/>
              <w:rPr>
                <w:rFonts w:ascii="Times New Roman" w:hAnsi="Times New Roman" w:cs="Times New Roman"/>
                <w:sz w:val="20"/>
                <w:szCs w:val="20"/>
              </w:rPr>
            </w:pPr>
            <w:r w:rsidRPr="0035187E">
              <w:rPr>
                <w:rFonts w:ascii="Times New Roman" w:eastAsia="Times New Roman" w:hAnsi="Times New Roman" w:cs="Times New Roman"/>
                <w:sz w:val="20"/>
                <w:szCs w:val="20"/>
              </w:rPr>
              <w:t>U CK/CA dochází k tomu, že jim klienti platí ze zahraničí (</w:t>
            </w:r>
            <w:proofErr w:type="spellStart"/>
            <w:proofErr w:type="gramStart"/>
            <w:r w:rsidRPr="0035187E">
              <w:rPr>
                <w:rFonts w:ascii="Times New Roman" w:eastAsia="Times New Roman" w:hAnsi="Times New Roman" w:cs="Times New Roman"/>
                <w:sz w:val="20"/>
                <w:szCs w:val="20"/>
              </w:rPr>
              <w:t>GoPay</w:t>
            </w:r>
            <w:proofErr w:type="spellEnd"/>
            <w:r w:rsidRPr="0035187E">
              <w:rPr>
                <w:rFonts w:ascii="Times New Roman" w:eastAsia="Times New Roman" w:hAnsi="Times New Roman" w:cs="Times New Roman"/>
                <w:sz w:val="20"/>
                <w:szCs w:val="20"/>
              </w:rPr>
              <w:t>,</w:t>
            </w:r>
            <w:proofErr w:type="gramEnd"/>
            <w:r w:rsidRPr="0035187E">
              <w:rPr>
                <w:rFonts w:ascii="Times New Roman" w:eastAsia="Times New Roman" w:hAnsi="Times New Roman" w:cs="Times New Roman"/>
                <w:sz w:val="20"/>
                <w:szCs w:val="20"/>
              </w:rPr>
              <w:t xml:space="preserve"> apod.). Jak bude určeno místo a okamžik evidence u přeshraničních plateb?</w:t>
            </w:r>
          </w:p>
        </w:tc>
        <w:tc>
          <w:tcPr>
            <w:tcW w:w="1453" w:type="pct"/>
            <w:tcBorders>
              <w:top w:val="single" w:sz="4" w:space="0" w:color="auto"/>
              <w:left w:val="single" w:sz="4" w:space="0" w:color="auto"/>
              <w:right w:val="single" w:sz="4" w:space="0" w:color="auto"/>
            </w:tcBorders>
            <w:shd w:val="clear" w:color="auto" w:fill="auto"/>
          </w:tcPr>
          <w:p w14:paraId="21484654" w14:textId="77777777" w:rsidR="000B4BD4" w:rsidRPr="0035187E" w:rsidRDefault="00F11AF3"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4714CDE6" w14:textId="69EF4246" w:rsidR="007B6163" w:rsidRPr="0035187E" w:rsidRDefault="00F11AF3" w:rsidP="0035187E">
            <w:pPr>
              <w:jc w:val="both"/>
              <w:rPr>
                <w:rFonts w:ascii="Times New Roman" w:hAnsi="Times New Roman" w:cs="Times New Roman"/>
                <w:sz w:val="20"/>
                <w:szCs w:val="20"/>
              </w:rPr>
            </w:pPr>
            <w:r w:rsidRPr="0035187E">
              <w:rPr>
                <w:rFonts w:ascii="Times New Roman" w:hAnsi="Times New Roman" w:cs="Times New Roman"/>
                <w:sz w:val="20"/>
                <w:szCs w:val="20"/>
              </w:rPr>
              <w:t>U kontaktní platby uskutečněné v zahraničí platí, že ta nepodléhá povinnosti evidovat tržbu (princip teritoriality). Je-li platba provedena</w:t>
            </w:r>
            <w:r w:rsidR="007B6163" w:rsidRPr="0035187E">
              <w:rPr>
                <w:rFonts w:ascii="Times New Roman" w:hAnsi="Times New Roman" w:cs="Times New Roman"/>
                <w:sz w:val="20"/>
                <w:szCs w:val="20"/>
              </w:rPr>
              <w:t xml:space="preserve"> „nekontaktně“, tak nenaplní formální znak pro evidovanou tržbu a evidenci tržeb rovněž nepodléhá.</w:t>
            </w:r>
          </w:p>
        </w:tc>
      </w:tr>
      <w:tr w:rsidR="0035187E" w:rsidRPr="0035187E" w14:paraId="7DDE6066"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25E2DB2" w14:textId="66F094B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88.</w:t>
            </w:r>
          </w:p>
        </w:tc>
        <w:tc>
          <w:tcPr>
            <w:tcW w:w="583" w:type="pct"/>
            <w:tcBorders>
              <w:top w:val="single" w:sz="4" w:space="0" w:color="auto"/>
              <w:left w:val="single" w:sz="4" w:space="0" w:color="auto"/>
              <w:right w:val="single" w:sz="4" w:space="0" w:color="auto"/>
            </w:tcBorders>
            <w:shd w:val="clear" w:color="auto" w:fill="auto"/>
          </w:tcPr>
          <w:p w14:paraId="520BF023" w14:textId="368609A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Asociace cestovních kanceláří České republiky</w:t>
            </w:r>
          </w:p>
        </w:tc>
        <w:tc>
          <w:tcPr>
            <w:tcW w:w="168" w:type="pct"/>
            <w:tcBorders>
              <w:top w:val="single" w:sz="4" w:space="0" w:color="auto"/>
              <w:left w:val="single" w:sz="4" w:space="0" w:color="auto"/>
              <w:right w:val="single" w:sz="4" w:space="0" w:color="auto"/>
            </w:tcBorders>
            <w:shd w:val="clear" w:color="auto" w:fill="auto"/>
          </w:tcPr>
          <w:p w14:paraId="2F084CD3" w14:textId="48C1199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7.</w:t>
            </w:r>
          </w:p>
        </w:tc>
        <w:tc>
          <w:tcPr>
            <w:tcW w:w="169" w:type="pct"/>
            <w:tcBorders>
              <w:top w:val="single" w:sz="4" w:space="0" w:color="auto"/>
              <w:left w:val="single" w:sz="4" w:space="0" w:color="auto"/>
              <w:right w:val="single" w:sz="4" w:space="0" w:color="auto"/>
            </w:tcBorders>
            <w:shd w:val="clear" w:color="auto" w:fill="auto"/>
          </w:tcPr>
          <w:p w14:paraId="6C7819E2" w14:textId="32FF57E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AD00627" w14:textId="77777777" w:rsidR="000B4BD4" w:rsidRPr="0035187E" w:rsidRDefault="000B4BD4" w:rsidP="0035187E">
            <w:pPr>
              <w:numPr>
                <w:ilvl w:val="0"/>
                <w:numId w:val="86"/>
              </w:num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Skupinové platby (školy apod.) </w:t>
            </w:r>
          </w:p>
          <w:p w14:paraId="5685EE22" w14:textId="6988C4A8" w:rsidR="000B4BD4" w:rsidRPr="0035187E" w:rsidRDefault="000B4BD4" w:rsidP="0035187E">
            <w:pPr>
              <w:pStyle w:val="Bezmezer"/>
              <w:jc w:val="both"/>
              <w:rPr>
                <w:rFonts w:ascii="Times New Roman" w:hAnsi="Times New Roman" w:cs="Times New Roman"/>
                <w:sz w:val="20"/>
                <w:szCs w:val="20"/>
              </w:rPr>
            </w:pPr>
            <w:r w:rsidRPr="0035187E">
              <w:rPr>
                <w:rFonts w:ascii="Times New Roman" w:eastAsia="Times New Roman" w:hAnsi="Times New Roman" w:cs="Times New Roman"/>
                <w:sz w:val="20"/>
                <w:szCs w:val="20"/>
              </w:rPr>
              <w:t>Bude u evidence rozdíl, zda budou řešit jinak evidenci u hromadných/skupinových produktů? Např. v B2B – školy, firmy apod. Jak evidovat tržbu – jako jednu agregovanou, nebo rozpad na jednotlivé klienty?</w:t>
            </w:r>
          </w:p>
        </w:tc>
        <w:tc>
          <w:tcPr>
            <w:tcW w:w="1453" w:type="pct"/>
            <w:tcBorders>
              <w:top w:val="single" w:sz="4" w:space="0" w:color="auto"/>
              <w:left w:val="single" w:sz="4" w:space="0" w:color="auto"/>
              <w:right w:val="single" w:sz="4" w:space="0" w:color="auto"/>
            </w:tcBorders>
            <w:shd w:val="clear" w:color="auto" w:fill="auto"/>
          </w:tcPr>
          <w:p w14:paraId="0AA70DCD" w14:textId="77777777" w:rsidR="000B4BD4" w:rsidRPr="0035187E" w:rsidRDefault="007B6163"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6B0D7214" w14:textId="3C60DAA7" w:rsidR="007B6163" w:rsidRPr="0035187E" w:rsidRDefault="007B6163" w:rsidP="0035187E">
            <w:pPr>
              <w:jc w:val="both"/>
              <w:rPr>
                <w:rFonts w:ascii="Times New Roman" w:hAnsi="Times New Roman" w:cs="Times New Roman"/>
                <w:sz w:val="20"/>
                <w:szCs w:val="20"/>
              </w:rPr>
            </w:pPr>
            <w:r w:rsidRPr="0035187E">
              <w:rPr>
                <w:rFonts w:ascii="Times New Roman" w:hAnsi="Times New Roman" w:cs="Times New Roman"/>
                <w:sz w:val="20"/>
                <w:szCs w:val="20"/>
              </w:rPr>
              <w:t>Z pohledu evidence tržeb je informace o zákazníkovi irelevantní. Údaje o zákazníkovi nejsou předmětem evidence tržeb. Nezáleží na tom, zda zákazníkem je jedna osoba, nebo osob několik.</w:t>
            </w:r>
            <w:r w:rsidR="00245DFA" w:rsidRPr="0035187E">
              <w:rPr>
                <w:rFonts w:ascii="Times New Roman" w:hAnsi="Times New Roman" w:cs="Times New Roman"/>
                <w:sz w:val="20"/>
                <w:szCs w:val="20"/>
              </w:rPr>
              <w:t xml:space="preserve"> Eviduje se vždy kontaktní „platba“, přičemž je jedno, jestli se jedná o platbu za několik osob nebo od jednotlivce.</w:t>
            </w:r>
          </w:p>
        </w:tc>
      </w:tr>
      <w:tr w:rsidR="0035187E" w:rsidRPr="0035187E" w14:paraId="07E1E3C6"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7252210" w14:textId="4F2CDEA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88.</w:t>
            </w:r>
          </w:p>
        </w:tc>
        <w:tc>
          <w:tcPr>
            <w:tcW w:w="583" w:type="pct"/>
            <w:tcBorders>
              <w:top w:val="single" w:sz="4" w:space="0" w:color="auto"/>
              <w:left w:val="single" w:sz="4" w:space="0" w:color="auto"/>
              <w:right w:val="single" w:sz="4" w:space="0" w:color="auto"/>
            </w:tcBorders>
            <w:shd w:val="clear" w:color="auto" w:fill="auto"/>
          </w:tcPr>
          <w:p w14:paraId="4698A723" w14:textId="0765783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Asociace cestovních kanceláří České republiky</w:t>
            </w:r>
          </w:p>
        </w:tc>
        <w:tc>
          <w:tcPr>
            <w:tcW w:w="168" w:type="pct"/>
            <w:tcBorders>
              <w:top w:val="single" w:sz="4" w:space="0" w:color="auto"/>
              <w:left w:val="single" w:sz="4" w:space="0" w:color="auto"/>
              <w:right w:val="single" w:sz="4" w:space="0" w:color="auto"/>
            </w:tcBorders>
            <w:shd w:val="clear" w:color="auto" w:fill="auto"/>
          </w:tcPr>
          <w:p w14:paraId="6950D60F" w14:textId="5276A11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8.</w:t>
            </w:r>
          </w:p>
        </w:tc>
        <w:tc>
          <w:tcPr>
            <w:tcW w:w="169" w:type="pct"/>
            <w:tcBorders>
              <w:top w:val="single" w:sz="4" w:space="0" w:color="auto"/>
              <w:left w:val="single" w:sz="4" w:space="0" w:color="auto"/>
              <w:right w:val="single" w:sz="4" w:space="0" w:color="auto"/>
            </w:tcBorders>
            <w:shd w:val="clear" w:color="auto" w:fill="auto"/>
          </w:tcPr>
          <w:p w14:paraId="5D30F050" w14:textId="2C0EB30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0EEA810" w14:textId="77777777" w:rsidR="000B4BD4" w:rsidRPr="0035187E" w:rsidRDefault="000B4BD4" w:rsidP="0035187E">
            <w:pPr>
              <w:numPr>
                <w:ilvl w:val="0"/>
                <w:numId w:val="86"/>
              </w:num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Sankce a přiměřenost pokut dle segmentu </w:t>
            </w:r>
          </w:p>
          <w:p w14:paraId="3980185C" w14:textId="0EB26A32" w:rsidR="000B4BD4" w:rsidRPr="0035187E" w:rsidRDefault="000B4BD4" w:rsidP="0035187E">
            <w:pPr>
              <w:pStyle w:val="Bezmezer"/>
              <w:jc w:val="both"/>
              <w:rPr>
                <w:rFonts w:ascii="Times New Roman" w:hAnsi="Times New Roman" w:cs="Times New Roman"/>
                <w:sz w:val="20"/>
                <w:szCs w:val="20"/>
              </w:rPr>
            </w:pPr>
            <w:r w:rsidRPr="0035187E">
              <w:rPr>
                <w:rFonts w:ascii="Times New Roman" w:eastAsia="Times New Roman" w:hAnsi="Times New Roman" w:cs="Times New Roman"/>
                <w:sz w:val="20"/>
                <w:szCs w:val="20"/>
              </w:rPr>
              <w:t xml:space="preserve">Návrh uvádí pokuty až do 500 000 Kč. U CK/CA může být problematická míra výpočtu, když mají vysoké objemy plateb (ale mají nízké tržby). Je nutné </w:t>
            </w:r>
            <w:proofErr w:type="spellStart"/>
            <w:r w:rsidRPr="0035187E">
              <w:rPr>
                <w:rFonts w:ascii="Times New Roman" w:eastAsia="Times New Roman" w:hAnsi="Times New Roman" w:cs="Times New Roman"/>
                <w:sz w:val="20"/>
                <w:szCs w:val="20"/>
              </w:rPr>
              <w:t>zohledit</w:t>
            </w:r>
            <w:proofErr w:type="spellEnd"/>
            <w:r w:rsidRPr="0035187E">
              <w:rPr>
                <w:rFonts w:ascii="Times New Roman" w:eastAsia="Times New Roman" w:hAnsi="Times New Roman" w:cs="Times New Roman"/>
                <w:sz w:val="20"/>
                <w:szCs w:val="20"/>
              </w:rPr>
              <w:t xml:space="preserve"> při zprostředkování sankcí. Pokud neodpovídá marže vs. obrat.</w:t>
            </w:r>
          </w:p>
        </w:tc>
        <w:tc>
          <w:tcPr>
            <w:tcW w:w="1453" w:type="pct"/>
            <w:tcBorders>
              <w:top w:val="single" w:sz="4" w:space="0" w:color="auto"/>
              <w:left w:val="single" w:sz="4" w:space="0" w:color="auto"/>
              <w:right w:val="single" w:sz="4" w:space="0" w:color="auto"/>
            </w:tcBorders>
            <w:shd w:val="clear" w:color="auto" w:fill="auto"/>
          </w:tcPr>
          <w:p w14:paraId="4658B239" w14:textId="77777777" w:rsidR="000B4BD4" w:rsidRPr="0035187E" w:rsidRDefault="007B6163"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02335F76" w14:textId="37381250" w:rsidR="007B6163" w:rsidRPr="0035187E" w:rsidRDefault="007B6163"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Konstrukce pokut není závislá </w:t>
            </w:r>
            <w:r w:rsidR="00245DFA" w:rsidRPr="0035187E">
              <w:rPr>
                <w:rFonts w:ascii="Times New Roman" w:hAnsi="Times New Roman" w:cs="Times New Roman"/>
                <w:sz w:val="20"/>
                <w:szCs w:val="20"/>
              </w:rPr>
              <w:t xml:space="preserve">čistě </w:t>
            </w:r>
            <w:r w:rsidRPr="0035187E">
              <w:rPr>
                <w:rFonts w:ascii="Times New Roman" w:hAnsi="Times New Roman" w:cs="Times New Roman"/>
                <w:sz w:val="20"/>
                <w:szCs w:val="20"/>
              </w:rPr>
              <w:t>na výši obratu nebo velikosti marže. Platí zde obecná pravidla jako pro jiné přestupky, kterých se mohou dopustit podnikatelé. Správní orgán zde při určení výše sankce přihlíží k více faktorům (např. otázce recidivy), ale celkově by měl dbát na to, aby sankce byla přiměřená osobě poplatníka i charakteru deliktu.</w:t>
            </w:r>
          </w:p>
        </w:tc>
      </w:tr>
      <w:tr w:rsidR="0035187E" w:rsidRPr="0035187E" w14:paraId="147DEE9B"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4F5CB0CE" w14:textId="5AC2AD6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88.</w:t>
            </w:r>
          </w:p>
        </w:tc>
        <w:tc>
          <w:tcPr>
            <w:tcW w:w="583" w:type="pct"/>
            <w:tcBorders>
              <w:top w:val="single" w:sz="4" w:space="0" w:color="auto"/>
              <w:left w:val="single" w:sz="4" w:space="0" w:color="auto"/>
              <w:right w:val="single" w:sz="4" w:space="0" w:color="auto"/>
            </w:tcBorders>
            <w:shd w:val="clear" w:color="auto" w:fill="auto"/>
          </w:tcPr>
          <w:p w14:paraId="31F7AC1F" w14:textId="7982275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Asociace cestovních kanceláří České republiky</w:t>
            </w:r>
          </w:p>
        </w:tc>
        <w:tc>
          <w:tcPr>
            <w:tcW w:w="168" w:type="pct"/>
            <w:tcBorders>
              <w:top w:val="single" w:sz="4" w:space="0" w:color="auto"/>
              <w:left w:val="single" w:sz="4" w:space="0" w:color="auto"/>
              <w:right w:val="single" w:sz="4" w:space="0" w:color="auto"/>
            </w:tcBorders>
            <w:shd w:val="clear" w:color="auto" w:fill="auto"/>
          </w:tcPr>
          <w:p w14:paraId="05930093" w14:textId="6CDDFF7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9.</w:t>
            </w:r>
          </w:p>
        </w:tc>
        <w:tc>
          <w:tcPr>
            <w:tcW w:w="169" w:type="pct"/>
            <w:tcBorders>
              <w:top w:val="single" w:sz="4" w:space="0" w:color="auto"/>
              <w:left w:val="single" w:sz="4" w:space="0" w:color="auto"/>
              <w:right w:val="single" w:sz="4" w:space="0" w:color="auto"/>
            </w:tcBorders>
            <w:shd w:val="clear" w:color="auto" w:fill="auto"/>
          </w:tcPr>
          <w:p w14:paraId="7389BCAC" w14:textId="1B9F7D8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78579AA" w14:textId="7828A766" w:rsidR="000B4BD4" w:rsidRPr="0035187E" w:rsidRDefault="000B4BD4" w:rsidP="0035187E">
            <w:pPr>
              <w:numPr>
                <w:ilvl w:val="0"/>
                <w:numId w:val="86"/>
              </w:num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Upravuje danění nepeněžitých benefitů pro zaměstnance. Současně s navrhovanou změnou § 6 odst. 9 písm. d) bodu 2 zákona o daních z příjmů se navrhuje v ustanovení § 6 odst. 9 písm. d) zákona o daních z příjmů </w:t>
            </w:r>
            <w:proofErr w:type="spellStart"/>
            <w:r w:rsidRPr="0035187E">
              <w:rPr>
                <w:rFonts w:ascii="Times New Roman" w:hAnsi="Times New Roman" w:cs="Times New Roman"/>
                <w:sz w:val="20"/>
                <w:szCs w:val="20"/>
              </w:rPr>
              <w:t>zastropovat</w:t>
            </w:r>
            <w:proofErr w:type="spellEnd"/>
            <w:r w:rsidRPr="0035187E">
              <w:rPr>
                <w:rFonts w:ascii="Times New Roman" w:hAnsi="Times New Roman" w:cs="Times New Roman"/>
                <w:sz w:val="20"/>
                <w:szCs w:val="20"/>
              </w:rPr>
              <w:t xml:space="preserve"> daňové osvobození nepeněžního plnění poskytnutého zaměstnavatelem zaměstnanci ve formě rekreace a zájezdu v úhrnu nejvýše částkou 20 000 Kč za zdaňovací období. </w:t>
            </w:r>
            <w:proofErr w:type="spellStart"/>
            <w:r w:rsidRPr="0035187E">
              <w:rPr>
                <w:rFonts w:ascii="Times New Roman" w:hAnsi="Times New Roman" w:cs="Times New Roman"/>
                <w:sz w:val="20"/>
                <w:szCs w:val="20"/>
              </w:rPr>
              <w:t>Zastropování</w:t>
            </w:r>
            <w:proofErr w:type="spellEnd"/>
            <w:r w:rsidRPr="0035187E">
              <w:rPr>
                <w:rFonts w:ascii="Times New Roman" w:hAnsi="Times New Roman" w:cs="Times New Roman"/>
                <w:sz w:val="20"/>
                <w:szCs w:val="20"/>
              </w:rPr>
              <w:t xml:space="preserve"> daňového osvobození nepeněžního plnění na rekreaci a zájezdy omezuje negativní dopady na veřejné rozpočty a brání nepřímému zvýhodňování ekonomicky zdatnějších zaměstnavatelů. </w:t>
            </w:r>
          </w:p>
          <w:p w14:paraId="36995F60" w14:textId="77777777" w:rsidR="000B4BD4" w:rsidRPr="0035187E" w:rsidRDefault="000B4BD4" w:rsidP="0035187E">
            <w:pPr>
              <w:numPr>
                <w:ilvl w:val="1"/>
                <w:numId w:val="87"/>
              </w:numPr>
              <w:autoSpaceDE w:val="0"/>
              <w:autoSpaceDN w:val="0"/>
              <w:adjustRightInd w:val="0"/>
              <w:jc w:val="both"/>
              <w:rPr>
                <w:rFonts w:ascii="Times New Roman" w:hAnsi="Times New Roman" w:cs="Times New Roman"/>
                <w:sz w:val="20"/>
                <w:szCs w:val="20"/>
              </w:rPr>
            </w:pPr>
          </w:p>
          <w:p w14:paraId="0618184F" w14:textId="03DD2400" w:rsidR="000B4BD4" w:rsidRPr="0035187E" w:rsidRDefault="000B4BD4" w:rsidP="0035187E">
            <w:pPr>
              <w:pStyle w:val="Bezmezer"/>
              <w:jc w:val="both"/>
              <w:rPr>
                <w:rFonts w:ascii="Times New Roman" w:hAnsi="Times New Roman" w:cs="Times New Roman"/>
                <w:sz w:val="20"/>
                <w:szCs w:val="20"/>
              </w:rPr>
            </w:pPr>
            <w:r w:rsidRPr="0035187E">
              <w:rPr>
                <w:rFonts w:ascii="Times New Roman" w:eastAsia="Times New Roman" w:hAnsi="Times New Roman" w:cs="Times New Roman"/>
                <w:sz w:val="20"/>
                <w:szCs w:val="20"/>
              </w:rPr>
              <w:t xml:space="preserve">Uvedené </w:t>
            </w:r>
            <w:proofErr w:type="spellStart"/>
            <w:r w:rsidRPr="0035187E">
              <w:rPr>
                <w:rFonts w:ascii="Times New Roman" w:eastAsia="Times New Roman" w:hAnsi="Times New Roman" w:cs="Times New Roman"/>
                <w:sz w:val="20"/>
                <w:szCs w:val="20"/>
              </w:rPr>
              <w:t>zastropování</w:t>
            </w:r>
            <w:proofErr w:type="spellEnd"/>
            <w:r w:rsidRPr="0035187E">
              <w:rPr>
                <w:rFonts w:ascii="Times New Roman" w:eastAsia="Times New Roman" w:hAnsi="Times New Roman" w:cs="Times New Roman"/>
                <w:sz w:val="20"/>
                <w:szCs w:val="20"/>
              </w:rPr>
              <w:t xml:space="preserve"> zhoršuje stávající úpravu. Limit 20 000 Kč neodpovídá skutečné cenové úrovni cestovního ruchu. V situaci, kdy ceny zájezdů za poslední roky rostou z důvodu inflace, stejně tak jako pobyty v ČR a cena za ubytování/noc/hlava. Zaměstnanecký zájezd je přitom standardní a sociálně žádoucí benefit, který zaměstnavatelé v sektoru cestovního ruchu mohou svým zaměstnancům nabízet za nákupní (přímou) cenu – tedy výrazně pod cenou tržní. Navrhujeme buď bez omezení či zvýšení limitu minimálně na úroveň průměrné mzdy za zdaňovací období (bez </w:t>
            </w:r>
            <w:proofErr w:type="spellStart"/>
            <w:r w:rsidRPr="0035187E">
              <w:rPr>
                <w:rFonts w:ascii="Times New Roman" w:eastAsia="Times New Roman" w:hAnsi="Times New Roman" w:cs="Times New Roman"/>
                <w:sz w:val="20"/>
                <w:szCs w:val="20"/>
              </w:rPr>
              <w:t>zastropování</w:t>
            </w:r>
            <w:proofErr w:type="spellEnd"/>
            <w:r w:rsidRPr="0035187E">
              <w:rPr>
                <w:rFonts w:ascii="Times New Roman" w:eastAsia="Times New Roman" w:hAnsi="Times New Roman" w:cs="Times New Roman"/>
                <w:sz w:val="20"/>
                <w:szCs w:val="20"/>
              </w:rPr>
              <w:t>), a to včetně každoroční valorizace vazbou na průměrnou mzdu stanovenou nařízením vlády.</w:t>
            </w:r>
          </w:p>
        </w:tc>
        <w:tc>
          <w:tcPr>
            <w:tcW w:w="1453" w:type="pct"/>
            <w:tcBorders>
              <w:top w:val="single" w:sz="4" w:space="0" w:color="auto"/>
              <w:left w:val="single" w:sz="4" w:space="0" w:color="auto"/>
              <w:right w:val="single" w:sz="4" w:space="0" w:color="auto"/>
            </w:tcBorders>
            <w:shd w:val="clear" w:color="auto" w:fill="auto"/>
          </w:tcPr>
          <w:p w14:paraId="30978303" w14:textId="77777777" w:rsidR="00D167F0" w:rsidRPr="0035187E" w:rsidRDefault="00D167F0"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Nevyhověno.</w:t>
            </w:r>
          </w:p>
          <w:p w14:paraId="3F89C80E" w14:textId="77777777" w:rsidR="00D167F0" w:rsidRPr="0035187E" w:rsidRDefault="00D167F0" w:rsidP="0035187E">
            <w:pPr>
              <w:contextualSpacing/>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Poskytnutí rekreace a zájezdu bude ponecháno mezi volnočasovými benefity v § 6 odst. 9 písm. d) zákona o daních z příjmů.</w:t>
            </w:r>
          </w:p>
          <w:p w14:paraId="23CCA33E" w14:textId="77777777" w:rsidR="00D167F0" w:rsidRPr="0035187E" w:rsidRDefault="00D167F0" w:rsidP="0035187E">
            <w:pPr>
              <w:contextualSpacing/>
              <w:jc w:val="both"/>
              <w:rPr>
                <w:rFonts w:ascii="Times New Roman" w:hAnsi="Times New Roman" w:cs="Times New Roman"/>
                <w:iCs/>
                <w:sz w:val="20"/>
                <w:szCs w:val="20"/>
              </w:rPr>
            </w:pPr>
            <w:r w:rsidRPr="0035187E">
              <w:rPr>
                <w:rFonts w:ascii="Times New Roman" w:hAnsi="Times New Roman" w:cs="Times New Roman"/>
                <w:sz w:val="20"/>
                <w:szCs w:val="20"/>
              </w:rPr>
              <w:t>Návrh zákona o evidenci tržeb</w:t>
            </w:r>
            <w:r w:rsidRPr="0035187E">
              <w:rPr>
                <w:rFonts w:ascii="Times New Roman" w:hAnsi="Times New Roman" w:cs="Times New Roman"/>
                <w:b/>
                <w:bCs/>
                <w:sz w:val="20"/>
                <w:szCs w:val="20"/>
              </w:rPr>
              <w:t xml:space="preserve"> </w:t>
            </w:r>
            <w:r w:rsidRPr="0035187E">
              <w:rPr>
                <w:rFonts w:ascii="Times New Roman" w:hAnsi="Times New Roman" w:cs="Times New Roman"/>
                <w:sz w:val="20"/>
                <w:szCs w:val="20"/>
              </w:rPr>
              <w:t xml:space="preserve">počítá se zrušením stropu volnočasových benefitů zaměstnanců tak, jak se vláda zavázala prostřednictvím svého programového prohlášení. </w:t>
            </w:r>
            <w:r w:rsidRPr="0035187E">
              <w:rPr>
                <w:rFonts w:ascii="Times New Roman" w:hAnsi="Times New Roman" w:cs="Times New Roman"/>
                <w:iCs/>
                <w:sz w:val="20"/>
                <w:szCs w:val="20"/>
              </w:rPr>
              <w:t xml:space="preserve">Celá konstrukce výše cit. ustanovení dává poplatníků rozšířené možnosti využití daňových benefitů. </w:t>
            </w:r>
            <w:proofErr w:type="spellStart"/>
            <w:r w:rsidRPr="0035187E">
              <w:rPr>
                <w:rFonts w:ascii="Times New Roman" w:hAnsi="Times New Roman" w:cs="Times New Roman"/>
                <w:iCs/>
                <w:sz w:val="20"/>
                <w:szCs w:val="20"/>
              </w:rPr>
              <w:t>Zastropování</w:t>
            </w:r>
            <w:proofErr w:type="spellEnd"/>
            <w:r w:rsidRPr="0035187E">
              <w:rPr>
                <w:rFonts w:ascii="Times New Roman" w:hAnsi="Times New Roman" w:cs="Times New Roman"/>
                <w:iCs/>
                <w:sz w:val="20"/>
                <w:szCs w:val="20"/>
              </w:rPr>
              <w:t xml:space="preserve"> daňového osvobození nepeněžního plnění na rekreaci a zájezdy omezuje dopady na veřejné rozpočty a brání nepřímému zvýhodňování ekonomicky zdatnějších zaměstnavatelů. Současně zajišťuje, že daňové zvýhodnění plní svůj sociální účel podpory běžné rekreace a regenerace pracovní síly, nikoli financování nadstandardních forem dovolené. </w:t>
            </w:r>
          </w:p>
          <w:p w14:paraId="6569520F" w14:textId="7C9F5969" w:rsidR="000B4BD4" w:rsidRPr="0035187E" w:rsidRDefault="00D167F0" w:rsidP="0035187E">
            <w:pPr>
              <w:jc w:val="both"/>
              <w:rPr>
                <w:rFonts w:ascii="Times New Roman" w:hAnsi="Times New Roman" w:cs="Times New Roman"/>
                <w:sz w:val="20"/>
                <w:szCs w:val="20"/>
              </w:rPr>
            </w:pPr>
            <w:r w:rsidRPr="0035187E">
              <w:rPr>
                <w:rFonts w:ascii="Times New Roman" w:hAnsi="Times New Roman" w:cs="Times New Roman"/>
                <w:iCs/>
                <w:sz w:val="20"/>
                <w:szCs w:val="20"/>
              </w:rPr>
              <w:t>Návrh vychází z legislativní úpravy účinné do konce roku 2023, podle níž byla hodnota nepeněžního plnění ve formě rekreace a zájezdu na straně zaměstnance osvobozena od daně až do výše 20 000 Kč za zdaňovací období. Navrhovaná úprava proto nepřináší novou administrativní zátěž ani nevyvolává interpretační nejasnosti.</w:t>
            </w:r>
          </w:p>
        </w:tc>
      </w:tr>
      <w:tr w:rsidR="0035187E" w:rsidRPr="0035187E" w14:paraId="2ED199A3"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02296C9" w14:textId="112B60C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88.</w:t>
            </w:r>
          </w:p>
        </w:tc>
        <w:tc>
          <w:tcPr>
            <w:tcW w:w="583" w:type="pct"/>
            <w:tcBorders>
              <w:top w:val="single" w:sz="4" w:space="0" w:color="auto"/>
              <w:left w:val="single" w:sz="4" w:space="0" w:color="auto"/>
              <w:right w:val="single" w:sz="4" w:space="0" w:color="auto"/>
            </w:tcBorders>
            <w:shd w:val="clear" w:color="auto" w:fill="auto"/>
          </w:tcPr>
          <w:p w14:paraId="29FF82B3" w14:textId="482BE8F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Asociace cestovních kanceláří České republiky</w:t>
            </w:r>
          </w:p>
        </w:tc>
        <w:tc>
          <w:tcPr>
            <w:tcW w:w="168" w:type="pct"/>
            <w:tcBorders>
              <w:top w:val="single" w:sz="4" w:space="0" w:color="auto"/>
              <w:left w:val="single" w:sz="4" w:space="0" w:color="auto"/>
              <w:right w:val="single" w:sz="4" w:space="0" w:color="auto"/>
            </w:tcBorders>
            <w:shd w:val="clear" w:color="auto" w:fill="auto"/>
          </w:tcPr>
          <w:p w14:paraId="4A45D329" w14:textId="0BB9206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10.</w:t>
            </w:r>
          </w:p>
        </w:tc>
        <w:tc>
          <w:tcPr>
            <w:tcW w:w="169" w:type="pct"/>
            <w:tcBorders>
              <w:top w:val="single" w:sz="4" w:space="0" w:color="auto"/>
              <w:left w:val="single" w:sz="4" w:space="0" w:color="auto"/>
              <w:right w:val="single" w:sz="4" w:space="0" w:color="auto"/>
            </w:tcBorders>
            <w:shd w:val="clear" w:color="auto" w:fill="auto"/>
          </w:tcPr>
          <w:p w14:paraId="73C2A655" w14:textId="581D2B4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C996E09"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Obecně: </w:t>
            </w:r>
          </w:p>
          <w:p w14:paraId="451F11F5" w14:textId="77777777" w:rsidR="000B4BD4" w:rsidRPr="0035187E" w:rsidRDefault="000B4BD4" w:rsidP="0035187E">
            <w:pPr>
              <w:numPr>
                <w:ilvl w:val="0"/>
                <w:numId w:val="88"/>
              </w:num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 xml:space="preserve">Sazby DPH: </w:t>
            </w:r>
            <w:r w:rsidRPr="0035187E">
              <w:rPr>
                <w:rFonts w:ascii="Times New Roman" w:hAnsi="Times New Roman" w:cs="Times New Roman"/>
                <w:sz w:val="20"/>
                <w:szCs w:val="20"/>
              </w:rPr>
              <w:t xml:space="preserve">Považujeme za důležité sjednocení sazeb DPH v rámci sektoru cestovního ruchu, aby došlo k odstranění nerovných podmínek napříč odvětvím (např. při prodeji ubytování cestovní agenturou vs. přímo ubytovacím zařízením či u služeb turistických informačních center). </w:t>
            </w:r>
          </w:p>
          <w:p w14:paraId="5400B0CE"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0D73EDF0" w14:textId="398BAFA5" w:rsidR="000B4BD4" w:rsidRPr="0035187E" w:rsidRDefault="000B4BD4" w:rsidP="0035187E">
            <w:pPr>
              <w:pStyle w:val="Bezmezer"/>
              <w:jc w:val="both"/>
              <w:rPr>
                <w:rFonts w:ascii="Times New Roman" w:hAnsi="Times New Roman" w:cs="Times New Roman"/>
                <w:sz w:val="20"/>
                <w:szCs w:val="20"/>
              </w:rPr>
            </w:pPr>
            <w:r w:rsidRPr="0035187E">
              <w:rPr>
                <w:rFonts w:ascii="Times New Roman" w:eastAsia="Times New Roman" w:hAnsi="Times New Roman" w:cs="Times New Roman"/>
                <w:sz w:val="20"/>
                <w:szCs w:val="20"/>
              </w:rPr>
              <w:t>Zároveň doporučujeme zvážit snížení limitu pro vracení DPH turistům ze třetích zemí, což může podpořit příjezdový cestovní ruch.</w:t>
            </w:r>
          </w:p>
        </w:tc>
        <w:tc>
          <w:tcPr>
            <w:tcW w:w="1453" w:type="pct"/>
            <w:tcBorders>
              <w:top w:val="single" w:sz="4" w:space="0" w:color="auto"/>
              <w:left w:val="single" w:sz="4" w:space="0" w:color="auto"/>
              <w:right w:val="single" w:sz="4" w:space="0" w:color="auto"/>
            </w:tcBorders>
            <w:shd w:val="clear" w:color="auto" w:fill="auto"/>
          </w:tcPr>
          <w:p w14:paraId="366049F6"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Nevyhověno.</w:t>
            </w:r>
          </w:p>
          <w:p w14:paraId="1295C2C9" w14:textId="12BE1506"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K otázce sjednocení sazeb DPH lze uvést, že pro zvláštní režim pro cestovní kanceláře se povinně v souladu s unijní směrnicí použije základní sazba daně. Současně se každý členský stát může rozhodnout, že příkladně u ubytovacích služeb lze aplikovat sníženou sazbu daně. Vzhledem k tomu, že tyto možnosti jsou schváleny v unijní směrnici o DPH, prošla tato úprava také testem daňové neutrality (kdy dvě stejné komodity nesmí být zatíženy rozdílnou sazbou daně). V tomto případě je zřejmé, že služba cestovní </w:t>
            </w:r>
            <w:r w:rsidRPr="0035187E">
              <w:rPr>
                <w:rFonts w:ascii="Times New Roman" w:hAnsi="Times New Roman" w:cs="Times New Roman"/>
                <w:sz w:val="20"/>
                <w:szCs w:val="20"/>
              </w:rPr>
              <w:lastRenderedPageBreak/>
              <w:t>agentury je širší (obsahuje vícero různých služeb) než samotná služba ubytovací, tj. nejedná se o nerovné podmínky ve smyslu principů DPH.</w:t>
            </w:r>
          </w:p>
          <w:p w14:paraId="337BC8C2" w14:textId="5C6EB6D6"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Česká republika při stanovení limitu pro vrácení daně turistům ze třetích zemí využila možnosti, kterou obsahuje čl. 147 odst. 1 písm. c) směrnice o dani z přidané hodnoty. V této souvislosti je třeba uvést, že základní limit předpokládaný směrnicí o DPH pro osvobození od daně při vývozu zboží v zavazadlech cestujících je 175 EUR nebo ekvivalent této částky v národní měně. A byť existují členské státy Evropské unie, které tento limit úplně zrušily, existují i jiné členské státy, které mají limit </w:t>
            </w:r>
            <w:proofErr w:type="gramStart"/>
            <w:r w:rsidRPr="0035187E">
              <w:rPr>
                <w:rFonts w:ascii="Times New Roman" w:hAnsi="Times New Roman" w:cs="Times New Roman"/>
                <w:sz w:val="20"/>
                <w:szCs w:val="20"/>
              </w:rPr>
              <w:t>vyšší</w:t>
            </w:r>
            <w:proofErr w:type="gramEnd"/>
            <w:r w:rsidRPr="0035187E">
              <w:rPr>
                <w:rFonts w:ascii="Times New Roman" w:hAnsi="Times New Roman" w:cs="Times New Roman"/>
                <w:sz w:val="20"/>
                <w:szCs w:val="20"/>
              </w:rPr>
              <w:t xml:space="preserve"> než je stanovený v České republice. Ustanovení o vracení daně z přidané hodnoty zahraničním fyzickým osobám je výjimka, kterou není vhodné snížením výše limitu ceny nakoupeného zboží pro vracení daně dále jakkoliv podporovat. Zde lze poukázat na nerovnost mezi „vývozem“ zboží do jiného členského státu Evropské unie a vývozem zboží mimo Evropskou unii, neboť v případě „vývozu“ zboží do jiného členského státu Evropské unie k vracení zaplacené daně turistům nedochází vůbec. Navrhovaným snížením limitu ceny nakoupeného zboží pro vracení daně se tato nerovnost dále pro občany ze zemí Evropské unie prohlubuje.</w:t>
            </w:r>
          </w:p>
        </w:tc>
      </w:tr>
      <w:tr w:rsidR="0035187E" w:rsidRPr="0035187E" w14:paraId="2D4C2060"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9FFCFEB" w14:textId="57941FB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88.</w:t>
            </w:r>
          </w:p>
        </w:tc>
        <w:tc>
          <w:tcPr>
            <w:tcW w:w="583" w:type="pct"/>
            <w:tcBorders>
              <w:top w:val="single" w:sz="4" w:space="0" w:color="auto"/>
              <w:left w:val="single" w:sz="4" w:space="0" w:color="auto"/>
              <w:right w:val="single" w:sz="4" w:space="0" w:color="auto"/>
            </w:tcBorders>
            <w:shd w:val="clear" w:color="auto" w:fill="auto"/>
          </w:tcPr>
          <w:p w14:paraId="25D82BB6" w14:textId="6890C7B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Asociace cestovních kanceláří České republiky</w:t>
            </w:r>
          </w:p>
        </w:tc>
        <w:tc>
          <w:tcPr>
            <w:tcW w:w="168" w:type="pct"/>
            <w:tcBorders>
              <w:top w:val="single" w:sz="4" w:space="0" w:color="auto"/>
              <w:left w:val="single" w:sz="4" w:space="0" w:color="auto"/>
              <w:right w:val="single" w:sz="4" w:space="0" w:color="auto"/>
            </w:tcBorders>
            <w:shd w:val="clear" w:color="auto" w:fill="auto"/>
          </w:tcPr>
          <w:p w14:paraId="7111A793" w14:textId="57FF5CA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11.</w:t>
            </w:r>
          </w:p>
        </w:tc>
        <w:tc>
          <w:tcPr>
            <w:tcW w:w="169" w:type="pct"/>
            <w:tcBorders>
              <w:top w:val="single" w:sz="4" w:space="0" w:color="auto"/>
              <w:left w:val="single" w:sz="4" w:space="0" w:color="auto"/>
              <w:right w:val="single" w:sz="4" w:space="0" w:color="auto"/>
            </w:tcBorders>
            <w:shd w:val="clear" w:color="auto" w:fill="auto"/>
          </w:tcPr>
          <w:p w14:paraId="4D56B706" w14:textId="7A93376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68DE1BE" w14:textId="77777777" w:rsidR="000B4BD4" w:rsidRPr="0035187E" w:rsidRDefault="000B4BD4" w:rsidP="0035187E">
            <w:pPr>
              <w:numPr>
                <w:ilvl w:val="0"/>
                <w:numId w:val="89"/>
              </w:num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 xml:space="preserve">§ 13 – Vynětí z evidence tržeb podle druhu činnosti: </w:t>
            </w:r>
          </w:p>
          <w:p w14:paraId="12B84E81" w14:textId="1C1A17E2" w:rsidR="000B4BD4" w:rsidRPr="0035187E" w:rsidRDefault="000B4BD4" w:rsidP="0035187E">
            <w:pPr>
              <w:pStyle w:val="Bezmezer"/>
              <w:jc w:val="both"/>
              <w:rPr>
                <w:rFonts w:ascii="Times New Roman" w:hAnsi="Times New Roman" w:cs="Times New Roman"/>
                <w:sz w:val="20"/>
                <w:szCs w:val="20"/>
              </w:rPr>
            </w:pPr>
            <w:r w:rsidRPr="0035187E">
              <w:rPr>
                <w:rFonts w:ascii="Times New Roman" w:eastAsia="Times New Roman" w:hAnsi="Times New Roman" w:cs="Times New Roman"/>
                <w:sz w:val="20"/>
                <w:szCs w:val="20"/>
              </w:rPr>
              <w:t>V bodě (2) jsou uvedeny mimo jiné hazardní hry, které nepodléhají evidenci tržeb. Doporučujeme upřesnit odůvodnění tohoto vynětí (např. že podléhají zvláštnímu daňovému režimu), aby ustanovení nepůsobilo dojmem, že jsou tyto činnosti zcela osvobozeny.</w:t>
            </w:r>
          </w:p>
        </w:tc>
        <w:tc>
          <w:tcPr>
            <w:tcW w:w="1453" w:type="pct"/>
            <w:tcBorders>
              <w:top w:val="single" w:sz="4" w:space="0" w:color="auto"/>
              <w:left w:val="single" w:sz="4" w:space="0" w:color="auto"/>
              <w:right w:val="single" w:sz="4" w:space="0" w:color="auto"/>
            </w:tcBorders>
            <w:shd w:val="clear" w:color="auto" w:fill="auto"/>
          </w:tcPr>
          <w:p w14:paraId="42E5E0D3" w14:textId="77777777" w:rsidR="000B4BD4" w:rsidRPr="0035187E" w:rsidRDefault="002A3D12"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43A85EDD" w14:textId="44204E57" w:rsidR="002A3D12" w:rsidRPr="0035187E" w:rsidRDefault="002A3D12" w:rsidP="0035187E">
            <w:pPr>
              <w:jc w:val="both"/>
              <w:rPr>
                <w:rFonts w:ascii="Times New Roman" w:hAnsi="Times New Roman" w:cs="Times New Roman"/>
                <w:sz w:val="20"/>
                <w:szCs w:val="20"/>
              </w:rPr>
            </w:pPr>
            <w:r w:rsidRPr="0035187E">
              <w:rPr>
                <w:rFonts w:ascii="Times New Roman" w:hAnsi="Times New Roman" w:cs="Times New Roman"/>
                <w:sz w:val="20"/>
                <w:szCs w:val="20"/>
              </w:rPr>
              <w:t>Vynětí z evidence tržeb neznamená osvobození z pohledu jednotlivých daní.</w:t>
            </w:r>
          </w:p>
        </w:tc>
      </w:tr>
      <w:tr w:rsidR="0035187E" w:rsidRPr="0035187E" w14:paraId="5093EA95"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A50C9BA" w14:textId="154A2EA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88.</w:t>
            </w:r>
          </w:p>
        </w:tc>
        <w:tc>
          <w:tcPr>
            <w:tcW w:w="583" w:type="pct"/>
            <w:tcBorders>
              <w:top w:val="single" w:sz="4" w:space="0" w:color="auto"/>
              <w:left w:val="single" w:sz="4" w:space="0" w:color="auto"/>
              <w:right w:val="single" w:sz="4" w:space="0" w:color="auto"/>
            </w:tcBorders>
            <w:shd w:val="clear" w:color="auto" w:fill="auto"/>
          </w:tcPr>
          <w:p w14:paraId="5857A47C" w14:textId="59EC12C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Asociace cestovních kanceláří České republiky</w:t>
            </w:r>
          </w:p>
        </w:tc>
        <w:tc>
          <w:tcPr>
            <w:tcW w:w="168" w:type="pct"/>
            <w:tcBorders>
              <w:top w:val="single" w:sz="4" w:space="0" w:color="auto"/>
              <w:left w:val="single" w:sz="4" w:space="0" w:color="auto"/>
              <w:right w:val="single" w:sz="4" w:space="0" w:color="auto"/>
            </w:tcBorders>
            <w:shd w:val="clear" w:color="auto" w:fill="auto"/>
          </w:tcPr>
          <w:p w14:paraId="354E0090" w14:textId="118155C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12.</w:t>
            </w:r>
          </w:p>
        </w:tc>
        <w:tc>
          <w:tcPr>
            <w:tcW w:w="169" w:type="pct"/>
            <w:tcBorders>
              <w:top w:val="single" w:sz="4" w:space="0" w:color="auto"/>
              <w:left w:val="single" w:sz="4" w:space="0" w:color="auto"/>
              <w:right w:val="single" w:sz="4" w:space="0" w:color="auto"/>
            </w:tcBorders>
            <w:shd w:val="clear" w:color="auto" w:fill="auto"/>
          </w:tcPr>
          <w:p w14:paraId="0C787426" w14:textId="29C3CA6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40C957F" w14:textId="0ECE6CCC" w:rsidR="000B4BD4" w:rsidRPr="0035187E" w:rsidRDefault="000B4BD4" w:rsidP="0035187E">
            <w:pPr>
              <w:numPr>
                <w:ilvl w:val="0"/>
                <w:numId w:val="90"/>
              </w:num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 xml:space="preserve">Spuštění EET 2.0: </w:t>
            </w:r>
            <w:r w:rsidRPr="0035187E">
              <w:rPr>
                <w:rFonts w:ascii="Times New Roman" w:hAnsi="Times New Roman" w:cs="Times New Roman"/>
                <w:sz w:val="20"/>
                <w:szCs w:val="20"/>
              </w:rPr>
              <w:t xml:space="preserve">S ohledem na sezónnost v cestovním ruchu a nutné úpravy softwarových systémů doporučujeme zvážit načasování spuštění. Vhodnější než začátek roku (leden 2027) by mohl být posun např. na duben 2027, aby se předešlo komplikacím v sezónnosti provozů. </w:t>
            </w:r>
          </w:p>
        </w:tc>
        <w:tc>
          <w:tcPr>
            <w:tcW w:w="1453" w:type="pct"/>
            <w:tcBorders>
              <w:top w:val="single" w:sz="4" w:space="0" w:color="auto"/>
              <w:left w:val="single" w:sz="4" w:space="0" w:color="auto"/>
              <w:right w:val="single" w:sz="4" w:space="0" w:color="auto"/>
            </w:tcBorders>
            <w:shd w:val="clear" w:color="auto" w:fill="auto"/>
          </w:tcPr>
          <w:p w14:paraId="1A28E43E" w14:textId="77777777" w:rsidR="000B4BD4" w:rsidRPr="0035187E" w:rsidRDefault="002A3D12" w:rsidP="0035187E">
            <w:pPr>
              <w:jc w:val="both"/>
              <w:rPr>
                <w:rFonts w:ascii="Times New Roman" w:hAnsi="Times New Roman" w:cs="Times New Roman"/>
                <w:b/>
                <w:sz w:val="20"/>
                <w:szCs w:val="20"/>
              </w:rPr>
            </w:pPr>
            <w:r w:rsidRPr="0035187E">
              <w:rPr>
                <w:rFonts w:ascii="Times New Roman" w:hAnsi="Times New Roman" w:cs="Times New Roman"/>
                <w:b/>
                <w:sz w:val="20"/>
                <w:szCs w:val="20"/>
              </w:rPr>
              <w:t>Nevyhověno.</w:t>
            </w:r>
          </w:p>
          <w:p w14:paraId="71CFEBBF" w14:textId="7D4877A8" w:rsidR="002A3D12" w:rsidRPr="0035187E" w:rsidRDefault="002A3D12" w:rsidP="0035187E">
            <w:pPr>
              <w:jc w:val="both"/>
              <w:rPr>
                <w:rFonts w:ascii="Times New Roman" w:hAnsi="Times New Roman" w:cs="Times New Roman"/>
                <w:sz w:val="20"/>
                <w:szCs w:val="20"/>
              </w:rPr>
            </w:pPr>
            <w:r w:rsidRPr="0035187E">
              <w:rPr>
                <w:rFonts w:ascii="Times New Roman" w:hAnsi="Times New Roman" w:cs="Times New Roman"/>
                <w:sz w:val="20"/>
                <w:szCs w:val="20"/>
              </w:rPr>
              <w:t>Účinnost změn zákona (zejména daňových) bývá standardně k 1. lednu, což odpovídá mj. začátku ročního zda</w:t>
            </w:r>
            <w:r w:rsidR="00FD3809" w:rsidRPr="0035187E">
              <w:rPr>
                <w:rFonts w:ascii="Times New Roman" w:hAnsi="Times New Roman" w:cs="Times New Roman"/>
                <w:sz w:val="20"/>
                <w:szCs w:val="20"/>
              </w:rPr>
              <w:t>ňovacího období.</w:t>
            </w:r>
          </w:p>
        </w:tc>
      </w:tr>
      <w:tr w:rsidR="0035187E" w:rsidRPr="0035187E" w14:paraId="3603E943"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F776A3E" w14:textId="7B7EC6D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95.</w:t>
            </w:r>
          </w:p>
        </w:tc>
        <w:tc>
          <w:tcPr>
            <w:tcW w:w="583" w:type="pct"/>
            <w:tcBorders>
              <w:top w:val="single" w:sz="4" w:space="0" w:color="auto"/>
              <w:left w:val="single" w:sz="4" w:space="0" w:color="auto"/>
              <w:right w:val="single" w:sz="4" w:space="0" w:color="auto"/>
            </w:tcBorders>
            <w:shd w:val="clear" w:color="auto" w:fill="auto"/>
          </w:tcPr>
          <w:p w14:paraId="433382FF" w14:textId="71C4BD5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Asociace lanové dopravy </w:t>
            </w:r>
            <w:proofErr w:type="spellStart"/>
            <w:r w:rsidRPr="0035187E">
              <w:rPr>
                <w:rFonts w:ascii="Times New Roman" w:hAnsi="Times New Roman" w:cs="Times New Roman"/>
                <w:sz w:val="20"/>
                <w:szCs w:val="20"/>
              </w:rPr>
              <w:t>o.s</w:t>
            </w:r>
            <w:proofErr w:type="spellEnd"/>
            <w:r w:rsidRPr="0035187E">
              <w:rPr>
                <w:rFonts w:ascii="Times New Roman" w:hAnsi="Times New Roman" w:cs="Times New Roman"/>
                <w:sz w:val="20"/>
                <w:szCs w:val="20"/>
              </w:rPr>
              <w:t xml:space="preserve">. </w:t>
            </w:r>
          </w:p>
        </w:tc>
        <w:tc>
          <w:tcPr>
            <w:tcW w:w="168" w:type="pct"/>
            <w:tcBorders>
              <w:top w:val="single" w:sz="4" w:space="0" w:color="auto"/>
              <w:left w:val="single" w:sz="4" w:space="0" w:color="auto"/>
              <w:right w:val="single" w:sz="4" w:space="0" w:color="auto"/>
            </w:tcBorders>
            <w:shd w:val="clear" w:color="auto" w:fill="auto"/>
          </w:tcPr>
          <w:p w14:paraId="2A354C80" w14:textId="3B9AF6D1" w:rsidR="000B4BD4" w:rsidRPr="0035187E" w:rsidRDefault="009A31F5"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59C49880" w14:textId="4A51AFEA" w:rsidR="000B4BD4" w:rsidRPr="0035187E" w:rsidRDefault="000B4BD4" w:rsidP="0035187E">
            <w:pPr>
              <w:jc w:val="center"/>
              <w:rPr>
                <w:rFonts w:ascii="Times New Roman" w:hAnsi="Times New Roman" w:cs="Times New Roman"/>
                <w:sz w:val="20"/>
                <w:szCs w:val="20"/>
              </w:rPr>
            </w:pP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61B43B5" w14:textId="239A93B8" w:rsidR="000B4BD4" w:rsidRPr="0035187E" w:rsidRDefault="000B4BD4" w:rsidP="0035187E">
            <w:pPr>
              <w:pStyle w:val="Zkladntext21"/>
              <w:framePr w:hSpace="0" w:wrap="auto" w:vAnchor="margin" w:hAnchor="text" w:yAlign="inline"/>
              <w:tabs>
                <w:tab w:val="left" w:pos="0"/>
              </w:tabs>
              <w:rPr>
                <w:rFonts w:ascii="Times New Roman" w:hAnsi="Times New Roman"/>
                <w:sz w:val="20"/>
              </w:rPr>
            </w:pPr>
            <w:r w:rsidRPr="0035187E">
              <w:rPr>
                <w:rFonts w:ascii="Times New Roman" w:hAnsi="Times New Roman"/>
                <w:sz w:val="20"/>
              </w:rPr>
              <w:t>STEJNÉ PŘIPOMÍNKY JAKO ČESKÁ UNIE CESTOVNÍHO RUCHU</w:t>
            </w:r>
          </w:p>
        </w:tc>
        <w:tc>
          <w:tcPr>
            <w:tcW w:w="1453" w:type="pct"/>
            <w:tcBorders>
              <w:top w:val="single" w:sz="4" w:space="0" w:color="auto"/>
              <w:left w:val="single" w:sz="4" w:space="0" w:color="auto"/>
              <w:right w:val="single" w:sz="4" w:space="0" w:color="auto"/>
            </w:tcBorders>
            <w:shd w:val="clear" w:color="auto" w:fill="auto"/>
          </w:tcPr>
          <w:p w14:paraId="3F017575" w14:textId="1C1A18E5" w:rsidR="000B4BD4" w:rsidRPr="0035187E" w:rsidRDefault="00245DFA" w:rsidP="0035187E">
            <w:pPr>
              <w:jc w:val="both"/>
              <w:rPr>
                <w:rFonts w:ascii="Times New Roman" w:hAnsi="Times New Roman" w:cs="Times New Roman"/>
                <w:sz w:val="20"/>
                <w:szCs w:val="20"/>
              </w:rPr>
            </w:pPr>
            <w:r w:rsidRPr="0035187E">
              <w:rPr>
                <w:rFonts w:ascii="Times New Roman" w:hAnsi="Times New Roman" w:cs="Times New Roman"/>
                <w:sz w:val="20"/>
                <w:szCs w:val="20"/>
              </w:rPr>
              <w:t>Viz vypořádání připomínek České unie cestovního ruchu.</w:t>
            </w:r>
          </w:p>
        </w:tc>
      </w:tr>
      <w:tr w:rsidR="0035187E" w:rsidRPr="0035187E" w14:paraId="1B875FB8"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5E17F74" w14:textId="7777777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101.</w:t>
            </w:r>
          </w:p>
        </w:tc>
        <w:tc>
          <w:tcPr>
            <w:tcW w:w="583" w:type="pct"/>
            <w:tcBorders>
              <w:top w:val="single" w:sz="4" w:space="0" w:color="auto"/>
              <w:left w:val="single" w:sz="4" w:space="0" w:color="auto"/>
              <w:right w:val="single" w:sz="4" w:space="0" w:color="auto"/>
            </w:tcBorders>
            <w:shd w:val="clear" w:color="auto" w:fill="auto"/>
          </w:tcPr>
          <w:p w14:paraId="16E369EC" w14:textId="7777777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Asociace pro elektronickou komerci, z. s.</w:t>
            </w:r>
          </w:p>
        </w:tc>
        <w:tc>
          <w:tcPr>
            <w:tcW w:w="168" w:type="pct"/>
            <w:tcBorders>
              <w:top w:val="single" w:sz="4" w:space="0" w:color="auto"/>
              <w:left w:val="single" w:sz="4" w:space="0" w:color="auto"/>
              <w:right w:val="single" w:sz="4" w:space="0" w:color="auto"/>
            </w:tcBorders>
            <w:shd w:val="clear" w:color="auto" w:fill="auto"/>
          </w:tcPr>
          <w:p w14:paraId="2D6341FA" w14:textId="64570BC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53E6D2FC" w14:textId="49574AA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B669526" w14:textId="77777777" w:rsidR="000B4BD4" w:rsidRPr="0035187E" w:rsidRDefault="000B4BD4" w:rsidP="0035187E">
            <w:pPr>
              <w:pStyle w:val="Zkladntext21"/>
              <w:framePr w:wrap="auto"/>
              <w:tabs>
                <w:tab w:val="left" w:pos="0"/>
              </w:tabs>
              <w:rPr>
                <w:rFonts w:ascii="Times New Roman" w:hAnsi="Times New Roman"/>
                <w:sz w:val="20"/>
              </w:rPr>
            </w:pPr>
            <w:r w:rsidRPr="0035187E">
              <w:rPr>
                <w:rFonts w:ascii="Times New Roman" w:hAnsi="Times New Roman"/>
                <w:sz w:val="20"/>
              </w:rPr>
              <w:t>§ 7 odst. 1 písm. b) návrhu zákona o evidenci tržeb (evidence plateb provedených v provozovně)</w:t>
            </w:r>
          </w:p>
          <w:p w14:paraId="29117DD5" w14:textId="479067A6" w:rsidR="000B4BD4" w:rsidRPr="0035187E" w:rsidRDefault="000B4BD4" w:rsidP="0035187E">
            <w:pPr>
              <w:pStyle w:val="Zkladntext21"/>
              <w:framePr w:wrap="auto"/>
              <w:tabs>
                <w:tab w:val="left" w:pos="0"/>
              </w:tabs>
              <w:rPr>
                <w:rFonts w:ascii="Times New Roman" w:hAnsi="Times New Roman"/>
                <w:b w:val="0"/>
                <w:bCs/>
                <w:sz w:val="20"/>
              </w:rPr>
            </w:pPr>
            <w:r w:rsidRPr="0035187E">
              <w:rPr>
                <w:rFonts w:ascii="Times New Roman" w:hAnsi="Times New Roman"/>
                <w:b w:val="0"/>
                <w:bCs/>
                <w:sz w:val="20"/>
              </w:rPr>
              <w:t>Podle ustanovení § 7 odst. 1 písm. b) návrhu zákona o evidenci tržeb má být kontaktní (evidovanou)platbou každá platba „</w:t>
            </w:r>
            <w:r w:rsidRPr="0035187E">
              <w:rPr>
                <w:rFonts w:ascii="Times New Roman" w:hAnsi="Times New Roman"/>
                <w:b w:val="0"/>
                <w:bCs/>
                <w:i/>
                <w:iCs/>
                <w:sz w:val="20"/>
              </w:rPr>
              <w:t>ke které dochází v provozovně poplatníka v souvislosti s objednáním nebo přijetím zboží nebo služeb“</w:t>
            </w:r>
            <w:r w:rsidRPr="0035187E">
              <w:rPr>
                <w:rFonts w:ascii="Times New Roman" w:hAnsi="Times New Roman"/>
                <w:b w:val="0"/>
                <w:bCs/>
                <w:sz w:val="20"/>
              </w:rPr>
              <w:t xml:space="preserve">, a to bez ohledu na to, zda dochází ke kontaktu s pracovníky obchodníka, a bez ohledu na to, jaká platební metoda je zákazníkem zvolena. K těmto platbám důvodová zpráva mimo jiné zmiňuje, že: </w:t>
            </w:r>
            <w:r w:rsidRPr="0035187E">
              <w:rPr>
                <w:rFonts w:ascii="Times New Roman" w:hAnsi="Times New Roman"/>
                <w:b w:val="0"/>
                <w:bCs/>
                <w:i/>
                <w:iCs/>
                <w:sz w:val="20"/>
              </w:rPr>
              <w:t xml:space="preserve">„…v rámci provozovny </w:t>
            </w:r>
            <w:r w:rsidRPr="0035187E">
              <w:rPr>
                <w:rFonts w:ascii="Times New Roman" w:hAnsi="Times New Roman"/>
                <w:b w:val="0"/>
                <w:bCs/>
                <w:i/>
                <w:iCs/>
                <w:sz w:val="20"/>
              </w:rPr>
              <w:lastRenderedPageBreak/>
              <w:t>dochází zpravidla k osobnímu kontaktu s poplatníkem, popřípadě osobou jednající na jeho účet. Existují však případy samoobslužných pokladen či dokonce samoobslužných provozoven, kde toto kritérium nemusí být naplněno. I v těchto situacích je ovšem žádoucí, aby na úhradu bylo nazíráno jako na kontaktní platbu. Opačné řešení by vytvářelo nežádoucí stimul pro účelové uzpůsobování metod, jakými lze v dané provozovně platit, eliminací osobního prvku obsluhy.“</w:t>
            </w:r>
            <w:r w:rsidRPr="0035187E">
              <w:rPr>
                <w:rFonts w:ascii="Times New Roman" w:hAnsi="Times New Roman"/>
                <w:b w:val="0"/>
                <w:bCs/>
                <w:sz w:val="20"/>
              </w:rPr>
              <w:t xml:space="preserve"> „</w:t>
            </w:r>
            <w:r w:rsidRPr="0035187E">
              <w:rPr>
                <w:rFonts w:ascii="Times New Roman" w:hAnsi="Times New Roman"/>
                <w:b w:val="0"/>
                <w:bCs/>
                <w:i/>
                <w:iCs/>
                <w:sz w:val="20"/>
              </w:rPr>
              <w:t>K naplnění podmínky je nutná příčinná souvislost mezi objednáním nebo přijetím zboží nebo služeb a platbou uskutečněnou v provozovně. Pokud např. zákazník učiní objednávku přes e-shop pomocí svého mobilního telefonu a současně vydá příkaz k její úhradě, bude skutečnost, že se v té chvíli nachází v nějaké provozovně, relevantní pouze tehdy, pokud takto objednané zboží nebo službu v této provozovně v daném čase, kdy se v provozovně nachází, převezme či zkonzumuje. Objednává-li zboží nebo službu, které s danou provozovnou nesouvisí, nepůjde o kontaktní platbu.“</w:t>
            </w:r>
          </w:p>
          <w:p w14:paraId="3E4C7A1B" w14:textId="522CA4CA" w:rsidR="000B4BD4" w:rsidRPr="0035187E" w:rsidRDefault="000B4BD4" w:rsidP="0035187E">
            <w:pPr>
              <w:pStyle w:val="Zkladntext21"/>
              <w:framePr w:wrap="auto"/>
              <w:tabs>
                <w:tab w:val="left" w:pos="0"/>
              </w:tabs>
              <w:rPr>
                <w:rFonts w:ascii="Times New Roman" w:hAnsi="Times New Roman"/>
                <w:b w:val="0"/>
                <w:bCs/>
                <w:sz w:val="20"/>
              </w:rPr>
            </w:pPr>
            <w:r w:rsidRPr="0035187E">
              <w:rPr>
                <w:rFonts w:ascii="Times New Roman" w:hAnsi="Times New Roman"/>
                <w:b w:val="0"/>
                <w:bCs/>
                <w:sz w:val="20"/>
              </w:rPr>
              <w:t xml:space="preserve">Přestože záměr je nám v obecné rovině jasný, máme za to, že v praxi bude existovat řada bezhotovostních plateb, které sice budou splňovat výše uvedené vymezení (došlo k nim v provozovně poplatníka v souvislosti s objednáním nebo přijetím zboží nebo služeb), nicméně obchodník nebude mít, jak zjistit, že se jedná o platbu, kterou je nutné evidovat ve smyslu návrhu. Provozovny obchodníků (show </w:t>
            </w:r>
            <w:proofErr w:type="spellStart"/>
            <w:r w:rsidRPr="0035187E">
              <w:rPr>
                <w:rFonts w:ascii="Times New Roman" w:hAnsi="Times New Roman"/>
                <w:b w:val="0"/>
                <w:bCs/>
                <w:sz w:val="20"/>
              </w:rPr>
              <w:t>rooms</w:t>
            </w:r>
            <w:proofErr w:type="spellEnd"/>
            <w:r w:rsidRPr="0035187E">
              <w:rPr>
                <w:rFonts w:ascii="Times New Roman" w:hAnsi="Times New Roman"/>
                <w:b w:val="0"/>
                <w:bCs/>
                <w:sz w:val="20"/>
              </w:rPr>
              <w:t>) mohou být poměrně rozsáhlé a může zde být přítomen velký počet zákazníků (desítky či dokonce stovky). Obchodník pak nemá možnost zjistit, odkud konkrétní zákazník provedl on-line platbu na e-shopu před vyzvednutím zboží v provozovně (zda byla zákazníkem platba</w:t>
            </w:r>
          </w:p>
          <w:p w14:paraId="5938EC1B" w14:textId="37BF016C" w:rsidR="000B4BD4" w:rsidRPr="0035187E" w:rsidRDefault="000B4BD4" w:rsidP="0035187E">
            <w:pPr>
              <w:pStyle w:val="Zkladntext21"/>
              <w:framePr w:wrap="auto"/>
              <w:tabs>
                <w:tab w:val="left" w:pos="0"/>
              </w:tabs>
              <w:rPr>
                <w:rFonts w:ascii="Times New Roman" w:hAnsi="Times New Roman"/>
                <w:b w:val="0"/>
                <w:bCs/>
                <w:sz w:val="20"/>
              </w:rPr>
            </w:pPr>
            <w:r w:rsidRPr="0035187E">
              <w:rPr>
                <w:rFonts w:ascii="Times New Roman" w:hAnsi="Times New Roman"/>
                <w:b w:val="0"/>
                <w:bCs/>
                <w:sz w:val="20"/>
              </w:rPr>
              <w:t>provedena ještě doma, v automobilu, před provozovnou či až v samotné provozovně). Z hlediska technického by mohly být tyto situace řešitelné pouze vysoce invazivními a zřejmě i protiprávními metodami (omezení přístupu k internetu v provozovně, sledování pohybu osob apod.). Aby se obchodník vyhnul porušení tohoto ustanovení, musel by z pohledu praktického raději přistoupit k evidenci všech bezhotovostních plateb, u kterých dochází k vyzvednutí zboží v provozovně (jelikož by nebyl schopen lokalizovat, zda platba nebyla provedena zákazníkem v jeho provozovně před vyzvednutím zboží), což podle našeho názoru není záměrem návrhu.</w:t>
            </w:r>
          </w:p>
        </w:tc>
        <w:tc>
          <w:tcPr>
            <w:tcW w:w="1453" w:type="pct"/>
            <w:tcBorders>
              <w:top w:val="single" w:sz="4" w:space="0" w:color="auto"/>
              <w:left w:val="single" w:sz="4" w:space="0" w:color="auto"/>
              <w:right w:val="single" w:sz="4" w:space="0" w:color="auto"/>
            </w:tcBorders>
            <w:shd w:val="clear" w:color="auto" w:fill="auto"/>
          </w:tcPr>
          <w:p w14:paraId="3F8D7507" w14:textId="77777777" w:rsidR="00245DFA" w:rsidRPr="0035187E" w:rsidRDefault="00245DFA"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Vysvětleno.</w:t>
            </w:r>
          </w:p>
          <w:p w14:paraId="30CF6476" w14:textId="77777777" w:rsidR="00245DFA" w:rsidRPr="0035187E" w:rsidRDefault="00245DFA" w:rsidP="0035187E">
            <w:pPr>
              <w:jc w:val="both"/>
              <w:rPr>
                <w:rFonts w:ascii="Times New Roman" w:hAnsi="Times New Roman" w:cs="Times New Roman"/>
                <w:sz w:val="20"/>
                <w:szCs w:val="20"/>
              </w:rPr>
            </w:pPr>
            <w:r w:rsidRPr="0035187E">
              <w:rPr>
                <w:rFonts w:ascii="Times New Roman" w:hAnsi="Times New Roman" w:cs="Times New Roman"/>
                <w:sz w:val="20"/>
                <w:szCs w:val="20"/>
              </w:rPr>
              <w:t>Uvedené pravidlo je v návrhu zákona obsaženo jako prevence situací, kdy by „e-</w:t>
            </w:r>
            <w:proofErr w:type="spellStart"/>
            <w:r w:rsidRPr="0035187E">
              <w:rPr>
                <w:rFonts w:ascii="Times New Roman" w:hAnsi="Times New Roman" w:cs="Times New Roman"/>
                <w:sz w:val="20"/>
                <w:szCs w:val="20"/>
              </w:rPr>
              <w:t>shopová</w:t>
            </w:r>
            <w:proofErr w:type="spellEnd"/>
            <w:r w:rsidRPr="0035187E">
              <w:rPr>
                <w:rFonts w:ascii="Times New Roman" w:hAnsi="Times New Roman" w:cs="Times New Roman"/>
                <w:sz w:val="20"/>
                <w:szCs w:val="20"/>
              </w:rPr>
              <w:t xml:space="preserve">“ metoda objednání a platby byla uměle preferována jako způsob obejití regulace evidence tržeb. Bude tedy záviset vždy na posouzení konkrétního modelu. Tam, kde je </w:t>
            </w:r>
            <w:r w:rsidRPr="0035187E">
              <w:rPr>
                <w:rFonts w:ascii="Times New Roman" w:hAnsi="Times New Roman" w:cs="Times New Roman"/>
                <w:sz w:val="20"/>
                <w:szCs w:val="20"/>
              </w:rPr>
              <w:lastRenderedPageBreak/>
              <w:t>pro obchodníka objektivně nezjistitelné, kde se uživatel jeho e-shopu v momentě realizace platby nachází, by neměla být v aplikační praxi evidence tržeb ze strany kontrolních orgánů požadována. Z hlediska deliktní způsobilosti by zde nemohlo být dovozeno zavinění, resp. příčinná souvislost mezi jednáním poplatníka a vzniklým následkem.</w:t>
            </w:r>
          </w:p>
          <w:p w14:paraId="77C6AA7C" w14:textId="1F4DD152" w:rsidR="000B4BD4" w:rsidRPr="0035187E" w:rsidRDefault="00245DFA" w:rsidP="0035187E">
            <w:pPr>
              <w:jc w:val="both"/>
              <w:rPr>
                <w:rFonts w:ascii="Times New Roman" w:hAnsi="Times New Roman" w:cs="Times New Roman"/>
                <w:sz w:val="20"/>
                <w:szCs w:val="20"/>
              </w:rPr>
            </w:pPr>
            <w:r w:rsidRPr="0035187E">
              <w:rPr>
                <w:rFonts w:ascii="Times New Roman" w:hAnsi="Times New Roman" w:cs="Times New Roman"/>
                <w:sz w:val="20"/>
                <w:szCs w:val="20"/>
              </w:rPr>
              <w:t>Faktickým řešením může být i zapojení samotného zákazníka, který by např. zaškrtnul v rámci objednání políčko dávající informaci o tom, že se nachází v provozovně.</w:t>
            </w:r>
          </w:p>
        </w:tc>
      </w:tr>
      <w:tr w:rsidR="0035187E" w:rsidRPr="0035187E" w14:paraId="16404921"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066A612" w14:textId="37CD5DE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101.</w:t>
            </w:r>
          </w:p>
        </w:tc>
        <w:tc>
          <w:tcPr>
            <w:tcW w:w="583" w:type="pct"/>
            <w:tcBorders>
              <w:top w:val="single" w:sz="4" w:space="0" w:color="auto"/>
              <w:left w:val="single" w:sz="4" w:space="0" w:color="auto"/>
              <w:right w:val="single" w:sz="4" w:space="0" w:color="auto"/>
            </w:tcBorders>
            <w:shd w:val="clear" w:color="auto" w:fill="auto"/>
          </w:tcPr>
          <w:p w14:paraId="0CFDE3F9" w14:textId="44A8F0D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Asociace pro elektronickou komerci, z. s.</w:t>
            </w:r>
          </w:p>
        </w:tc>
        <w:tc>
          <w:tcPr>
            <w:tcW w:w="168" w:type="pct"/>
            <w:tcBorders>
              <w:top w:val="single" w:sz="4" w:space="0" w:color="auto"/>
              <w:left w:val="single" w:sz="4" w:space="0" w:color="auto"/>
              <w:right w:val="single" w:sz="4" w:space="0" w:color="auto"/>
            </w:tcBorders>
            <w:shd w:val="clear" w:color="auto" w:fill="auto"/>
          </w:tcPr>
          <w:p w14:paraId="031F7C5C" w14:textId="02EC5AA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w:t>
            </w:r>
          </w:p>
        </w:tc>
        <w:tc>
          <w:tcPr>
            <w:tcW w:w="169" w:type="pct"/>
            <w:tcBorders>
              <w:top w:val="single" w:sz="4" w:space="0" w:color="auto"/>
              <w:left w:val="single" w:sz="4" w:space="0" w:color="auto"/>
              <w:right w:val="single" w:sz="4" w:space="0" w:color="auto"/>
            </w:tcBorders>
            <w:shd w:val="clear" w:color="auto" w:fill="auto"/>
          </w:tcPr>
          <w:p w14:paraId="69F29209" w14:textId="34D7D93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A0BAA1E" w14:textId="77777777" w:rsidR="000B4BD4" w:rsidRPr="0035187E" w:rsidRDefault="000B4BD4" w:rsidP="0035187E">
            <w:pPr>
              <w:pStyle w:val="Zkladntext21"/>
              <w:framePr w:wrap="auto"/>
              <w:tabs>
                <w:tab w:val="left" w:pos="0"/>
              </w:tabs>
              <w:rPr>
                <w:rFonts w:ascii="Times New Roman" w:hAnsi="Times New Roman"/>
                <w:sz w:val="20"/>
              </w:rPr>
            </w:pPr>
            <w:r w:rsidRPr="0035187E">
              <w:rPr>
                <w:rFonts w:ascii="Times New Roman" w:hAnsi="Times New Roman"/>
                <w:sz w:val="20"/>
              </w:rPr>
              <w:t>Druhá věta § 7 odst. 2 ve spojení s § 10 odst. 1 návrhu zákona o evidenci tržeb</w:t>
            </w:r>
          </w:p>
          <w:p w14:paraId="7CA25114" w14:textId="0D683D77" w:rsidR="000B4BD4" w:rsidRPr="0035187E" w:rsidRDefault="000B4BD4" w:rsidP="0035187E">
            <w:pPr>
              <w:pStyle w:val="Zkladntext21"/>
              <w:framePr w:wrap="auto"/>
              <w:tabs>
                <w:tab w:val="left" w:pos="0"/>
              </w:tabs>
              <w:rPr>
                <w:rFonts w:ascii="Times New Roman" w:hAnsi="Times New Roman"/>
                <w:b w:val="0"/>
                <w:bCs/>
                <w:sz w:val="20"/>
              </w:rPr>
            </w:pPr>
            <w:r w:rsidRPr="0035187E">
              <w:rPr>
                <w:rFonts w:ascii="Times New Roman" w:hAnsi="Times New Roman"/>
                <w:b w:val="0"/>
                <w:bCs/>
                <w:sz w:val="20"/>
              </w:rPr>
              <w:t xml:space="preserve">Podle důvodové zprávy má druhá věta ustanovení § 7 odst. 2 návrhu zákona o evidenci tržeb z evidovaných plateb vylučovat případy hotovostních plateb prováděných tzv. dobírkou. Tento záměr naše asociace kvituje a plně se ztotožňuje s názorem Ministerstva financí České republiky, že tyto platby neměly podléhat evidenci z důvodů uvedených v důvodové zprávě. Nicméně nejsme si zcela jisti zvolenou formulací této výluky: </w:t>
            </w:r>
            <w:r w:rsidRPr="0035187E">
              <w:rPr>
                <w:rFonts w:ascii="Times New Roman" w:hAnsi="Times New Roman"/>
                <w:b w:val="0"/>
                <w:bCs/>
                <w:i/>
                <w:iCs/>
                <w:sz w:val="20"/>
              </w:rPr>
              <w:t>„To neplatí, je-li tato platba zprostředkována jinou osobou, která nejedná v přímém ani nepřímém zastoupení poplatníka, provedením převodu peněžních prostředků na platební účet tohoto poplatníka.“</w:t>
            </w:r>
            <w:r w:rsidRPr="0035187E">
              <w:rPr>
                <w:rFonts w:ascii="Times New Roman" w:hAnsi="Times New Roman"/>
                <w:b w:val="0"/>
                <w:bCs/>
                <w:sz w:val="20"/>
              </w:rPr>
              <w:t xml:space="preserve"> Nedomníváme se totiž, že je nepochybné, že v případě placení prostřednictvím tzv. dobírky nejedná dopravce v nepřímém zastoupení obchodníka.</w:t>
            </w:r>
          </w:p>
          <w:p w14:paraId="42EB5BEA" w14:textId="4E9CF25E" w:rsidR="000B4BD4" w:rsidRPr="0035187E" w:rsidRDefault="000B4BD4" w:rsidP="0035187E">
            <w:pPr>
              <w:pStyle w:val="Zkladntext21"/>
              <w:framePr w:wrap="auto"/>
              <w:tabs>
                <w:tab w:val="left" w:pos="0"/>
              </w:tabs>
              <w:rPr>
                <w:rFonts w:ascii="Times New Roman" w:hAnsi="Times New Roman"/>
                <w:b w:val="0"/>
                <w:bCs/>
                <w:sz w:val="20"/>
              </w:rPr>
            </w:pPr>
            <w:r w:rsidRPr="0035187E">
              <w:rPr>
                <w:rFonts w:ascii="Times New Roman" w:hAnsi="Times New Roman"/>
                <w:b w:val="0"/>
                <w:bCs/>
                <w:sz w:val="20"/>
              </w:rPr>
              <w:t xml:space="preserve">Vztah mezi obchodníkem a dopravcem má podle našeho názoru charakter smlouvy o inkasu ve smyslu ustanovení § 2694 občanského zákoníku (dopravce je za tuto službu obchodníkem placen). </w:t>
            </w:r>
            <w:r w:rsidRPr="0035187E">
              <w:rPr>
                <w:rFonts w:ascii="Times New Roman" w:hAnsi="Times New Roman"/>
                <w:b w:val="0"/>
                <w:bCs/>
                <w:i/>
                <w:iCs/>
                <w:sz w:val="20"/>
              </w:rPr>
              <w:t>„Smlouvou o inkasu se obstaravatel inkasa zavazuje obstarat pro příkazce přijetí peněžní částky nebo jiný inkasní úkon od třetí osoby a příkazce se zavazuje zaplatit obstaravateli inkasa odměnu.“</w:t>
            </w:r>
            <w:r w:rsidRPr="0035187E">
              <w:rPr>
                <w:rFonts w:ascii="Times New Roman" w:hAnsi="Times New Roman"/>
                <w:b w:val="0"/>
                <w:bCs/>
                <w:sz w:val="20"/>
              </w:rPr>
              <w:t xml:space="preserve"> Podle právní teorie je obstaravatel inkasního úkonu </w:t>
            </w:r>
            <w:r w:rsidRPr="0035187E">
              <w:rPr>
                <w:rFonts w:ascii="Times New Roman" w:hAnsi="Times New Roman"/>
                <w:b w:val="0"/>
                <w:bCs/>
                <w:sz w:val="20"/>
              </w:rPr>
              <w:lastRenderedPageBreak/>
              <w:t xml:space="preserve">nepřímým zástupcem příkazce (v našem případě internetového obchodníka) podobně jako je tomu v případě komise: </w:t>
            </w:r>
            <w:r w:rsidRPr="0035187E">
              <w:rPr>
                <w:rFonts w:ascii="Times New Roman" w:hAnsi="Times New Roman"/>
                <w:b w:val="0"/>
                <w:bCs/>
                <w:i/>
                <w:iCs/>
                <w:sz w:val="20"/>
              </w:rPr>
              <w:t>„Obstaratel při právním jednání s třetí osobou jedná svým jménem a na účet příkazce. Po obstarání inkasa mu pak vzniká povinnost vydat příkazníkovi veškeré přijaté plnění (§ 2697). Při právním jednání s třetí osobou vystupuje obstaravatel na místě příkazce, není však bez dalšího oprávněn ke všem právním jednáním vůči třetí osobě (např. soudní vymáhání plnění).“</w:t>
            </w:r>
            <w:r w:rsidRPr="0035187E">
              <w:rPr>
                <w:rStyle w:val="Znakapoznpodarou"/>
                <w:rFonts w:ascii="Times New Roman" w:hAnsi="Times New Roman"/>
                <w:b w:val="0"/>
                <w:bCs/>
                <w:sz w:val="20"/>
              </w:rPr>
              <w:footnoteReference w:id="5"/>
            </w:r>
          </w:p>
          <w:p w14:paraId="4C9195B8" w14:textId="63D43E2F" w:rsidR="000B4BD4" w:rsidRPr="0035187E" w:rsidRDefault="000B4BD4" w:rsidP="0035187E">
            <w:pPr>
              <w:pStyle w:val="Zkladntext21"/>
              <w:framePr w:wrap="auto"/>
              <w:tabs>
                <w:tab w:val="left" w:pos="0"/>
              </w:tabs>
              <w:rPr>
                <w:rFonts w:ascii="Times New Roman" w:hAnsi="Times New Roman"/>
                <w:b w:val="0"/>
                <w:bCs/>
                <w:sz w:val="20"/>
              </w:rPr>
            </w:pPr>
            <w:r w:rsidRPr="0035187E">
              <w:rPr>
                <w:rFonts w:ascii="Times New Roman" w:hAnsi="Times New Roman"/>
                <w:b w:val="0"/>
                <w:bCs/>
                <w:sz w:val="20"/>
              </w:rPr>
              <w:t xml:space="preserve">Domníváme se tak, že nemusí být zcela validní informace uvedené v důvodové zprávě k ustanovení § 10 návrhu zákona o evidenci tržeb. </w:t>
            </w:r>
            <w:r w:rsidRPr="0035187E">
              <w:rPr>
                <w:rFonts w:ascii="Times New Roman" w:hAnsi="Times New Roman"/>
                <w:b w:val="0"/>
                <w:bCs/>
                <w:i/>
                <w:iCs/>
                <w:sz w:val="20"/>
              </w:rPr>
              <w:t>„Od nepřímého zastoupení je třeba odlišit situaci, kdy někdo v rámci doručení zboží zprostředkovává též inkaso platby za toto zboží. Typicky v případě platby na dobírku. Tomuto zprostředkovateli z této platby neplyne žádný příjem (marže). Jím poskytovaná služba je hrazena přímo poplatníkem, který je prodejcem daného zboží.“</w:t>
            </w:r>
            <w:r w:rsidRPr="0035187E">
              <w:rPr>
                <w:rFonts w:ascii="Times New Roman" w:hAnsi="Times New Roman"/>
                <w:b w:val="0"/>
                <w:bCs/>
                <w:sz w:val="20"/>
              </w:rPr>
              <w:t xml:space="preserve"> Ani komisní prodej nemusí být principiálně stanoven na bázi provize (marže), takže způsob odměňování dopravce (v případě dobírky) a komisionáře (v případě komise) není podle našeho názoru hraničním ukazatelem toho, zda se jedná či nejedná o nepřímé zastoupení (i dopravci vzniká marže z odměny hrazené obchodníkem).</w:t>
            </w:r>
          </w:p>
          <w:p w14:paraId="3AF9DD98" w14:textId="3A9565B7" w:rsidR="000B4BD4" w:rsidRPr="0035187E" w:rsidRDefault="000B4BD4" w:rsidP="0035187E">
            <w:pPr>
              <w:pStyle w:val="Zkladntext21"/>
              <w:framePr w:wrap="auto"/>
              <w:tabs>
                <w:tab w:val="left" w:pos="0"/>
              </w:tabs>
              <w:rPr>
                <w:rFonts w:ascii="Times New Roman" w:hAnsi="Times New Roman"/>
                <w:b w:val="0"/>
                <w:bCs/>
                <w:sz w:val="20"/>
              </w:rPr>
            </w:pPr>
            <w:r w:rsidRPr="0035187E">
              <w:rPr>
                <w:rFonts w:ascii="Times New Roman" w:hAnsi="Times New Roman"/>
                <w:b w:val="0"/>
                <w:bCs/>
                <w:sz w:val="20"/>
              </w:rPr>
              <w:t>Máme tak za to, že ustanovení druhé věty § 7 odst. 2 a ustanovení § 10 odst. 1 návrhu zákona o evidenci tržeb by měla být přeformulována tak, aby bylo nepochybné, jaký je jejich význam.</w:t>
            </w:r>
          </w:p>
          <w:p w14:paraId="19D96174" w14:textId="30D6B063" w:rsidR="000B4BD4" w:rsidRPr="0035187E" w:rsidRDefault="000B4BD4" w:rsidP="0035187E">
            <w:pPr>
              <w:pStyle w:val="Zkladntext21"/>
              <w:framePr w:wrap="auto"/>
              <w:tabs>
                <w:tab w:val="left" w:pos="0"/>
              </w:tabs>
              <w:rPr>
                <w:rFonts w:ascii="Times New Roman" w:hAnsi="Times New Roman"/>
                <w:b w:val="0"/>
                <w:bCs/>
                <w:sz w:val="20"/>
              </w:rPr>
            </w:pPr>
            <w:r w:rsidRPr="0035187E">
              <w:rPr>
                <w:rFonts w:ascii="Times New Roman" w:hAnsi="Times New Roman"/>
                <w:b w:val="0"/>
                <w:bCs/>
                <w:sz w:val="20"/>
              </w:rPr>
              <w:t>Věříme, že naše výše uvedené komentáře mohou být pro další legislativní činnost přínosné. Touto cestou bychom Vám chtěli poděkovat za možnost se k návrhu vyjádřit. V případě jakýchkoli souvisejících dotazů nás neváhejte kontaktovat.</w:t>
            </w:r>
          </w:p>
        </w:tc>
        <w:tc>
          <w:tcPr>
            <w:tcW w:w="1453" w:type="pct"/>
            <w:tcBorders>
              <w:top w:val="single" w:sz="4" w:space="0" w:color="auto"/>
              <w:left w:val="single" w:sz="4" w:space="0" w:color="auto"/>
              <w:right w:val="single" w:sz="4" w:space="0" w:color="auto"/>
            </w:tcBorders>
            <w:shd w:val="clear" w:color="auto" w:fill="auto"/>
          </w:tcPr>
          <w:p w14:paraId="7132AC8D" w14:textId="77777777" w:rsidR="008F0164" w:rsidRPr="0035187E" w:rsidRDefault="008F0164"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Vyhověno jinak.</w:t>
            </w:r>
          </w:p>
          <w:p w14:paraId="437C6520" w14:textId="40129CC0" w:rsidR="000B4BD4" w:rsidRPr="0035187E" w:rsidRDefault="008F0164"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 tak, že slova „</w:t>
            </w:r>
            <w:r w:rsidRPr="0035187E">
              <w:rPr>
                <w:rFonts w:ascii="Times New Roman" w:hAnsi="Times New Roman" w:cs="Times New Roman"/>
                <w:i/>
                <w:sz w:val="20"/>
                <w:szCs w:val="20"/>
              </w:rPr>
              <w:t>jinou osobou, která nejedná v přímém ani nepřímém zastoupení poplatníka,</w:t>
            </w:r>
            <w:r w:rsidRPr="0035187E">
              <w:rPr>
                <w:rFonts w:ascii="Times New Roman" w:hAnsi="Times New Roman" w:cs="Times New Roman"/>
                <w:sz w:val="20"/>
                <w:szCs w:val="20"/>
              </w:rPr>
              <w:t>“ byla nahrazena slovy „</w:t>
            </w:r>
            <w:r w:rsidRPr="0035187E">
              <w:rPr>
                <w:rFonts w:ascii="Times New Roman" w:hAnsi="Times New Roman" w:cs="Times New Roman"/>
                <w:i/>
                <w:sz w:val="20"/>
                <w:szCs w:val="20"/>
              </w:rPr>
              <w:t>jako poštovní služba</w:t>
            </w:r>
            <w:r w:rsidRPr="0035187E">
              <w:rPr>
                <w:rFonts w:ascii="Times New Roman" w:hAnsi="Times New Roman" w:cs="Times New Roman"/>
                <w:sz w:val="20"/>
                <w:szCs w:val="20"/>
              </w:rPr>
              <w:t>“. Toto řešení zajistí, že budou vyňaty pouze služby typu dobírka, nikoliv jiné formy zprostředkování platby. Nebude tak lišeno mezi zajištěním hotovostní platby svépomocně, vlastním zaměstnancem, přímým nebo nepřímým zástupcem, anebo třetí osobou.</w:t>
            </w:r>
          </w:p>
        </w:tc>
      </w:tr>
      <w:tr w:rsidR="0035187E" w:rsidRPr="0035187E" w14:paraId="10B655A7"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E12C535" w14:textId="4BA8BA6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107.</w:t>
            </w:r>
          </w:p>
        </w:tc>
        <w:tc>
          <w:tcPr>
            <w:tcW w:w="583" w:type="pct"/>
            <w:tcBorders>
              <w:top w:val="single" w:sz="4" w:space="0" w:color="auto"/>
              <w:left w:val="single" w:sz="4" w:space="0" w:color="auto"/>
              <w:right w:val="single" w:sz="4" w:space="0" w:color="auto"/>
            </w:tcBorders>
            <w:shd w:val="clear" w:color="auto" w:fill="auto"/>
          </w:tcPr>
          <w:p w14:paraId="5124538D" w14:textId="725AEF0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Asociace soukromého zemědělství České republiky</w:t>
            </w:r>
          </w:p>
        </w:tc>
        <w:tc>
          <w:tcPr>
            <w:tcW w:w="168" w:type="pct"/>
            <w:tcBorders>
              <w:top w:val="single" w:sz="4" w:space="0" w:color="auto"/>
              <w:left w:val="single" w:sz="4" w:space="0" w:color="auto"/>
              <w:right w:val="single" w:sz="4" w:space="0" w:color="auto"/>
            </w:tcBorders>
            <w:shd w:val="clear" w:color="auto" w:fill="auto"/>
          </w:tcPr>
          <w:p w14:paraId="79A62521" w14:textId="0E8DED9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75EB6C2E" w14:textId="75E041D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1811762" w14:textId="3280D61C"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Vážená paní ministryně</w:t>
            </w:r>
            <w:r w:rsidRPr="0035187E">
              <w:rPr>
                <w:rFonts w:ascii="Times New Roman" w:hAnsi="Times New Roman" w:cs="Times New Roman"/>
                <w:sz w:val="20"/>
                <w:szCs w:val="20"/>
              </w:rPr>
              <w:t xml:space="preserve">, </w:t>
            </w:r>
          </w:p>
          <w:p w14:paraId="506ABF33"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jménem Asociace soukromého zemědělství ČR (ASZ ČR), která v rámci svých 50 samostatných organizací a svazů zastupuje nejpočetnější skupinu zemědělských podnikatelů v ČR, si vám dovoluji zaslat reakci na návrh zákona o evidenci tržeb, který je aktuálně v připomínkovém řízení. </w:t>
            </w:r>
          </w:p>
          <w:p w14:paraId="2A35F500"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ASZ ČR jednoznačně trvá na svém stanovisku k elektronické evidenci tržeb (EET), které je od počátku projednávání návrhu před více než deseti lety odmítavé. Ze zkušeností víme, že zejména na venkově se v praxi potvrdilo, že tento zákon přináší zejména drobným podnikatelům nadměrnou byrokratickou zátěž a finanční náklady a celkově odrazuje od podnikání. To v kombinaci s přísným sankčním systémem zapříčinilo ukončení podnikání mnoha stovek menších subjektů zejména na venkově. Přínos EET pro státní kasu v podobě vyššího daňového výběru, který byl jedním z hlavních argumentů pro její zavedení, bude velmi slabý a celkový efekt zavedeného opatření zejména na sféru menšího a středního podnikání je, podle našich znalostí, negativní. </w:t>
            </w:r>
          </w:p>
          <w:p w14:paraId="7304CE66"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Prostředí venkova a venkovských provozoven zejména v menších a nejmenších sídlech je navíc skutečně specifické a velmi citlivé. Podle našeho názoru je zamýšlená výjimka pro malé podnikatele do 1 mil. Kč nedostatečné řešení. Máme také za to, že navrhované EET i v této nové podobě je nad rámec veřejného zájmu postihovat „šedou“ ekonomiku a zejména nevyřeší podstatu problému. Toto opatření tedy bude mít jednoznačně negativní </w:t>
            </w:r>
            <w:r w:rsidRPr="0035187E">
              <w:rPr>
                <w:rFonts w:ascii="Times New Roman" w:hAnsi="Times New Roman" w:cs="Times New Roman"/>
                <w:sz w:val="20"/>
                <w:szCs w:val="20"/>
              </w:rPr>
              <w:lastRenderedPageBreak/>
              <w:t xml:space="preserve">dopad a povede k dalšímu znechucení v prostoru venkova podnikat, což přinese další neblahé důsledky do ekonomiky a životaschopnosti venkova, které bude muset stát za velmi nákladných podmínek znovu a s nejistým výsledkem obnovovat. </w:t>
            </w:r>
          </w:p>
          <w:p w14:paraId="63A21107" w14:textId="1A6F113F" w:rsidR="000B4BD4" w:rsidRPr="0035187E" w:rsidRDefault="000B4BD4" w:rsidP="0035187E">
            <w:pPr>
              <w:pStyle w:val="Zkladntext21"/>
              <w:framePr w:hSpace="0" w:wrap="auto" w:vAnchor="margin" w:hAnchor="text" w:yAlign="inline"/>
              <w:tabs>
                <w:tab w:val="left" w:pos="0"/>
              </w:tabs>
              <w:rPr>
                <w:rFonts w:ascii="Times New Roman" w:hAnsi="Times New Roman"/>
                <w:b w:val="0"/>
                <w:sz w:val="20"/>
              </w:rPr>
            </w:pPr>
            <w:r w:rsidRPr="0035187E">
              <w:rPr>
                <w:rFonts w:ascii="Times New Roman" w:hAnsi="Times New Roman"/>
                <w:b w:val="0"/>
                <w:sz w:val="20"/>
              </w:rPr>
              <w:t>Vážená paní ministryně, ASZ ČR z výše uvedených důvodů trvá na žádosti o zrušení návrhu zákona o evidenci tržeb jako celku. Pokud byste měla zájem, rádi vám osobně sdělíme další detaily. Děkuji vám předem za odpověď.</w:t>
            </w:r>
          </w:p>
        </w:tc>
        <w:tc>
          <w:tcPr>
            <w:tcW w:w="1453" w:type="pct"/>
            <w:tcBorders>
              <w:top w:val="single" w:sz="4" w:space="0" w:color="auto"/>
              <w:left w:val="single" w:sz="4" w:space="0" w:color="auto"/>
              <w:right w:val="single" w:sz="4" w:space="0" w:color="auto"/>
            </w:tcBorders>
            <w:shd w:val="clear" w:color="auto" w:fill="auto"/>
          </w:tcPr>
          <w:p w14:paraId="634C586F" w14:textId="0BAECDCE" w:rsidR="008F0164" w:rsidRPr="0035187E" w:rsidRDefault="008F0164"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Nevyhověno.</w:t>
            </w:r>
          </w:p>
          <w:p w14:paraId="5B741E2C" w14:textId="02E97837" w:rsidR="000B4BD4" w:rsidRPr="0035187E" w:rsidRDefault="008F0164" w:rsidP="0035187E">
            <w:pPr>
              <w:jc w:val="both"/>
              <w:rPr>
                <w:rFonts w:ascii="Times New Roman" w:hAnsi="Times New Roman" w:cs="Times New Roman"/>
                <w:sz w:val="20"/>
                <w:szCs w:val="20"/>
              </w:rPr>
            </w:pPr>
            <w:r w:rsidRPr="0035187E">
              <w:rPr>
                <w:rFonts w:ascii="Times New Roman" w:hAnsi="Times New Roman" w:cs="Times New Roman"/>
                <w:sz w:val="20"/>
                <w:szCs w:val="20"/>
              </w:rPr>
              <w:t>S návrhem připomínkového místa nelze souhlasit.</w:t>
            </w:r>
            <w:r w:rsidRPr="0035187E">
              <w:rPr>
                <w:rFonts w:ascii="Times New Roman" w:hAnsi="Times New Roman" w:cs="Times New Roman"/>
                <w:b/>
                <w:sz w:val="20"/>
                <w:szCs w:val="20"/>
              </w:rPr>
              <w:t xml:space="preserve"> </w:t>
            </w:r>
            <w:r w:rsidRPr="0035187E">
              <w:rPr>
                <w:rFonts w:ascii="Times New Roman" w:hAnsi="Times New Roman" w:cs="Times New Roman"/>
                <w:sz w:val="20"/>
                <w:szCs w:val="20"/>
              </w:rPr>
              <w:t>Zaváděné EET 2.0 je osvědčeným a efektivním nástrojem směřujícím k narovnání podnikatelského prostředí a zvyšujícím efektivitu správy daní, jakožto zásadního opatření v souladu s programovým prohlášením vlády. Z pohledu předkladatele, i s ohledem na zkušenosti z předchozího fungování EET, není důvod k nastíněným obavám.</w:t>
            </w:r>
          </w:p>
        </w:tc>
      </w:tr>
      <w:tr w:rsidR="0035187E" w:rsidRPr="0035187E" w14:paraId="10B0E5B0"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16DCD73" w14:textId="101C1FE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118.</w:t>
            </w:r>
          </w:p>
        </w:tc>
        <w:tc>
          <w:tcPr>
            <w:tcW w:w="583" w:type="pct"/>
            <w:tcBorders>
              <w:top w:val="single" w:sz="4" w:space="0" w:color="auto"/>
              <w:left w:val="single" w:sz="4" w:space="0" w:color="auto"/>
              <w:right w:val="single" w:sz="4" w:space="0" w:color="auto"/>
            </w:tcBorders>
            <w:shd w:val="clear" w:color="auto" w:fill="auto"/>
          </w:tcPr>
          <w:p w14:paraId="1C6FA2D9" w14:textId="727609F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Česká fintech asociace</w:t>
            </w:r>
          </w:p>
        </w:tc>
        <w:tc>
          <w:tcPr>
            <w:tcW w:w="168" w:type="pct"/>
            <w:tcBorders>
              <w:top w:val="single" w:sz="4" w:space="0" w:color="auto"/>
              <w:left w:val="single" w:sz="4" w:space="0" w:color="auto"/>
              <w:right w:val="single" w:sz="4" w:space="0" w:color="auto"/>
            </w:tcBorders>
            <w:shd w:val="clear" w:color="auto" w:fill="auto"/>
          </w:tcPr>
          <w:p w14:paraId="01C7323B" w14:textId="4E10BF7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51DEBB47" w14:textId="6D01C27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1CA4017" w14:textId="77777777" w:rsidR="000B4BD4" w:rsidRPr="0035187E" w:rsidRDefault="000B4BD4" w:rsidP="0035187E">
            <w:pPr>
              <w:autoSpaceDE w:val="0"/>
              <w:autoSpaceDN w:val="0"/>
              <w:adjustRightInd w:val="0"/>
              <w:jc w:val="both"/>
              <w:rPr>
                <w:rFonts w:ascii="Times New Roman" w:hAnsi="Times New Roman" w:cs="Times New Roman"/>
                <w:i/>
                <w:iCs/>
                <w:sz w:val="20"/>
                <w:szCs w:val="20"/>
              </w:rPr>
            </w:pPr>
            <w:r w:rsidRPr="0035187E">
              <w:rPr>
                <w:rFonts w:ascii="Times New Roman" w:hAnsi="Times New Roman" w:cs="Times New Roman"/>
                <w:i/>
                <w:iCs/>
                <w:sz w:val="20"/>
                <w:szCs w:val="20"/>
              </w:rPr>
              <w:t>K části druhé – změna zákona o daních z příjmů</w:t>
            </w:r>
          </w:p>
          <w:p w14:paraId="3A020D6B"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57098B38" w14:textId="049A9991" w:rsidR="000B4BD4" w:rsidRPr="0035187E" w:rsidRDefault="000B4BD4" w:rsidP="0035187E">
            <w:pPr>
              <w:autoSpaceDE w:val="0"/>
              <w:autoSpaceDN w:val="0"/>
              <w:adjustRightInd w:val="0"/>
              <w:jc w:val="both"/>
              <w:rPr>
                <w:rFonts w:ascii="Times New Roman" w:hAnsi="Times New Roman" w:cs="Times New Roman"/>
                <w:sz w:val="20"/>
                <w:szCs w:val="20"/>
                <w:u w:val="single"/>
              </w:rPr>
            </w:pPr>
            <w:r w:rsidRPr="0035187E">
              <w:rPr>
                <w:rFonts w:ascii="Times New Roman" w:hAnsi="Times New Roman" w:cs="Times New Roman"/>
                <w:sz w:val="20"/>
                <w:szCs w:val="20"/>
                <w:u w:val="single"/>
              </w:rPr>
              <w:t>Legislativní úprava:</w:t>
            </w:r>
          </w:p>
          <w:p w14:paraId="3939F5F1" w14:textId="02D1E6AA"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Navrhujeme navýšit účelovou podporu zaměstnaneckého stravování, konkrétně formou úpravy výše příspěvku na stravování na hranici 100 % horní hranice stravného v případě tzv. nepeněžních plnění, které lze poskytnout zaměstnancům odměňovaným mzdou při pracovní cestě trvající 5 až 12 hodin.</w:t>
            </w:r>
          </w:p>
          <w:p w14:paraId="42F21183" w14:textId="57AEEE79"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V navrhovaném znění změny zákona o daních z příjmů se doplňuje nový bod 4, dosavadní a následující se přečíslují.</w:t>
            </w:r>
          </w:p>
          <w:p w14:paraId="6CFF7DC8"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5B969732" w14:textId="77777777" w:rsidR="000B4BD4" w:rsidRPr="0035187E" w:rsidRDefault="000B4BD4" w:rsidP="0035187E">
            <w:pPr>
              <w:autoSpaceDE w:val="0"/>
              <w:autoSpaceDN w:val="0"/>
              <w:adjustRightInd w:val="0"/>
              <w:jc w:val="both"/>
              <w:rPr>
                <w:rFonts w:ascii="Times New Roman" w:hAnsi="Times New Roman" w:cs="Times New Roman"/>
                <w:sz w:val="20"/>
                <w:szCs w:val="20"/>
                <w:u w:val="single"/>
              </w:rPr>
            </w:pPr>
            <w:r w:rsidRPr="0035187E">
              <w:rPr>
                <w:rFonts w:ascii="Times New Roman" w:hAnsi="Times New Roman" w:cs="Times New Roman"/>
                <w:sz w:val="20"/>
                <w:szCs w:val="20"/>
                <w:u w:val="single"/>
              </w:rPr>
              <w:t>Ustanovení § 6 odst. 9 písm. b) se mění následovně:</w:t>
            </w:r>
          </w:p>
          <w:p w14:paraId="3139A499"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i/>
                <w:iCs/>
                <w:sz w:val="20"/>
                <w:szCs w:val="20"/>
              </w:rPr>
              <w:t xml:space="preserve">b) </w:t>
            </w:r>
            <w:r w:rsidRPr="0035187E">
              <w:rPr>
                <w:rFonts w:ascii="Times New Roman" w:hAnsi="Times New Roman" w:cs="Times New Roman"/>
                <w:sz w:val="20"/>
                <w:szCs w:val="20"/>
              </w:rPr>
              <w:t xml:space="preserve">příjem zaměstnance ve formě příspěvku na stravování poskytnutého zaměstnavatelem za jednu směnu podle jiného právního předpisu, pokud během této směny zaměstnanec vykonával práci alespoň 3 hodiny a nevznikl mu během této směny nárok na stravné v rámci cestovních náhrad podle jiného právního předpisu, a to v úhrnu do výše 70 % horní hranice stravného </w:t>
            </w:r>
            <w:r w:rsidRPr="0035187E">
              <w:rPr>
                <w:rFonts w:ascii="Times New Roman" w:hAnsi="Times New Roman" w:cs="Times New Roman"/>
                <w:b/>
                <w:bCs/>
                <w:sz w:val="20"/>
                <w:szCs w:val="20"/>
              </w:rPr>
              <w:t>v případě peněžitého příspěvku na stravování nebo v úhrnu do výše 100 % horní hranice stravného v případě stravování poskytované jako nepeněžní plnění ke spotřebě na pracovišti zaměstnance nebo v rámci stravování zajišťovaného prostřednictvím jiného subjektu než zaměstnavatele</w:t>
            </w:r>
            <w:r w:rsidRPr="0035187E">
              <w:rPr>
                <w:rFonts w:ascii="Times New Roman" w:hAnsi="Times New Roman" w:cs="Times New Roman"/>
                <w:sz w:val="20"/>
                <w:szCs w:val="20"/>
              </w:rPr>
              <w:t xml:space="preserve">, které lze poskytnout zaměstnancům odměňovaným platem při pracovní cestě trvající 5 až 12 hodin, a v úhrnu do výše 70 % této hranice </w:t>
            </w:r>
            <w:r w:rsidRPr="0035187E">
              <w:rPr>
                <w:rFonts w:ascii="Times New Roman" w:hAnsi="Times New Roman" w:cs="Times New Roman"/>
                <w:b/>
                <w:bCs/>
                <w:sz w:val="20"/>
                <w:szCs w:val="20"/>
              </w:rPr>
              <w:t>v případě peněžitého příspěvku na stravování nebo v úhrnu do výše 100 % horní hranice stravného v případě stravování poskytované jako nepeněžní plnění ke spotřebě na pracovišti zaměstnance nebo v rámci stravování zajišťovaného prostřednictvím jiného subjektu než zaměstnavatele</w:t>
            </w:r>
            <w:r w:rsidRPr="0035187E">
              <w:rPr>
                <w:rFonts w:ascii="Times New Roman" w:hAnsi="Times New Roman" w:cs="Times New Roman"/>
                <w:sz w:val="20"/>
                <w:szCs w:val="20"/>
              </w:rPr>
              <w:t xml:space="preserve">, je-li příspěvek poskytnut jako další příspěvek v rámci stejné směny, pokud její délka v úhrnu s přestávkou v práci povinně poskytovanou zaměstnavatelem podle jiného právního předpisu je delší než 11 hodin; v případě zaměstnance vykonávajícího činnost, ze které plyne příjem ze závislé činnosti, jejíž výkon není rozvržen na směny podle jiného právního předpisu, je příjem ve formě příspěvku na stravování poskytnutého zaměstnavatelem od daně osvobozen, pokud během kalendářního dne zaměstnanec vykonával práci alespoň 3 hodiny a nevznikl mu během tohoto dne nárok na stravné v rámci cestovních náhrad podle jiného právního předpisu ani na stravné v rámci cestovních náhrad na základě smlouvy, a to v úhrnu do výše 70 % horní hranice stravného </w:t>
            </w:r>
            <w:r w:rsidRPr="0035187E">
              <w:rPr>
                <w:rFonts w:ascii="Times New Roman" w:hAnsi="Times New Roman" w:cs="Times New Roman"/>
                <w:b/>
                <w:bCs/>
                <w:sz w:val="20"/>
                <w:szCs w:val="20"/>
              </w:rPr>
              <w:t>v případě peněžitého příspěvku na stravování nebo v úhrnu do výše 100 % horní hranice stravného v případě stravování poskytované jako nepeněžní plnění ke spotřebě na pracovišti zaměstnance nebo v rámci stravování zajišťovaného prostřednictvím jiného subjektu než zaměstnavatele</w:t>
            </w:r>
            <w:r w:rsidRPr="0035187E">
              <w:rPr>
                <w:rFonts w:ascii="Times New Roman" w:hAnsi="Times New Roman" w:cs="Times New Roman"/>
                <w:sz w:val="20"/>
                <w:szCs w:val="20"/>
              </w:rPr>
              <w:t xml:space="preserve">, které lze poskytnout zaměstnancům odměňovaným platem při pracovní cestě trvající 5 až 12 hodin, a v úhrnu </w:t>
            </w:r>
            <w:r w:rsidRPr="0035187E">
              <w:rPr>
                <w:rFonts w:ascii="Times New Roman" w:hAnsi="Times New Roman" w:cs="Times New Roman"/>
                <w:sz w:val="20"/>
                <w:szCs w:val="20"/>
              </w:rPr>
              <w:lastRenderedPageBreak/>
              <w:t xml:space="preserve">do výše 70 % této hranice </w:t>
            </w:r>
            <w:r w:rsidRPr="0035187E">
              <w:rPr>
                <w:rFonts w:ascii="Times New Roman" w:hAnsi="Times New Roman" w:cs="Times New Roman"/>
                <w:b/>
                <w:bCs/>
                <w:sz w:val="20"/>
                <w:szCs w:val="20"/>
              </w:rPr>
              <w:t>v případě peněžitého příspěvku na stravování nebo v úhrnu do výše 100 % horní hranice stravného v případě stravování poskytované jako nepeněžní plnění ke spotřebě na pracovišti zaměstnance nebo v rámci stravování zajišťovaného prostřednictvím jiného subjektu než zaměstnavatele</w:t>
            </w:r>
            <w:r w:rsidRPr="0035187E">
              <w:rPr>
                <w:rFonts w:ascii="Times New Roman" w:hAnsi="Times New Roman" w:cs="Times New Roman"/>
                <w:sz w:val="20"/>
                <w:szCs w:val="20"/>
              </w:rPr>
              <w:t>, je-li příspěvek poskytnut jako další příspěvek v rámci stejného kalendářního dne, pokud během tohoto dne zaměstnanec vykonával práci alespoň 11 hodin.</w:t>
            </w:r>
          </w:p>
          <w:p w14:paraId="53C8D4C3"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528DBB83" w14:textId="77777777" w:rsidR="000B4BD4" w:rsidRPr="0035187E" w:rsidRDefault="000B4BD4" w:rsidP="0035187E">
            <w:pPr>
              <w:autoSpaceDE w:val="0"/>
              <w:autoSpaceDN w:val="0"/>
              <w:adjustRightInd w:val="0"/>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w:t>
            </w:r>
          </w:p>
          <w:p w14:paraId="72121047" w14:textId="1E18E85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Námi navrhovaná úprava směřuje k přesnějšímu rozlišení mezi peněžitou a účelově vázanou podporou zaměstnaneckého stravování. Jejím cílem je nastavit daňovou podporu tak, aby více zohledňovala míru účelovosti jednotlivých forem. Vyšší limit u nepeněžních forem odpovídá tomu, že tyto nástroje jsou bezprostředně spojeny s pořízením jídla, a lépe tak naplňují smysl podpory zaměstnaneckého stravování.</w:t>
            </w:r>
          </w:p>
          <w:p w14:paraId="52BD8A77" w14:textId="31959BB6"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Z našeho pohledu je podstatné, aby právní úprava vytvářela technologicky neutrální a inovačně otevřené prostředí. Účelově vázané nepeněžní benefity jsou dnes běžně poskytovány prostřednictvím elektronických stravenek, platebních karet, mobilních aplikací nebo jiných bezhotovostních nástrojů. Tato řešení přinášejí vyšší uživatelský komfort, nižší administrativní náklady na straně zaměstnavatelů i poskytovatelů a současně umožňují efektivnější, transparentnější a lépe kontrolovatelné čerpání prostředků.</w:t>
            </w:r>
          </w:p>
          <w:p w14:paraId="3C52187E" w14:textId="568E58A2"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Návrh má vedle toho i širší hospodářský význam. Účelové formy zaměstnaneckého stravování podporují pravidelnou denní spotřebu ve službách, které byly v uplynulých letech výrazně zatíženy změnami spotřebitelského chování i růstem nákladů. Zároveň podporují další rozvoj bezhotovostní ekonomiky a digitálních platebních nástrojů, což je v souladu s dlouhodobým trendem modernizace české ekonomiky a veřejné správy.</w:t>
            </w:r>
          </w:p>
          <w:p w14:paraId="177CDC2A"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Považujeme navržené zvýšení limitu u nepeněžních forem zaměstnaneckého stravování za vhodný krok, který podporuje účelové, efektivní a moderní řešení zaměstnaneckých benefitů, aniž by omezoval zachování peněžité formy příspěvku na stravování v dosavadním rozsahu. </w:t>
            </w:r>
          </w:p>
          <w:p w14:paraId="0942FCED"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0FD9F02D" w14:textId="2C16FF0A"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Tato připomínka je zásadní.</w:t>
            </w:r>
          </w:p>
          <w:p w14:paraId="68C37553" w14:textId="36DFAFC3" w:rsidR="000B4BD4" w:rsidRPr="0035187E" w:rsidRDefault="000B4BD4" w:rsidP="0035187E">
            <w:pPr>
              <w:autoSpaceDE w:val="0"/>
              <w:autoSpaceDN w:val="0"/>
              <w:adjustRightInd w:val="0"/>
              <w:jc w:val="both"/>
              <w:rPr>
                <w:rFonts w:ascii="Times New Roman" w:hAnsi="Times New Roman" w:cs="Times New Roman"/>
                <w:b/>
                <w:sz w:val="20"/>
              </w:rPr>
            </w:pPr>
            <w:r w:rsidRPr="0035187E">
              <w:rPr>
                <w:rFonts w:ascii="Times New Roman" w:hAnsi="Times New Roman" w:cs="Times New Roman"/>
                <w:sz w:val="20"/>
                <w:szCs w:val="20"/>
              </w:rPr>
              <w:t xml:space="preserve">Za </w:t>
            </w:r>
            <w:r w:rsidRPr="0035187E">
              <w:rPr>
                <w:rFonts w:ascii="Times New Roman" w:hAnsi="Times New Roman" w:cs="Times New Roman"/>
                <w:b/>
                <w:bCs/>
                <w:sz w:val="20"/>
                <w:szCs w:val="20"/>
              </w:rPr>
              <w:t xml:space="preserve">Česká fintech asociace, </w:t>
            </w:r>
            <w:proofErr w:type="spellStart"/>
            <w:r w:rsidRPr="0035187E">
              <w:rPr>
                <w:rFonts w:ascii="Times New Roman" w:hAnsi="Times New Roman" w:cs="Times New Roman"/>
                <w:b/>
                <w:bCs/>
                <w:sz w:val="20"/>
                <w:szCs w:val="20"/>
              </w:rPr>
              <w:t>z.s</w:t>
            </w:r>
            <w:proofErr w:type="spellEnd"/>
            <w:r w:rsidRPr="0035187E">
              <w:rPr>
                <w:rFonts w:ascii="Times New Roman" w:hAnsi="Times New Roman" w:cs="Times New Roman"/>
                <w:b/>
                <w:bCs/>
                <w:sz w:val="20"/>
                <w:szCs w:val="20"/>
              </w:rPr>
              <w:t>.</w:t>
            </w:r>
          </w:p>
        </w:tc>
        <w:tc>
          <w:tcPr>
            <w:tcW w:w="1453" w:type="pct"/>
            <w:tcBorders>
              <w:top w:val="single" w:sz="4" w:space="0" w:color="auto"/>
              <w:left w:val="single" w:sz="4" w:space="0" w:color="auto"/>
              <w:right w:val="single" w:sz="4" w:space="0" w:color="auto"/>
            </w:tcBorders>
            <w:shd w:val="clear" w:color="auto" w:fill="auto"/>
          </w:tcPr>
          <w:p w14:paraId="28EDA027" w14:textId="77777777" w:rsidR="00D167F0" w:rsidRPr="0035187E" w:rsidRDefault="00D167F0"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Nevyhověno.</w:t>
            </w:r>
          </w:p>
          <w:p w14:paraId="3F25BEC0" w14:textId="77777777" w:rsidR="00D167F0" w:rsidRPr="0035187E" w:rsidRDefault="00D167F0" w:rsidP="0035187E">
            <w:pPr>
              <w:jc w:val="both"/>
              <w:rPr>
                <w:rFonts w:ascii="Times New Roman" w:hAnsi="Times New Roman" w:cs="Times New Roman"/>
                <w:sz w:val="20"/>
                <w:szCs w:val="20"/>
              </w:rPr>
            </w:pPr>
            <w:r w:rsidRPr="0035187E">
              <w:rPr>
                <w:rFonts w:ascii="Times New Roman" w:hAnsi="Times New Roman" w:cs="Times New Roman"/>
                <w:sz w:val="20"/>
                <w:szCs w:val="20"/>
              </w:rPr>
              <w:t>Podnět přesahuje rámec navrhované úpravy zákona o evidenci tržeb.</w:t>
            </w:r>
          </w:p>
          <w:p w14:paraId="2613A9A3" w14:textId="77777777" w:rsidR="00D167F0" w:rsidRPr="0035187E" w:rsidRDefault="00D167F0" w:rsidP="0035187E">
            <w:pPr>
              <w:jc w:val="both"/>
              <w:rPr>
                <w:rFonts w:ascii="Times New Roman" w:hAnsi="Times New Roman" w:cs="Times New Roman"/>
                <w:sz w:val="20"/>
                <w:szCs w:val="20"/>
              </w:rPr>
            </w:pPr>
            <w:r w:rsidRPr="0035187E">
              <w:rPr>
                <w:rFonts w:ascii="Times New Roman" w:hAnsi="Times New Roman" w:cs="Times New Roman"/>
                <w:sz w:val="20"/>
                <w:szCs w:val="20"/>
              </w:rPr>
              <w:t>Nelze garantovat, že zvýšení limitu příspěvku na stravování skutečně povede k lepší stravovací kultuře. Navrhované opatření je navíc nesystémové, protože zvýšení daňového osvobození se vztahuje pouze na nepeněžní formu příspěvku (např. stravenka), zatímco peněžitý příspěvek zůstává omezen na nižší hranici.</w:t>
            </w:r>
            <w:r w:rsidRPr="0035187E">
              <w:t xml:space="preserve"> </w:t>
            </w:r>
            <w:r w:rsidRPr="0035187E">
              <w:rPr>
                <w:rFonts w:ascii="Times New Roman" w:hAnsi="Times New Roman" w:cs="Times New Roman"/>
                <w:sz w:val="20"/>
                <w:szCs w:val="20"/>
              </w:rPr>
              <w:t>Zaměstnanec, který by platil oběd v restauračním zařízení v hotovosti, by byl znevýhodněn oproti zaměstnanci, který by stejný oběd odebíral za stravenku.</w:t>
            </w:r>
          </w:p>
          <w:p w14:paraId="2D78DC87" w14:textId="3B619067" w:rsidR="000B4BD4" w:rsidRPr="0035187E" w:rsidRDefault="000B4BD4" w:rsidP="0035187E">
            <w:pPr>
              <w:jc w:val="both"/>
              <w:rPr>
                <w:rFonts w:ascii="Times New Roman" w:hAnsi="Times New Roman" w:cs="Times New Roman"/>
                <w:sz w:val="20"/>
                <w:szCs w:val="20"/>
              </w:rPr>
            </w:pPr>
          </w:p>
        </w:tc>
      </w:tr>
      <w:tr w:rsidR="0035187E" w:rsidRPr="0035187E" w14:paraId="75C2ABF3"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903472C" w14:textId="445E499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122.</w:t>
            </w:r>
          </w:p>
        </w:tc>
        <w:tc>
          <w:tcPr>
            <w:tcW w:w="583" w:type="pct"/>
            <w:tcBorders>
              <w:top w:val="single" w:sz="4" w:space="0" w:color="auto"/>
              <w:left w:val="single" w:sz="4" w:space="0" w:color="auto"/>
              <w:right w:val="single" w:sz="4" w:space="0" w:color="auto"/>
            </w:tcBorders>
            <w:shd w:val="clear" w:color="auto" w:fill="auto"/>
          </w:tcPr>
          <w:p w14:paraId="6DCE3BED" w14:textId="0454C63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Česká unie cestovního ruchu, </w:t>
            </w:r>
            <w:proofErr w:type="spellStart"/>
            <w:r w:rsidRPr="0035187E">
              <w:rPr>
                <w:rFonts w:ascii="Times New Roman" w:hAnsi="Times New Roman" w:cs="Times New Roman"/>
                <w:sz w:val="20"/>
                <w:szCs w:val="20"/>
              </w:rPr>
              <w:t>z.s</w:t>
            </w:r>
            <w:proofErr w:type="spellEnd"/>
            <w:r w:rsidRPr="0035187E">
              <w:rPr>
                <w:rFonts w:ascii="Times New Roman" w:hAnsi="Times New Roman" w:cs="Times New Roman"/>
                <w:sz w:val="20"/>
                <w:szCs w:val="20"/>
              </w:rPr>
              <w:t>.</w:t>
            </w:r>
          </w:p>
        </w:tc>
        <w:tc>
          <w:tcPr>
            <w:tcW w:w="168" w:type="pct"/>
            <w:tcBorders>
              <w:top w:val="single" w:sz="4" w:space="0" w:color="auto"/>
              <w:left w:val="single" w:sz="4" w:space="0" w:color="auto"/>
              <w:right w:val="single" w:sz="4" w:space="0" w:color="auto"/>
            </w:tcBorders>
            <w:shd w:val="clear" w:color="auto" w:fill="auto"/>
          </w:tcPr>
          <w:p w14:paraId="1BDDD4E2" w14:textId="6851199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283C973A" w14:textId="0A4F89B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D517461"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 xml:space="preserve">Připomínky České unie cestovního ruchu k návrhu úpravy evidence tržeb (EET 2.0) </w:t>
            </w:r>
          </w:p>
          <w:p w14:paraId="58EA7E9C"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V návaznosti na předložený návrh úpravy evidence tržeb (EET 2.0) si dovolujeme jménem České unie cestovního ruchu (ČUCR) uplatnit následující připomínky. </w:t>
            </w:r>
          </w:p>
          <w:p w14:paraId="37080A8D"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Obecně vnímáme snahu o modernizaci systému evidence tržeb a jeho zjednodušení pozitivně. Za zásadní však považujeme, aby výsledná úprava naplňovala dva klíčové principy – snižování administrativní zátěže podnikatelů a zajištění rovných a férových podmínek na trhu. </w:t>
            </w:r>
          </w:p>
          <w:p w14:paraId="4A89A1EF"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Z pohledu praxe je přitom nezbytné, aby systém obsahoval co nejméně výjimek a dopadal na co nejširší okruh subjektů, jinak hrozí jeho obcházení a další prohlubování nerovných podmínek. V této souvislosti si dovolujeme otevřít otázku, zda navržené výjimky nemohou vést k účelovému dělení podnikatelských aktivit (např. rozdělení IČ), a tím k obcházení </w:t>
            </w:r>
            <w:r w:rsidRPr="0035187E">
              <w:rPr>
                <w:rFonts w:ascii="Times New Roman" w:hAnsi="Times New Roman" w:cs="Times New Roman"/>
                <w:sz w:val="20"/>
                <w:szCs w:val="20"/>
              </w:rPr>
              <w:lastRenderedPageBreak/>
              <w:t xml:space="preserve">evidenční povinnosti, což by bylo v přímém rozporu s deklarovaným cílem narovnání podnikatelského prostředí. Zároveň však z pohledu i malých podnikatelů, kdy zejména cestovní ruch v ČR je složen z malých a středních firem, oceňujeme, že drobní podnikatelé s ročním obratem do 1 milionu korun budou mít i nadále možnost volby mezi evidencí tržeb a využitím paušální daně. </w:t>
            </w:r>
          </w:p>
          <w:p w14:paraId="1D161815"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Zároveň vítáme deklarovaný cíl snižování byrokratické a administrativní zátěže. V sektoru cestovního ruchu je tato zátěž dlouhodobě vysoká, a proto je nezbytné, aby nové nástroje nepřinášely další komplikace, zejména v případech, kde existují specifické obchodní modely. </w:t>
            </w:r>
          </w:p>
          <w:p w14:paraId="37825D98" w14:textId="73A69154" w:rsidR="000B4BD4" w:rsidRPr="0035187E" w:rsidRDefault="000B4BD4" w:rsidP="0035187E">
            <w:pPr>
              <w:pStyle w:val="Zkladntext21"/>
              <w:framePr w:hSpace="0" w:wrap="auto" w:vAnchor="margin" w:hAnchor="text" w:yAlign="inline"/>
              <w:tabs>
                <w:tab w:val="left" w:pos="0"/>
              </w:tabs>
              <w:rPr>
                <w:rFonts w:ascii="Times New Roman" w:hAnsi="Times New Roman"/>
                <w:b w:val="0"/>
                <w:bCs/>
                <w:sz w:val="20"/>
              </w:rPr>
            </w:pPr>
            <w:r w:rsidRPr="0035187E">
              <w:rPr>
                <w:rFonts w:ascii="Times New Roman" w:hAnsi="Times New Roman"/>
                <w:b w:val="0"/>
                <w:sz w:val="20"/>
              </w:rPr>
              <w:t>V návaznosti na výše uvedené si dovolujeme upozornit na následující konkrétní oblasti, u nichž považujeme za nezbytné doplnění výkladu či úpravu legislativního textu.</w:t>
            </w:r>
          </w:p>
        </w:tc>
        <w:tc>
          <w:tcPr>
            <w:tcW w:w="1453" w:type="pct"/>
            <w:tcBorders>
              <w:top w:val="single" w:sz="4" w:space="0" w:color="auto"/>
              <w:left w:val="single" w:sz="4" w:space="0" w:color="auto"/>
              <w:right w:val="single" w:sz="4" w:space="0" w:color="auto"/>
            </w:tcBorders>
            <w:shd w:val="clear" w:color="auto" w:fill="auto"/>
          </w:tcPr>
          <w:p w14:paraId="1F4D5BAD" w14:textId="197AFF3E"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Bere se na vědomí.</w:t>
            </w:r>
          </w:p>
        </w:tc>
      </w:tr>
      <w:tr w:rsidR="0035187E" w:rsidRPr="0035187E" w14:paraId="34E0B6F5"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E0C02D0" w14:textId="6B241EA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122.</w:t>
            </w:r>
          </w:p>
        </w:tc>
        <w:tc>
          <w:tcPr>
            <w:tcW w:w="583" w:type="pct"/>
            <w:tcBorders>
              <w:top w:val="single" w:sz="4" w:space="0" w:color="auto"/>
              <w:left w:val="single" w:sz="4" w:space="0" w:color="auto"/>
              <w:right w:val="single" w:sz="4" w:space="0" w:color="auto"/>
            </w:tcBorders>
            <w:shd w:val="clear" w:color="auto" w:fill="auto"/>
          </w:tcPr>
          <w:p w14:paraId="1DD4C087" w14:textId="63B7D3D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Česká unie cestovního ruchu, </w:t>
            </w:r>
            <w:proofErr w:type="spellStart"/>
            <w:r w:rsidRPr="0035187E">
              <w:rPr>
                <w:rFonts w:ascii="Times New Roman" w:hAnsi="Times New Roman" w:cs="Times New Roman"/>
                <w:sz w:val="20"/>
                <w:szCs w:val="20"/>
              </w:rPr>
              <w:t>z.s</w:t>
            </w:r>
            <w:proofErr w:type="spellEnd"/>
            <w:r w:rsidRPr="0035187E">
              <w:rPr>
                <w:rFonts w:ascii="Times New Roman" w:hAnsi="Times New Roman" w:cs="Times New Roman"/>
                <w:sz w:val="20"/>
                <w:szCs w:val="20"/>
              </w:rPr>
              <w:t>.</w:t>
            </w:r>
          </w:p>
        </w:tc>
        <w:tc>
          <w:tcPr>
            <w:tcW w:w="168" w:type="pct"/>
            <w:tcBorders>
              <w:top w:val="single" w:sz="4" w:space="0" w:color="auto"/>
              <w:left w:val="single" w:sz="4" w:space="0" w:color="auto"/>
              <w:right w:val="single" w:sz="4" w:space="0" w:color="auto"/>
            </w:tcBorders>
            <w:shd w:val="clear" w:color="auto" w:fill="auto"/>
          </w:tcPr>
          <w:p w14:paraId="05EAC227" w14:textId="7B15EF7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w:t>
            </w:r>
          </w:p>
        </w:tc>
        <w:tc>
          <w:tcPr>
            <w:tcW w:w="169" w:type="pct"/>
            <w:tcBorders>
              <w:top w:val="single" w:sz="4" w:space="0" w:color="auto"/>
              <w:left w:val="single" w:sz="4" w:space="0" w:color="auto"/>
              <w:right w:val="single" w:sz="4" w:space="0" w:color="auto"/>
            </w:tcBorders>
            <w:shd w:val="clear" w:color="auto" w:fill="auto"/>
          </w:tcPr>
          <w:p w14:paraId="1A27141C" w14:textId="1391CC5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A39AEC6"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 xml:space="preserve">Obecné připomínky: </w:t>
            </w:r>
          </w:p>
          <w:p w14:paraId="545FF12C" w14:textId="47D65FB8" w:rsidR="000B4BD4" w:rsidRPr="0035187E" w:rsidRDefault="000B4BD4" w:rsidP="0035187E">
            <w:pPr>
              <w:numPr>
                <w:ilvl w:val="0"/>
                <w:numId w:val="83"/>
              </w:num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 xml:space="preserve">Sazba DPH: </w:t>
            </w:r>
            <w:r w:rsidRPr="0035187E">
              <w:rPr>
                <w:rFonts w:ascii="Times New Roman" w:hAnsi="Times New Roman" w:cs="Times New Roman"/>
                <w:sz w:val="20"/>
                <w:szCs w:val="20"/>
              </w:rPr>
              <w:t xml:space="preserve">Považujeme za důležité sjednocení sazeb DPH v rámci sektoru cestovního ruchu, aby nedocházelo k narušení rovného konkurenčního prostředí (např. rozdílné postavení při prodeji ubytování prostřednictvím cestovní agentury vs. přímo ubytovacím zařízením). Současně doporučujeme zvážit úpravu podmínek pro vracení DPH turistům ze třetích zemí, což může pozitivně ovlivnit příjezdový cestovní ruch. </w:t>
            </w:r>
          </w:p>
          <w:p w14:paraId="683B23A7" w14:textId="0622E08D" w:rsidR="000B4BD4" w:rsidRPr="0035187E" w:rsidRDefault="000B4BD4" w:rsidP="0035187E">
            <w:pPr>
              <w:autoSpaceDE w:val="0"/>
              <w:autoSpaceDN w:val="0"/>
              <w:adjustRightInd w:val="0"/>
              <w:jc w:val="both"/>
              <w:rPr>
                <w:rFonts w:ascii="Times New Roman" w:hAnsi="Times New Roman" w:cs="Times New Roman"/>
                <w:b/>
                <w:bCs/>
                <w:sz w:val="20"/>
                <w:szCs w:val="20"/>
              </w:rPr>
            </w:pPr>
            <w:r w:rsidRPr="0035187E">
              <w:rPr>
                <w:rFonts w:ascii="Times New Roman" w:hAnsi="Times New Roman" w:cs="Times New Roman"/>
                <w:sz w:val="20"/>
                <w:szCs w:val="20"/>
              </w:rPr>
              <w:t xml:space="preserve">Je vhodné ve snížené sazbě zachovat služby cestovního ruchu, např. 79.90.12 Informační služby návštěvníkům, 50.3 / 503 Vnitrozemská vodní osobní doprava a pronájem osobních plavidel s obsluhou </w:t>
            </w:r>
          </w:p>
        </w:tc>
        <w:tc>
          <w:tcPr>
            <w:tcW w:w="1453" w:type="pct"/>
            <w:tcBorders>
              <w:top w:val="single" w:sz="4" w:space="0" w:color="auto"/>
              <w:left w:val="single" w:sz="4" w:space="0" w:color="auto"/>
              <w:right w:val="single" w:sz="4" w:space="0" w:color="auto"/>
            </w:tcBorders>
            <w:shd w:val="clear" w:color="auto" w:fill="auto"/>
          </w:tcPr>
          <w:p w14:paraId="409C2E9D"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Nevyhověno.</w:t>
            </w:r>
          </w:p>
          <w:p w14:paraId="7AC39927" w14:textId="188DE1A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K otázce sjednocení sazeb DPH lze uvést, že pro zvláštní režim pro cestovní kanceláře se povinně v souladu s unijní směrnicí použije základní sazba daně. Současně se každý členský stát může rozhodnout, že příkladně u ubytovacích služeb lze aplikovat sníženou sazbu daně. Vzhledem k tomu, že tyto možnosti jsou schváleny v unijní směrnici o DPH, prošla tato úprava také testem daňové neutrality (kdy dvě stejné komodity nesmí být zatíženy rozdílnou sazbou daně). V tomto případě je zřejmé, že služba cestovní agentury je širší (obsahuje vícero různých služeb) než samotná služba ubytovací, tj. nejedná se o nerovné podmínky ve smyslu principů DPH.</w:t>
            </w:r>
          </w:p>
          <w:p w14:paraId="3FD3A153" w14:textId="6CA7812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sz w:val="20"/>
                <w:szCs w:val="20"/>
              </w:rPr>
              <w:t xml:space="preserve">Česká republika při stanovení limitu pro vrácení daně turistům ze třetích zemí využila možnosti, kterou obsahuje čl. 147 odst. 1 písm. c) směrnice o dani z přidané hodnoty. V této souvislosti je třeba uvést, že základní limit předpokládaný směrnicí o DPH pro osvobození od daně při vývozu zboží v zavazadlech cestujících je 175 EUR nebo ekvivalent této částky v národní měně. A byť existují členské státy Evropské unie, které tento limit úplně zrušily, existují i jiné členské státy, které mají limit </w:t>
            </w:r>
            <w:proofErr w:type="gramStart"/>
            <w:r w:rsidRPr="0035187E">
              <w:rPr>
                <w:rFonts w:ascii="Times New Roman" w:hAnsi="Times New Roman" w:cs="Times New Roman"/>
                <w:sz w:val="20"/>
                <w:szCs w:val="20"/>
              </w:rPr>
              <w:t>vyšší</w:t>
            </w:r>
            <w:proofErr w:type="gramEnd"/>
            <w:r w:rsidRPr="0035187E">
              <w:rPr>
                <w:rFonts w:ascii="Times New Roman" w:hAnsi="Times New Roman" w:cs="Times New Roman"/>
                <w:sz w:val="20"/>
                <w:szCs w:val="20"/>
              </w:rPr>
              <w:t xml:space="preserve"> než je stanovený v České republice. Ustanovení o vracení daně z přidané hodnoty zahraničním fyzickým osobám je výjimka, kterou není vhodné snížením výše limitu ceny nakoupeného zboží pro vracení daně dále jakkoliv podporovat. Zde lze poukázat na nerovnost mezi „vývozem“ zboží do jiného členského státu Evropské unie a vývozem zboží mimo Evropskou unii, neboť v </w:t>
            </w:r>
            <w:r w:rsidRPr="0035187E">
              <w:rPr>
                <w:rFonts w:ascii="Times New Roman" w:hAnsi="Times New Roman" w:cs="Times New Roman"/>
                <w:sz w:val="20"/>
                <w:szCs w:val="20"/>
              </w:rPr>
              <w:lastRenderedPageBreak/>
              <w:t>případě „vývozu“ zboží do jiného členského státu Evropské unie k vracení zaplacené daně turistům nedochází vůbec. Navrhovaným snížením limitu ceny nakoupeného zboží pro vracení daně se tato nerovnost dále pro občany ze zemí Evropské unie prohlubuje.</w:t>
            </w:r>
          </w:p>
        </w:tc>
      </w:tr>
      <w:tr w:rsidR="0035187E" w:rsidRPr="0035187E" w14:paraId="218B3B2C"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BAE54B2" w14:textId="1E45BDC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122.</w:t>
            </w:r>
          </w:p>
        </w:tc>
        <w:tc>
          <w:tcPr>
            <w:tcW w:w="583" w:type="pct"/>
            <w:tcBorders>
              <w:top w:val="single" w:sz="4" w:space="0" w:color="auto"/>
              <w:left w:val="single" w:sz="4" w:space="0" w:color="auto"/>
              <w:right w:val="single" w:sz="4" w:space="0" w:color="auto"/>
            </w:tcBorders>
            <w:shd w:val="clear" w:color="auto" w:fill="auto"/>
          </w:tcPr>
          <w:p w14:paraId="69F4216E" w14:textId="748E9F1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Česká unie cestovního ruchu, </w:t>
            </w:r>
            <w:proofErr w:type="spellStart"/>
            <w:r w:rsidRPr="0035187E">
              <w:rPr>
                <w:rFonts w:ascii="Times New Roman" w:hAnsi="Times New Roman" w:cs="Times New Roman"/>
                <w:sz w:val="20"/>
                <w:szCs w:val="20"/>
              </w:rPr>
              <w:t>z.s</w:t>
            </w:r>
            <w:proofErr w:type="spellEnd"/>
            <w:r w:rsidRPr="0035187E">
              <w:rPr>
                <w:rFonts w:ascii="Times New Roman" w:hAnsi="Times New Roman" w:cs="Times New Roman"/>
                <w:sz w:val="20"/>
                <w:szCs w:val="20"/>
              </w:rPr>
              <w:t>.</w:t>
            </w:r>
          </w:p>
        </w:tc>
        <w:tc>
          <w:tcPr>
            <w:tcW w:w="168" w:type="pct"/>
            <w:tcBorders>
              <w:top w:val="single" w:sz="4" w:space="0" w:color="auto"/>
              <w:left w:val="single" w:sz="4" w:space="0" w:color="auto"/>
              <w:right w:val="single" w:sz="4" w:space="0" w:color="auto"/>
            </w:tcBorders>
            <w:shd w:val="clear" w:color="auto" w:fill="auto"/>
          </w:tcPr>
          <w:p w14:paraId="55B36109" w14:textId="0673D89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3.</w:t>
            </w:r>
          </w:p>
        </w:tc>
        <w:tc>
          <w:tcPr>
            <w:tcW w:w="169" w:type="pct"/>
            <w:tcBorders>
              <w:top w:val="single" w:sz="4" w:space="0" w:color="auto"/>
              <w:left w:val="single" w:sz="4" w:space="0" w:color="auto"/>
              <w:right w:val="single" w:sz="4" w:space="0" w:color="auto"/>
            </w:tcBorders>
            <w:shd w:val="clear" w:color="auto" w:fill="auto"/>
          </w:tcPr>
          <w:p w14:paraId="5D9E7B92" w14:textId="62BF3DA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3F7800F" w14:textId="1D7446CE" w:rsidR="000B4BD4" w:rsidRPr="0035187E" w:rsidRDefault="000B4BD4" w:rsidP="0035187E">
            <w:pPr>
              <w:pStyle w:val="Odstavecseseznamem"/>
              <w:numPr>
                <w:ilvl w:val="0"/>
                <w:numId w:val="85"/>
              </w:numPr>
              <w:autoSpaceDE w:val="0"/>
              <w:autoSpaceDN w:val="0"/>
              <w:adjustRightInd w:val="0"/>
              <w:ind w:left="0" w:firstLine="0"/>
              <w:jc w:val="both"/>
              <w:rPr>
                <w:rFonts w:ascii="Times New Roman" w:hAnsi="Times New Roman"/>
                <w:b/>
                <w:bCs/>
                <w:sz w:val="20"/>
                <w:szCs w:val="20"/>
              </w:rPr>
            </w:pPr>
            <w:r w:rsidRPr="0035187E">
              <w:rPr>
                <w:rFonts w:ascii="Times New Roman" w:hAnsi="Times New Roman"/>
                <w:b/>
                <w:bCs/>
                <w:sz w:val="20"/>
                <w:szCs w:val="20"/>
              </w:rPr>
              <w:t xml:space="preserve">§ 13 – Vynětí z evidence tržeb podle druhu činnosti: </w:t>
            </w:r>
            <w:r w:rsidRPr="0035187E">
              <w:rPr>
                <w:rFonts w:ascii="Times New Roman" w:hAnsi="Times New Roman"/>
                <w:sz w:val="20"/>
                <w:szCs w:val="20"/>
              </w:rPr>
              <w:t xml:space="preserve">Doporučujeme zpřesnit odůvodnění jednotlivých výjimek (např. u hazardních her), aby bylo zřejmé, že se jedná o činnosti podléhající specifickému režimu, nikoli o obecné vyjmutí z kontrolních mechanismů. </w:t>
            </w:r>
          </w:p>
        </w:tc>
        <w:tc>
          <w:tcPr>
            <w:tcW w:w="1453" w:type="pct"/>
            <w:tcBorders>
              <w:top w:val="single" w:sz="4" w:space="0" w:color="auto"/>
              <w:left w:val="single" w:sz="4" w:space="0" w:color="auto"/>
              <w:right w:val="single" w:sz="4" w:space="0" w:color="auto"/>
            </w:tcBorders>
            <w:shd w:val="clear" w:color="auto" w:fill="auto"/>
          </w:tcPr>
          <w:p w14:paraId="11D788F2" w14:textId="77777777" w:rsidR="000B4BD4" w:rsidRPr="0035187E" w:rsidRDefault="008F0164" w:rsidP="0035187E">
            <w:pPr>
              <w:jc w:val="both"/>
              <w:rPr>
                <w:rFonts w:ascii="Times New Roman" w:hAnsi="Times New Roman" w:cs="Times New Roman"/>
                <w:b/>
                <w:sz w:val="20"/>
                <w:szCs w:val="20"/>
              </w:rPr>
            </w:pPr>
            <w:r w:rsidRPr="0035187E">
              <w:rPr>
                <w:rFonts w:ascii="Times New Roman" w:hAnsi="Times New Roman" w:cs="Times New Roman"/>
                <w:b/>
                <w:sz w:val="20"/>
                <w:szCs w:val="20"/>
              </w:rPr>
              <w:t>Vyhověno.</w:t>
            </w:r>
          </w:p>
          <w:p w14:paraId="68F88821" w14:textId="11E6455B" w:rsidR="008F0164" w:rsidRPr="0035187E" w:rsidRDefault="008F0164"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tc>
      </w:tr>
      <w:tr w:rsidR="0035187E" w:rsidRPr="0035187E" w14:paraId="334733D5"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569D103" w14:textId="1E79EB6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122.</w:t>
            </w:r>
          </w:p>
        </w:tc>
        <w:tc>
          <w:tcPr>
            <w:tcW w:w="583" w:type="pct"/>
            <w:tcBorders>
              <w:top w:val="single" w:sz="4" w:space="0" w:color="auto"/>
              <w:left w:val="single" w:sz="4" w:space="0" w:color="auto"/>
              <w:right w:val="single" w:sz="4" w:space="0" w:color="auto"/>
            </w:tcBorders>
            <w:shd w:val="clear" w:color="auto" w:fill="auto"/>
          </w:tcPr>
          <w:p w14:paraId="77844B9C" w14:textId="4647C0B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Česká unie cestovního ruchu, </w:t>
            </w:r>
            <w:proofErr w:type="spellStart"/>
            <w:r w:rsidRPr="0035187E">
              <w:rPr>
                <w:rFonts w:ascii="Times New Roman" w:hAnsi="Times New Roman" w:cs="Times New Roman"/>
                <w:sz w:val="20"/>
                <w:szCs w:val="20"/>
              </w:rPr>
              <w:t>z.s</w:t>
            </w:r>
            <w:proofErr w:type="spellEnd"/>
            <w:r w:rsidRPr="0035187E">
              <w:rPr>
                <w:rFonts w:ascii="Times New Roman" w:hAnsi="Times New Roman" w:cs="Times New Roman"/>
                <w:sz w:val="20"/>
                <w:szCs w:val="20"/>
              </w:rPr>
              <w:t>.</w:t>
            </w:r>
          </w:p>
        </w:tc>
        <w:tc>
          <w:tcPr>
            <w:tcW w:w="168" w:type="pct"/>
            <w:tcBorders>
              <w:top w:val="single" w:sz="4" w:space="0" w:color="auto"/>
              <w:left w:val="single" w:sz="4" w:space="0" w:color="auto"/>
              <w:right w:val="single" w:sz="4" w:space="0" w:color="auto"/>
            </w:tcBorders>
            <w:shd w:val="clear" w:color="auto" w:fill="auto"/>
          </w:tcPr>
          <w:p w14:paraId="295592B0" w14:textId="6619CA6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w:t>
            </w:r>
          </w:p>
        </w:tc>
        <w:tc>
          <w:tcPr>
            <w:tcW w:w="169" w:type="pct"/>
            <w:tcBorders>
              <w:top w:val="single" w:sz="4" w:space="0" w:color="auto"/>
              <w:left w:val="single" w:sz="4" w:space="0" w:color="auto"/>
              <w:right w:val="single" w:sz="4" w:space="0" w:color="auto"/>
            </w:tcBorders>
            <w:shd w:val="clear" w:color="auto" w:fill="auto"/>
          </w:tcPr>
          <w:p w14:paraId="52E93CE2" w14:textId="7FAB47C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B1ADA4C" w14:textId="77777777" w:rsidR="000B4BD4" w:rsidRPr="0035187E" w:rsidRDefault="000B4BD4" w:rsidP="0035187E">
            <w:pPr>
              <w:numPr>
                <w:ilvl w:val="0"/>
                <w:numId w:val="84"/>
              </w:num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 xml:space="preserve">Načasování spuštění EET 2.0: </w:t>
            </w:r>
            <w:r w:rsidRPr="0035187E">
              <w:rPr>
                <w:rFonts w:ascii="Times New Roman" w:hAnsi="Times New Roman" w:cs="Times New Roman"/>
                <w:sz w:val="20"/>
                <w:szCs w:val="20"/>
              </w:rPr>
              <w:t xml:space="preserve">S ohledem na sezónnost cestovního ruchu a nutnost úprav IT systémů doporučujeme zvážit posun účinnosti (např. z ledna 2027 na jaro 2027), aby implementace nezasáhla hlavní prodejní období a nedošlo k provozním komplikacím. </w:t>
            </w:r>
          </w:p>
          <w:p w14:paraId="50357D76"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Jsme přesvědčeni, že vhodným nastavením systému evidence tržeb lze skutečně přispět k narovnání podnikatelského prostředí. Klíčové však bude zohlednění specifik jednotlivých sektorů, minimalizace administrativní zátěže a zajištění rovného dopadu na všechny podnikatelské subjekty. </w:t>
            </w:r>
          </w:p>
          <w:p w14:paraId="58D186DD" w14:textId="2F1AFF58" w:rsidR="000B4BD4" w:rsidRPr="0035187E" w:rsidRDefault="000B4BD4" w:rsidP="0035187E">
            <w:pPr>
              <w:pStyle w:val="Zkladntext21"/>
              <w:framePr w:hSpace="0" w:wrap="auto" w:vAnchor="margin" w:hAnchor="text" w:yAlign="inline"/>
              <w:tabs>
                <w:tab w:val="left" w:pos="0"/>
              </w:tabs>
              <w:rPr>
                <w:rFonts w:ascii="Times New Roman" w:hAnsi="Times New Roman"/>
                <w:b w:val="0"/>
                <w:bCs/>
                <w:sz w:val="20"/>
              </w:rPr>
            </w:pPr>
            <w:r w:rsidRPr="0035187E">
              <w:rPr>
                <w:rFonts w:ascii="Times New Roman" w:hAnsi="Times New Roman"/>
                <w:b w:val="0"/>
                <w:sz w:val="20"/>
              </w:rPr>
              <w:t>Česká unie cestovního ruchu je připravena poskytnout součinnost při dalším dopracování návrhu a sdílet praktické zkušenosti z fungování sektoru.</w:t>
            </w:r>
          </w:p>
        </w:tc>
        <w:tc>
          <w:tcPr>
            <w:tcW w:w="1453" w:type="pct"/>
            <w:tcBorders>
              <w:top w:val="single" w:sz="4" w:space="0" w:color="auto"/>
              <w:left w:val="single" w:sz="4" w:space="0" w:color="auto"/>
              <w:right w:val="single" w:sz="4" w:space="0" w:color="auto"/>
            </w:tcBorders>
            <w:shd w:val="clear" w:color="auto" w:fill="auto"/>
          </w:tcPr>
          <w:p w14:paraId="7CEEED14" w14:textId="2E84618A" w:rsidR="008F0164" w:rsidRPr="0035187E" w:rsidRDefault="008F0164" w:rsidP="0035187E">
            <w:pPr>
              <w:jc w:val="both"/>
              <w:rPr>
                <w:rFonts w:ascii="Times New Roman" w:hAnsi="Times New Roman" w:cs="Times New Roman"/>
                <w:sz w:val="20"/>
                <w:szCs w:val="20"/>
              </w:rPr>
            </w:pPr>
            <w:r w:rsidRPr="0035187E">
              <w:rPr>
                <w:rFonts w:ascii="Times New Roman" w:hAnsi="Times New Roman" w:cs="Times New Roman"/>
                <w:b/>
                <w:sz w:val="20"/>
                <w:szCs w:val="20"/>
              </w:rPr>
              <w:t>Bere se na vědomí. Vysvětleno.</w:t>
            </w:r>
          </w:p>
          <w:p w14:paraId="792FA12D" w14:textId="750A043C" w:rsidR="000B4BD4" w:rsidRPr="0035187E" w:rsidRDefault="008F016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Předkladatel děkuje za podporu a nabídku spolupráce. I s ohledem na zkušenosti z předchozího fungování EET není důvod k obavám. Zároveň se počítá s dostatečným prostorem na </w:t>
            </w:r>
            <w:proofErr w:type="gramStart"/>
            <w:r w:rsidRPr="0035187E">
              <w:rPr>
                <w:rFonts w:ascii="Times New Roman" w:hAnsi="Times New Roman" w:cs="Times New Roman"/>
                <w:sz w:val="20"/>
                <w:szCs w:val="20"/>
              </w:rPr>
              <w:t>přípravu</w:t>
            </w:r>
            <w:proofErr w:type="gramEnd"/>
            <w:r w:rsidRPr="0035187E">
              <w:rPr>
                <w:rFonts w:ascii="Times New Roman" w:hAnsi="Times New Roman" w:cs="Times New Roman"/>
                <w:sz w:val="20"/>
                <w:szCs w:val="20"/>
              </w:rPr>
              <w:t xml:space="preserve"> a i testovacím a pilotním provozem. V rámci náběhu povinnosti evidence tržeb se správce daně bude soustředit na metodickou podporu implementace EET 2.0 pro dotčené subjekty.</w:t>
            </w:r>
          </w:p>
        </w:tc>
      </w:tr>
      <w:tr w:rsidR="0035187E" w:rsidRPr="0035187E" w14:paraId="22280995"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484B7AA5" w14:textId="7039270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123.</w:t>
            </w:r>
          </w:p>
        </w:tc>
        <w:tc>
          <w:tcPr>
            <w:tcW w:w="583" w:type="pct"/>
            <w:tcBorders>
              <w:top w:val="single" w:sz="4" w:space="0" w:color="auto"/>
              <w:left w:val="single" w:sz="4" w:space="0" w:color="auto"/>
              <w:right w:val="single" w:sz="4" w:space="0" w:color="auto"/>
            </w:tcBorders>
            <w:shd w:val="clear" w:color="auto" w:fill="auto"/>
          </w:tcPr>
          <w:p w14:paraId="12ACDF0A" w14:textId="4344931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České sdružení pro moderní benefity, </w:t>
            </w:r>
            <w:proofErr w:type="spellStart"/>
            <w:r w:rsidRPr="0035187E">
              <w:rPr>
                <w:rFonts w:ascii="Times New Roman" w:hAnsi="Times New Roman" w:cs="Times New Roman"/>
                <w:sz w:val="20"/>
                <w:szCs w:val="20"/>
              </w:rPr>
              <w:t>z.s</w:t>
            </w:r>
            <w:proofErr w:type="spellEnd"/>
            <w:r w:rsidRPr="0035187E">
              <w:rPr>
                <w:rFonts w:ascii="Times New Roman" w:hAnsi="Times New Roman" w:cs="Times New Roman"/>
                <w:sz w:val="20"/>
                <w:szCs w:val="20"/>
              </w:rPr>
              <w:t>.</w:t>
            </w:r>
          </w:p>
        </w:tc>
        <w:tc>
          <w:tcPr>
            <w:tcW w:w="168" w:type="pct"/>
            <w:tcBorders>
              <w:top w:val="single" w:sz="4" w:space="0" w:color="auto"/>
              <w:left w:val="single" w:sz="4" w:space="0" w:color="auto"/>
              <w:right w:val="single" w:sz="4" w:space="0" w:color="auto"/>
            </w:tcBorders>
            <w:shd w:val="clear" w:color="auto" w:fill="auto"/>
          </w:tcPr>
          <w:p w14:paraId="0CF546F9" w14:textId="1CEF4A5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38B064BF" w14:textId="2304083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33307225" w14:textId="7F255468"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Vážená paní místopředsedkyně vlády,</w:t>
            </w:r>
          </w:p>
          <w:p w14:paraId="562408D4" w14:textId="77777777" w:rsidR="000B4BD4" w:rsidRPr="0035187E" w:rsidRDefault="000B4BD4" w:rsidP="0035187E">
            <w:pPr>
              <w:pStyle w:val="Zkladntext21"/>
              <w:framePr w:wrap="auto"/>
              <w:tabs>
                <w:tab w:val="left" w:pos="0"/>
              </w:tabs>
              <w:rPr>
                <w:rFonts w:ascii="Times New Roman" w:hAnsi="Times New Roman"/>
                <w:b w:val="0"/>
                <w:sz w:val="20"/>
              </w:rPr>
            </w:pPr>
          </w:p>
          <w:p w14:paraId="6497CB02" w14:textId="27DA8C73"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velice si vážíme možnosti podílet se na připomínkovém řízení k materiálu „Návrh zákona o evidenci tržeb a o změně některých dalších zákonů,“ který považujeme za velmi důležitý pro dosažení větší transparentnosti, férovosti a celkové modernizace podnikatelského prostředí. Již zavedení prvního EET jsme považovali za krok správným směrem a rozvoj informačních technologií a digitalizace nyní umožní v nové verzi jeho ještě lepší fungování.</w:t>
            </w:r>
          </w:p>
          <w:p w14:paraId="064AD4FF" w14:textId="77777777" w:rsidR="000B4BD4" w:rsidRPr="0035187E" w:rsidRDefault="000B4BD4" w:rsidP="0035187E">
            <w:pPr>
              <w:pStyle w:val="Zkladntext21"/>
              <w:framePr w:wrap="auto"/>
              <w:tabs>
                <w:tab w:val="left" w:pos="0"/>
              </w:tabs>
              <w:rPr>
                <w:rFonts w:ascii="Times New Roman" w:hAnsi="Times New Roman"/>
                <w:b w:val="0"/>
                <w:sz w:val="20"/>
              </w:rPr>
            </w:pPr>
          </w:p>
          <w:p w14:paraId="2E53F633" w14:textId="7FD9FD78"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České sdružení pro moderní benefity (MOBEN) sdružuje přední firmy poskytující řešení v oblasti zaměstnaneckých benefitů. Našimi klienty jsou všechny typy podniků od velkých korporací až po nejmenší firmy o několika zaměstnancích. Našimi partnery je potom obdobně široká síť obchodů a restaurací. Z těchto důvodů máme velké množství poznatků z každodenní praxe o fungování zaměstnaneckých benefitů a oblastech, které naše klienty a partnery trápí při jejich používání.</w:t>
            </w:r>
          </w:p>
          <w:p w14:paraId="68DDE5B1" w14:textId="77777777" w:rsidR="000B4BD4" w:rsidRPr="0035187E" w:rsidRDefault="000B4BD4" w:rsidP="0035187E">
            <w:pPr>
              <w:pStyle w:val="Zkladntext21"/>
              <w:framePr w:wrap="auto"/>
              <w:tabs>
                <w:tab w:val="left" w:pos="0"/>
              </w:tabs>
              <w:rPr>
                <w:rFonts w:ascii="Times New Roman" w:hAnsi="Times New Roman"/>
                <w:b w:val="0"/>
                <w:sz w:val="20"/>
              </w:rPr>
            </w:pPr>
          </w:p>
          <w:p w14:paraId="6618E0A3" w14:textId="23C1B64E"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Proto si v příloze tohoto dopisu dovolujeme zaslat tři připomínky, jejichž zapracování by systému zaměstnaneckých benefitů významně pomohlo. Naši klienti si dlouhodobě stěžují, že největší administrativní náročnost pro ně představuje samotná existence limitů u benefitů. Proto navrhujeme odstranění nově zaváděného limitu u rekreací a dovolených a také odstranění stropu u zdravotních benefitů. U nich pak firmy velmi často volají po jejich daňové uznatelnosti, kterou tímto také navrhujeme. V neposlední řadě si dovolujeme navrhnout navýšení maximální hodnoty stravného u nepeněžních příspěvků, jelikož jeho současná výše dlouhodobě nepokrývá hodnotu ceny obědů, což se projevuje na propadu počtu strávníků.</w:t>
            </w:r>
          </w:p>
          <w:p w14:paraId="597BA39A" w14:textId="77777777" w:rsidR="000B4BD4" w:rsidRPr="0035187E" w:rsidRDefault="000B4BD4" w:rsidP="0035187E">
            <w:pPr>
              <w:pStyle w:val="Zkladntext21"/>
              <w:framePr w:wrap="auto"/>
              <w:tabs>
                <w:tab w:val="left" w:pos="0"/>
              </w:tabs>
              <w:rPr>
                <w:rFonts w:ascii="Times New Roman" w:hAnsi="Times New Roman"/>
                <w:b w:val="0"/>
                <w:sz w:val="20"/>
              </w:rPr>
            </w:pPr>
          </w:p>
          <w:p w14:paraId="6215C641" w14:textId="636EAC72" w:rsidR="000B4BD4" w:rsidRPr="0035187E" w:rsidRDefault="000B4BD4" w:rsidP="0035187E">
            <w:pPr>
              <w:pStyle w:val="Zkladntext21"/>
              <w:framePr w:hSpace="0" w:wrap="auto" w:vAnchor="margin" w:hAnchor="text" w:yAlign="inline"/>
              <w:tabs>
                <w:tab w:val="left" w:pos="0"/>
              </w:tabs>
              <w:rPr>
                <w:rFonts w:ascii="Times New Roman" w:hAnsi="Times New Roman"/>
                <w:b w:val="0"/>
                <w:sz w:val="20"/>
              </w:rPr>
            </w:pPr>
            <w:r w:rsidRPr="0035187E">
              <w:rPr>
                <w:rFonts w:ascii="Times New Roman" w:hAnsi="Times New Roman"/>
                <w:b w:val="0"/>
                <w:sz w:val="20"/>
              </w:rPr>
              <w:t>Zároveň bychom rádi využili této příležitosti a nabídli Vám plnou součinnost, budete-li kdykoliv potřebovat z oblasti zaměstnaneckých benefitů jakákoliv data, trendy, či zkušenosti z praxe ať již přímo v České republice, nebo ze zahraniční inspirace. Věříme, že můžeme tímto pomoci k tvorbě kvalitní legislativy a systému, který bude moct být poté stabilnější. Z průzkumů mezi podnikateli totiž dlouhodobě vyplývá, že právě nepromyšleně upravovaná legislativa v oblasti zaměstnaneckých benefitů z posledních let je pro ně největší překážkou jejich účelného využívání. Velice si proto vážíme Vaší iniciativy k takovým změnám, které mohou systém skutečně dlouhodobě stabilizovat.</w:t>
            </w:r>
          </w:p>
        </w:tc>
        <w:tc>
          <w:tcPr>
            <w:tcW w:w="1453" w:type="pct"/>
            <w:tcBorders>
              <w:top w:val="single" w:sz="4" w:space="0" w:color="auto"/>
              <w:left w:val="single" w:sz="4" w:space="0" w:color="auto"/>
              <w:right w:val="single" w:sz="4" w:space="0" w:color="auto"/>
            </w:tcBorders>
            <w:shd w:val="clear" w:color="auto" w:fill="auto"/>
          </w:tcPr>
          <w:p w14:paraId="67AD7ECB" w14:textId="77777777" w:rsidR="00D167F0" w:rsidRPr="0035187E" w:rsidRDefault="00D167F0" w:rsidP="0035187E">
            <w:pPr>
              <w:jc w:val="both"/>
              <w:rPr>
                <w:rFonts w:ascii="Times New Roman" w:hAnsi="Times New Roman" w:cs="Times New Roman"/>
                <w:sz w:val="20"/>
                <w:szCs w:val="20"/>
              </w:rPr>
            </w:pPr>
            <w:r w:rsidRPr="0035187E">
              <w:rPr>
                <w:rFonts w:ascii="Times New Roman" w:hAnsi="Times New Roman" w:cs="Times New Roman"/>
                <w:b/>
                <w:sz w:val="20"/>
                <w:szCs w:val="20"/>
              </w:rPr>
              <w:lastRenderedPageBreak/>
              <w:t>Nevyhověno.</w:t>
            </w:r>
            <w:r w:rsidRPr="0035187E">
              <w:rPr>
                <w:rFonts w:ascii="Times New Roman" w:hAnsi="Times New Roman" w:cs="Times New Roman"/>
                <w:sz w:val="20"/>
                <w:szCs w:val="20"/>
              </w:rPr>
              <w:t xml:space="preserve">  </w:t>
            </w:r>
          </w:p>
          <w:p w14:paraId="05E630D4" w14:textId="77777777" w:rsidR="00D167F0" w:rsidRPr="0035187E" w:rsidRDefault="00D167F0"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Zachování limitu pro zdravotní benefity je považováno za opodstatněné. Zatímco volnočasové benefity mají převážně společenský či relaxační charakter a jejich hodnotové limity neovlivňují prevenci ani udržení pracovní schopnosti, zdravotní benefity přímo podporují zdraví zaměstnanců, prevenci nemocí a přispívají k dlouhodobé pracovní výkonnosti. </w:t>
            </w:r>
          </w:p>
          <w:p w14:paraId="6AEBEAE3" w14:textId="77777777" w:rsidR="00D167F0" w:rsidRPr="0035187E" w:rsidRDefault="00D167F0" w:rsidP="0035187E">
            <w:pPr>
              <w:jc w:val="both"/>
              <w:rPr>
                <w:rFonts w:ascii="Times New Roman" w:hAnsi="Times New Roman" w:cs="Times New Roman"/>
                <w:sz w:val="20"/>
                <w:szCs w:val="20"/>
              </w:rPr>
            </w:pPr>
            <w:r w:rsidRPr="0035187E">
              <w:rPr>
                <w:rFonts w:ascii="Times New Roman" w:hAnsi="Times New Roman" w:cs="Times New Roman"/>
                <w:sz w:val="20"/>
                <w:szCs w:val="20"/>
              </w:rPr>
              <w:t>Zrušení limitu u zdravotních benefitů by mohlo vést k jejich zneužívání pro daňovou optimalizaci, kdy výhody přesahující skutečné potřeby zdraví zaměstnanců by byly osvobozeny od daně, aniž by přinášely reálný zdravotní prospěch. Zachování limitu proto umožňuje cílené a efektivní využití zdravotních benefitů s pozitivním dopadem jak pro zaměstnance, tak pro veřejný zdravotní systém. Odlišné zacházení s volnočasovými a zdravotními benefity tedy odpovídá jejich odlišné společenské a ekonomické hodnotě.</w:t>
            </w:r>
          </w:p>
          <w:p w14:paraId="779EF74E" w14:textId="77777777" w:rsidR="00D167F0" w:rsidRPr="0035187E" w:rsidRDefault="00D167F0" w:rsidP="0035187E">
            <w:pPr>
              <w:jc w:val="both"/>
              <w:rPr>
                <w:rFonts w:ascii="Times New Roman" w:hAnsi="Times New Roman" w:cs="Times New Roman"/>
                <w:sz w:val="20"/>
                <w:szCs w:val="20"/>
              </w:rPr>
            </w:pPr>
            <w:r w:rsidRPr="0035187E">
              <w:rPr>
                <w:rFonts w:ascii="Times New Roman" w:hAnsi="Times New Roman" w:cs="Times New Roman"/>
                <w:sz w:val="20"/>
                <w:szCs w:val="20"/>
              </w:rPr>
              <w:t>Z pohledu zdravotní politiky a prevence nelze garantovat, že zvýšení limitu příspěvku na stravování povede k lepší stravovací kultuře nebo ke snížení civilizačních onemocnění. Podpora zdravého životního stylu vyžaduje komplexní a systematický přístup, za</w:t>
            </w:r>
            <w:r w:rsidRPr="0035187E">
              <w:rPr>
                <w:rFonts w:ascii="Times New Roman" w:hAnsi="Times New Roman" w:cs="Times New Roman"/>
                <w:sz w:val="20"/>
                <w:szCs w:val="20"/>
              </w:rPr>
              <w:lastRenderedPageBreak/>
              <w:t xml:space="preserve">hrnující vzdělávání, osvětu, regulaci nabídky potravin a celkovou strategii veřejného zdraví, nikoli pouze parametrické zvyšování daňového osvobození jedné formy zaměstnaneckého příspěvku. </w:t>
            </w:r>
          </w:p>
          <w:p w14:paraId="28825A75" w14:textId="77777777" w:rsidR="00D167F0" w:rsidRPr="0035187E" w:rsidRDefault="00D167F0"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Navrhované opatření je navíc nesystémové, protože zvýšení daňového osvobození by se vztahovalo pouze na nepeněžní formu příspěvku, zatímco peněžitý příspěvek zůstává omezen na nižší hranici. </w:t>
            </w:r>
          </w:p>
          <w:p w14:paraId="2BD4FC5E" w14:textId="77777777" w:rsidR="00D167F0" w:rsidRPr="0035187E" w:rsidRDefault="00D167F0"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Poskytnutí rekreace a zájezdu bude ponecháno mezi volnočasovými benefity podle § 6 odst. 9 písm. d) zákona o daních z příjmů. Návrh novely zákona o daních z příjmů počítá se zrušením stropu volnočasových benefitů, čímž poplatníkům vznikají rozšířené možnosti využití daňových benefitů. Současně </w:t>
            </w:r>
            <w:proofErr w:type="spellStart"/>
            <w:r w:rsidRPr="0035187E">
              <w:rPr>
                <w:rFonts w:ascii="Times New Roman" w:hAnsi="Times New Roman" w:cs="Times New Roman"/>
                <w:sz w:val="20"/>
                <w:szCs w:val="20"/>
              </w:rPr>
              <w:t>zastropování</w:t>
            </w:r>
            <w:proofErr w:type="spellEnd"/>
            <w:r w:rsidRPr="0035187E">
              <w:rPr>
                <w:rFonts w:ascii="Times New Roman" w:hAnsi="Times New Roman" w:cs="Times New Roman"/>
                <w:sz w:val="20"/>
                <w:szCs w:val="20"/>
              </w:rPr>
              <w:t xml:space="preserve"> daňového osvobození nepeněžního plnění na rekreace a zájezdy omezuje dopady na veřejné rozpočty, brání nepřímému zvýhodňování ekonomicky zdatnějších zaměstnavatelů a zajišťuje, že daňové zvýhodnění plní svůj sociální účel podpory běžné rekreace a regenerace pracovní síly, nikoli financování nadstandardních forem dovolené.</w:t>
            </w:r>
          </w:p>
          <w:p w14:paraId="7863A7C4" w14:textId="24E26F07" w:rsidR="000B4BD4" w:rsidRPr="0035187E" w:rsidRDefault="00D167F0" w:rsidP="0035187E">
            <w:pPr>
              <w:jc w:val="both"/>
              <w:rPr>
                <w:rFonts w:ascii="Times New Roman" w:hAnsi="Times New Roman" w:cs="Times New Roman"/>
                <w:sz w:val="20"/>
                <w:szCs w:val="20"/>
              </w:rPr>
            </w:pPr>
            <w:r w:rsidRPr="0035187E">
              <w:rPr>
                <w:rFonts w:ascii="Times New Roman" w:hAnsi="Times New Roman" w:cs="Times New Roman"/>
                <w:sz w:val="20"/>
                <w:szCs w:val="20"/>
              </w:rPr>
              <w:t>Navrhovaná úprava vychází ze stávající legislativy účinné do konce roku 2023, podle níž byla hodnota nepeněžního plnění ve formě rekreace a zájezdu na straně zaměstnance osvobozena od daně až do výše 20 000 Kč za zdaňovací období. Nová úprava proto nepřináší administrativní zátěž ani nevyvolává interpretační nejasnosti.</w:t>
            </w:r>
          </w:p>
        </w:tc>
      </w:tr>
      <w:tr w:rsidR="0035187E" w:rsidRPr="0035187E" w14:paraId="223D32B2"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2203AB0" w14:textId="5EB25EC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123.</w:t>
            </w:r>
          </w:p>
        </w:tc>
        <w:tc>
          <w:tcPr>
            <w:tcW w:w="583" w:type="pct"/>
            <w:tcBorders>
              <w:top w:val="single" w:sz="4" w:space="0" w:color="auto"/>
              <w:left w:val="single" w:sz="4" w:space="0" w:color="auto"/>
              <w:right w:val="single" w:sz="4" w:space="0" w:color="auto"/>
            </w:tcBorders>
            <w:shd w:val="clear" w:color="auto" w:fill="auto"/>
          </w:tcPr>
          <w:p w14:paraId="19782F62" w14:textId="7BEAE8D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České sdružení pro moderní benefity, </w:t>
            </w:r>
            <w:proofErr w:type="spellStart"/>
            <w:r w:rsidRPr="0035187E">
              <w:rPr>
                <w:rFonts w:ascii="Times New Roman" w:hAnsi="Times New Roman" w:cs="Times New Roman"/>
                <w:sz w:val="20"/>
                <w:szCs w:val="20"/>
              </w:rPr>
              <w:t>z.s</w:t>
            </w:r>
            <w:proofErr w:type="spellEnd"/>
            <w:r w:rsidRPr="0035187E">
              <w:rPr>
                <w:rFonts w:ascii="Times New Roman" w:hAnsi="Times New Roman" w:cs="Times New Roman"/>
                <w:sz w:val="20"/>
                <w:szCs w:val="20"/>
              </w:rPr>
              <w:t>.</w:t>
            </w:r>
          </w:p>
        </w:tc>
        <w:tc>
          <w:tcPr>
            <w:tcW w:w="168" w:type="pct"/>
            <w:tcBorders>
              <w:top w:val="single" w:sz="4" w:space="0" w:color="auto"/>
              <w:left w:val="single" w:sz="4" w:space="0" w:color="auto"/>
              <w:right w:val="single" w:sz="4" w:space="0" w:color="auto"/>
            </w:tcBorders>
            <w:shd w:val="clear" w:color="auto" w:fill="auto"/>
          </w:tcPr>
          <w:p w14:paraId="32BE73FB" w14:textId="75B049F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w:t>
            </w:r>
          </w:p>
        </w:tc>
        <w:tc>
          <w:tcPr>
            <w:tcW w:w="169" w:type="pct"/>
            <w:tcBorders>
              <w:top w:val="single" w:sz="4" w:space="0" w:color="auto"/>
              <w:left w:val="single" w:sz="4" w:space="0" w:color="auto"/>
              <w:right w:val="single" w:sz="4" w:space="0" w:color="auto"/>
            </w:tcBorders>
            <w:shd w:val="clear" w:color="auto" w:fill="auto"/>
          </w:tcPr>
          <w:p w14:paraId="4F74328F" w14:textId="07124B7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2B16CDB" w14:textId="07871502" w:rsidR="000B4BD4" w:rsidRPr="0035187E" w:rsidRDefault="000B4BD4" w:rsidP="0035187E">
            <w:pPr>
              <w:pStyle w:val="Zkladntext21"/>
              <w:framePr w:wrap="auto"/>
              <w:numPr>
                <w:ilvl w:val="0"/>
                <w:numId w:val="36"/>
              </w:numPr>
              <w:tabs>
                <w:tab w:val="clear" w:pos="780"/>
                <w:tab w:val="left" w:pos="0"/>
              </w:tabs>
              <w:ind w:left="0" w:firstLine="0"/>
              <w:rPr>
                <w:rFonts w:ascii="Times New Roman" w:hAnsi="Times New Roman"/>
                <w:bCs/>
                <w:sz w:val="20"/>
              </w:rPr>
            </w:pPr>
            <w:r w:rsidRPr="0035187E">
              <w:rPr>
                <w:rFonts w:ascii="Times New Roman" w:hAnsi="Times New Roman"/>
                <w:bCs/>
                <w:sz w:val="20"/>
              </w:rPr>
              <w:t>K části druhé – změna zákona o daních z příjmů – bodům 4 a 5 – navrhujeme, aby došlo pouze k odstranění současných limitů na poskytování těchto zaměstnaneckých výhod, a aby nebyly zaváděny nové limity nebo rozdíly mezi zdravotními a ostatními benefity</w:t>
            </w:r>
          </w:p>
          <w:p w14:paraId="45527609" w14:textId="77777777" w:rsidR="000B4BD4" w:rsidRPr="0035187E" w:rsidRDefault="000B4BD4" w:rsidP="0035187E">
            <w:pPr>
              <w:pStyle w:val="Zkladntext21"/>
              <w:framePr w:wrap="auto"/>
              <w:tabs>
                <w:tab w:val="left" w:pos="0"/>
              </w:tabs>
              <w:ind w:left="425"/>
              <w:rPr>
                <w:rFonts w:ascii="Times New Roman" w:hAnsi="Times New Roman"/>
                <w:b w:val="0"/>
                <w:sz w:val="20"/>
              </w:rPr>
            </w:pPr>
          </w:p>
          <w:p w14:paraId="465FD500" w14:textId="66FDF86D"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Za hlavní omezení současné právní úpravy považujeme zavedení limitů na osvobození zaměstnaneckých benefitů uvedených v § 6 odst. 9 písm. d) zákona o daních z příjmů předchozí vládou od roku 2024. Pokud jde o věcný rozsah zaměstnaneckých benefitů, které jsou podle tohoto ustanovení osvobozeny, tento v praxi nezpůsobuje komplikace, a proto se nedomníváme, že zavádění dalších variant limitů je vhodné. Naopak, může vést k dodatečným administrativním nákladům a nejistotě na straně zaměstnavatelů.</w:t>
            </w:r>
          </w:p>
          <w:p w14:paraId="01E81C73" w14:textId="6285481C"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Z těchto důvodů se zasazujeme o to, aby změnou zákona došlo pouze k odstranění limitů na tyto benefity bez zavádění dalších omezení a podmínek jejich poskytování. Takový postup by byl i plně v souladu s Programovým prohlášením vlády ČR.</w:t>
            </w:r>
          </w:p>
          <w:p w14:paraId="7BCC60EF" w14:textId="2CBCA3D8"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lastRenderedPageBreak/>
              <w:t>Zavádění různých (</w:t>
            </w:r>
            <w:proofErr w:type="spellStart"/>
            <w:r w:rsidRPr="0035187E">
              <w:rPr>
                <w:rFonts w:ascii="Times New Roman" w:hAnsi="Times New Roman"/>
                <w:b w:val="0"/>
                <w:sz w:val="20"/>
              </w:rPr>
              <w:t>staro</w:t>
            </w:r>
            <w:proofErr w:type="spellEnd"/>
            <w:r w:rsidRPr="0035187E">
              <w:rPr>
                <w:rFonts w:ascii="Times New Roman" w:hAnsi="Times New Roman"/>
                <w:b w:val="0"/>
                <w:sz w:val="20"/>
              </w:rPr>
              <w:t>)nových limitů, jako je například navrhovaný limit 20.000 Kč na dovolenou, je kontraproduktivní a v praxi povede pouze k tomu, že se z příspěvku na dovolenou vyjmou jakákoli dílčí využití rekreačních zařízení a plnění sportovního nebo kulturního charakteru, která budou bez limitu, a příspěvek na dovolenou bude poskytován pouze na to, co nebude možné podřadit pod jiná osvobozená plnění.</w:t>
            </w:r>
          </w:p>
          <w:p w14:paraId="37C471A4" w14:textId="2827425A"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V návrhu, ke kterému jsme byli vyzváni k připomínkování, se navrhuje zrušit limit pouze u části zaměstnaneckých benefitů podle ustanovení §6 odst. 9 písm. d) zákon o daních z příjmů. Tím by došlo k znevýhodnění zdravotních benefitů oproti ostatním benefitům. Domníváme se, že zdravotní benefity by měly mít dnešní hodnotový limit zrušen také.</w:t>
            </w:r>
          </w:p>
        </w:tc>
        <w:tc>
          <w:tcPr>
            <w:tcW w:w="1453" w:type="pct"/>
            <w:tcBorders>
              <w:top w:val="single" w:sz="4" w:space="0" w:color="auto"/>
              <w:left w:val="single" w:sz="4" w:space="0" w:color="auto"/>
              <w:right w:val="single" w:sz="4" w:space="0" w:color="auto"/>
            </w:tcBorders>
            <w:shd w:val="clear" w:color="auto" w:fill="auto"/>
          </w:tcPr>
          <w:p w14:paraId="65EB9364" w14:textId="77777777" w:rsidR="00D167F0" w:rsidRPr="0035187E" w:rsidRDefault="00D167F0" w:rsidP="0035187E">
            <w:pPr>
              <w:jc w:val="both"/>
              <w:rPr>
                <w:rFonts w:ascii="Times New Roman" w:hAnsi="Times New Roman" w:cs="Times New Roman"/>
                <w:sz w:val="20"/>
                <w:szCs w:val="20"/>
              </w:rPr>
            </w:pPr>
            <w:r w:rsidRPr="0035187E">
              <w:rPr>
                <w:rFonts w:ascii="Times New Roman" w:hAnsi="Times New Roman" w:cs="Times New Roman"/>
                <w:b/>
                <w:sz w:val="20"/>
                <w:szCs w:val="20"/>
              </w:rPr>
              <w:lastRenderedPageBreak/>
              <w:t>Nevyhověno.</w:t>
            </w:r>
            <w:r w:rsidRPr="0035187E">
              <w:rPr>
                <w:rFonts w:ascii="Times New Roman" w:hAnsi="Times New Roman" w:cs="Times New Roman"/>
                <w:sz w:val="20"/>
                <w:szCs w:val="20"/>
              </w:rPr>
              <w:t xml:space="preserve"> </w:t>
            </w:r>
          </w:p>
          <w:p w14:paraId="19824483" w14:textId="77777777" w:rsidR="00D167F0" w:rsidRPr="0035187E" w:rsidRDefault="00D167F0"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Poskytnutí rekreace a zájezdu bude ponecháno mezi volnočasovými benefity podle § 6 odst. 9 písm. d) zákona o daních z příjmů. Návrh novely zákona o daních z příjmů počítá se zrušením stropu volnočasových benefitů, čímž poplatníkům vznikají rozšířené možnosti využití daňových benefitů. Současně </w:t>
            </w:r>
            <w:proofErr w:type="spellStart"/>
            <w:r w:rsidRPr="0035187E">
              <w:rPr>
                <w:rFonts w:ascii="Times New Roman" w:hAnsi="Times New Roman" w:cs="Times New Roman"/>
                <w:sz w:val="20"/>
                <w:szCs w:val="20"/>
              </w:rPr>
              <w:t>zastropování</w:t>
            </w:r>
            <w:proofErr w:type="spellEnd"/>
            <w:r w:rsidRPr="0035187E">
              <w:rPr>
                <w:rFonts w:ascii="Times New Roman" w:hAnsi="Times New Roman" w:cs="Times New Roman"/>
                <w:sz w:val="20"/>
                <w:szCs w:val="20"/>
              </w:rPr>
              <w:t xml:space="preserve"> daňového osvobození nepeněžního plnění na rekreace a zájezdy omezuje dopady na veřejné rozpočty, brání nepřímému zvýhodňování ekonomicky zdatnějších zaměstnavatelů a zajišťuje, že daňové zvýhodnění plní svůj sociální účel podpory běžné rekreace a regenerace pracovní síly, nikoli financování nadstandardních forem dovolené. </w:t>
            </w:r>
          </w:p>
          <w:p w14:paraId="358B1F9F" w14:textId="77777777" w:rsidR="00D167F0" w:rsidRPr="0035187E" w:rsidRDefault="00D167F0" w:rsidP="0035187E">
            <w:pPr>
              <w:jc w:val="both"/>
              <w:rPr>
                <w:rFonts w:ascii="Times New Roman" w:hAnsi="Times New Roman" w:cs="Times New Roman"/>
                <w:sz w:val="20"/>
                <w:szCs w:val="20"/>
              </w:rPr>
            </w:pPr>
            <w:r w:rsidRPr="0035187E">
              <w:rPr>
                <w:rFonts w:ascii="Times New Roman" w:hAnsi="Times New Roman" w:cs="Times New Roman"/>
                <w:sz w:val="20"/>
                <w:szCs w:val="20"/>
              </w:rPr>
              <w:lastRenderedPageBreak/>
              <w:t>Navrhovaná úprava vychází ze stávající legislativy účinné do konce roku 2023, podle níž byla hodnota nepeněžního plnění ve formě rekreace a zájezdu na straně zaměstnance osvobozena od daně až do výše 20 000 Kč za zdaňovací období. Nová úprava proto nepřináší administrativní zátěž ani nevyvolává interpretační nejasnosti.</w:t>
            </w:r>
          </w:p>
          <w:p w14:paraId="3548DBEC" w14:textId="77777777" w:rsidR="00D167F0" w:rsidRPr="0035187E" w:rsidRDefault="00D167F0"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Zachování limitu pro zdravotní benefity je věcně opodstatněné. Zatímco volnočasové benefity mají převážně společenský či relaxační charakter a jejich hodnotové limity nemají přímý vliv na prevenci nemocí ani udržení pracovní schopnosti, zdravotní benefity přímo podporují zdraví zaměstnanců, prevenci nemocí a dlouhodobou pracovní výkonnost. </w:t>
            </w:r>
          </w:p>
          <w:p w14:paraId="4729B950" w14:textId="77777777" w:rsidR="00D167F0" w:rsidRPr="0035187E" w:rsidRDefault="00D167F0" w:rsidP="0035187E">
            <w:pPr>
              <w:jc w:val="both"/>
              <w:rPr>
                <w:rFonts w:ascii="Times New Roman" w:hAnsi="Times New Roman" w:cs="Times New Roman"/>
                <w:sz w:val="20"/>
                <w:szCs w:val="20"/>
              </w:rPr>
            </w:pPr>
            <w:r w:rsidRPr="0035187E">
              <w:rPr>
                <w:rFonts w:ascii="Times New Roman" w:hAnsi="Times New Roman" w:cs="Times New Roman"/>
                <w:sz w:val="20"/>
                <w:szCs w:val="20"/>
              </w:rPr>
              <w:t>Zrušení limitu by mohlo vést k zneužívání těchto benefitů pro daňovou optimalizaci, kdy výhody přesahující skutečné zdravotní potřeby zaměstnanců by byly osvobozeny od daně, aniž by přinášely reálný prospěch pro zdraví. Zachování limitu umožňuje cílené a efektivní využití zdravotních benefitů s pozitivním dopadem jak pro zaměstnance, tak pro veřejný zdravotní systém.</w:t>
            </w:r>
          </w:p>
          <w:p w14:paraId="06486451" w14:textId="26B6FDF7" w:rsidR="000B4BD4" w:rsidRPr="0035187E" w:rsidRDefault="00D167F0" w:rsidP="0035187E">
            <w:pPr>
              <w:jc w:val="both"/>
              <w:rPr>
                <w:rFonts w:ascii="Times New Roman" w:hAnsi="Times New Roman" w:cs="Times New Roman"/>
                <w:sz w:val="20"/>
                <w:szCs w:val="20"/>
              </w:rPr>
            </w:pPr>
            <w:r w:rsidRPr="0035187E">
              <w:rPr>
                <w:rFonts w:ascii="Times New Roman" w:hAnsi="Times New Roman" w:cs="Times New Roman"/>
                <w:sz w:val="20"/>
                <w:szCs w:val="20"/>
              </w:rPr>
              <w:t>Odlišné zacházení s volnočasovými a zdravotními benefity proto odpovídá jejich odlišné společenské a ekonomické hodnotě, účelu, který sledují, a rizikům spojeným s možným zneužitím daňového osvobození.</w:t>
            </w:r>
          </w:p>
        </w:tc>
      </w:tr>
      <w:tr w:rsidR="0035187E" w:rsidRPr="0035187E" w14:paraId="75876BBB"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A103B5B" w14:textId="7DF32CD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123.</w:t>
            </w:r>
          </w:p>
        </w:tc>
        <w:tc>
          <w:tcPr>
            <w:tcW w:w="583" w:type="pct"/>
            <w:tcBorders>
              <w:top w:val="single" w:sz="4" w:space="0" w:color="auto"/>
              <w:left w:val="single" w:sz="4" w:space="0" w:color="auto"/>
              <w:right w:val="single" w:sz="4" w:space="0" w:color="auto"/>
            </w:tcBorders>
            <w:shd w:val="clear" w:color="auto" w:fill="auto"/>
          </w:tcPr>
          <w:p w14:paraId="5BC202AD" w14:textId="750BF88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České sdružení pro moderní benefity, </w:t>
            </w:r>
            <w:proofErr w:type="spellStart"/>
            <w:r w:rsidRPr="0035187E">
              <w:rPr>
                <w:rFonts w:ascii="Times New Roman" w:hAnsi="Times New Roman" w:cs="Times New Roman"/>
                <w:sz w:val="20"/>
                <w:szCs w:val="20"/>
              </w:rPr>
              <w:t>z.s</w:t>
            </w:r>
            <w:proofErr w:type="spellEnd"/>
            <w:r w:rsidRPr="0035187E">
              <w:rPr>
                <w:rFonts w:ascii="Times New Roman" w:hAnsi="Times New Roman" w:cs="Times New Roman"/>
                <w:sz w:val="20"/>
                <w:szCs w:val="20"/>
              </w:rPr>
              <w:t>.</w:t>
            </w:r>
          </w:p>
        </w:tc>
        <w:tc>
          <w:tcPr>
            <w:tcW w:w="168" w:type="pct"/>
            <w:tcBorders>
              <w:top w:val="single" w:sz="4" w:space="0" w:color="auto"/>
              <w:left w:val="single" w:sz="4" w:space="0" w:color="auto"/>
              <w:right w:val="single" w:sz="4" w:space="0" w:color="auto"/>
            </w:tcBorders>
            <w:shd w:val="clear" w:color="auto" w:fill="auto"/>
          </w:tcPr>
          <w:p w14:paraId="3CED80FD" w14:textId="2E43350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3.</w:t>
            </w:r>
          </w:p>
        </w:tc>
        <w:tc>
          <w:tcPr>
            <w:tcW w:w="169" w:type="pct"/>
            <w:tcBorders>
              <w:top w:val="single" w:sz="4" w:space="0" w:color="auto"/>
              <w:left w:val="single" w:sz="4" w:space="0" w:color="auto"/>
              <w:right w:val="single" w:sz="4" w:space="0" w:color="auto"/>
            </w:tcBorders>
            <w:shd w:val="clear" w:color="auto" w:fill="auto"/>
          </w:tcPr>
          <w:p w14:paraId="7E7A3117" w14:textId="635723E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4481EF2" w14:textId="3AD47289" w:rsidR="000B4BD4" w:rsidRPr="0035187E" w:rsidRDefault="000B4BD4" w:rsidP="0035187E">
            <w:pPr>
              <w:pStyle w:val="Zkladntext21"/>
              <w:framePr w:wrap="auto"/>
              <w:numPr>
                <w:ilvl w:val="0"/>
                <w:numId w:val="36"/>
              </w:numPr>
              <w:tabs>
                <w:tab w:val="clear" w:pos="780"/>
                <w:tab w:val="left" w:pos="0"/>
              </w:tabs>
              <w:ind w:left="-39" w:firstLine="0"/>
              <w:rPr>
                <w:rFonts w:ascii="Times New Roman" w:hAnsi="Times New Roman"/>
                <w:bCs/>
                <w:sz w:val="20"/>
              </w:rPr>
            </w:pPr>
            <w:r w:rsidRPr="0035187E">
              <w:rPr>
                <w:rFonts w:ascii="Times New Roman" w:hAnsi="Times New Roman"/>
                <w:bCs/>
                <w:sz w:val="20"/>
              </w:rPr>
              <w:t>K části druhé – změna zákona o daních z příjmů – navrhujeme, aby zdravotní benefity byly podporovány ve vyšší míře než ostatní zaměstnanecké výhody, a to ve stejné míře, jako příspěvky na daňově podporované produkty spoření na stáří</w:t>
            </w:r>
          </w:p>
          <w:p w14:paraId="2769AA80" w14:textId="77777777" w:rsidR="000B4BD4" w:rsidRPr="0035187E" w:rsidRDefault="000B4BD4" w:rsidP="0035187E">
            <w:pPr>
              <w:pStyle w:val="Zkladntext21"/>
              <w:framePr w:wrap="auto"/>
              <w:tabs>
                <w:tab w:val="left" w:pos="0"/>
              </w:tabs>
              <w:rPr>
                <w:rFonts w:ascii="Times New Roman" w:hAnsi="Times New Roman"/>
                <w:bCs/>
                <w:sz w:val="20"/>
              </w:rPr>
            </w:pPr>
          </w:p>
          <w:p w14:paraId="25D0799C" w14:textId="77777777"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Zdravotní zaměstnanecké benefity jsou osvobozené podle ustanovení § 6 odst. 9 písm. d) bod 1. zákona o daních z příjmů do výše jedné průměrné mzdy zaměstnance. Nejsou ale pro zaměstnavatele daňově uznatelnými. Ve srovnání s příspěvky na daňově podporované produkty spoření na stáří jsou zdravotní benefity znevýhodněny. Přitom ale mají mnohem vyšší vliv jak na to, kdy zaměstnanec odejde do (předčasného) důchodu, jak často bude pracovně neschopen z důvodu nemoci a také na to, jaká bude kvalita jeho života v letech před i po odchodu do starobního důchodu.</w:t>
            </w:r>
          </w:p>
          <w:p w14:paraId="34A81747" w14:textId="77777777" w:rsidR="000B4BD4" w:rsidRPr="0035187E" w:rsidRDefault="000B4BD4" w:rsidP="0035187E">
            <w:pPr>
              <w:pStyle w:val="Zkladntext21"/>
              <w:framePr w:wrap="auto"/>
              <w:tabs>
                <w:tab w:val="left" w:pos="0"/>
              </w:tabs>
              <w:rPr>
                <w:rFonts w:ascii="Times New Roman" w:hAnsi="Times New Roman"/>
                <w:b w:val="0"/>
                <w:sz w:val="20"/>
              </w:rPr>
            </w:pPr>
          </w:p>
          <w:p w14:paraId="3F19A9A4" w14:textId="25B06C4A"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 xml:space="preserve">Zdravotnictví je jednou z prioritních oblastí vlády a podle svého programového prohlášení se vláda hodlá zaměřit na prevenci, včasnou diagnostiku a podporu zdravého životního stylu, předcházení nemocem a zlepšení kvality života lidí všech generací. Cílem vlády je </w:t>
            </w:r>
            <w:r w:rsidRPr="0035187E">
              <w:rPr>
                <w:rFonts w:ascii="Times New Roman" w:hAnsi="Times New Roman"/>
                <w:b w:val="0"/>
                <w:sz w:val="20"/>
              </w:rPr>
              <w:lastRenderedPageBreak/>
              <w:t>posílit důvěru ve zdravotnictví, zlepšit jeho organizaci a zajistit jeho dlouhodobou finanční stabilitu. Vyšší daňová podpora zdravotních benefitů přispěje ke splnění všech těchto cílů.</w:t>
            </w:r>
          </w:p>
          <w:p w14:paraId="6DC7CBD0" w14:textId="6C120480"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Navrhujeme proto, aby zdravotní benefity poskytované zaměstnavatelem podle § 6 odst. 9 písm. d) bod 1. zákona o daních z příjmů byly jednak neomezeně osvobozené (viz předchozí bod), a zároveň byly v omezené výši daňově uznatelné pro zaměstnavatele. Zaměstnavatelé budou o to více motivováni spolupodílet se se státem na podpoře zdraví zaměstnanců a jejich participace na systému veřejného zdravotního pojištění zvýší jeho dlouhodobou finanční stabilitu.</w:t>
            </w:r>
          </w:p>
          <w:p w14:paraId="30BA2EA0" w14:textId="0EA4AF81"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Limit pro daňovou uznatelnost zdravotních benefitů navrhujeme alternativně buď na úrovni 50.000 Kč na zaměstnance za rok (stejný limit jako je v zákoně o daních z příjmů pro příspěvky na daňově podporované produkty spoření na stáří) nebo ve výši jedné průměrné mzdy na zaměstnance a rok (aktuálně nižší limit, který ale bude automaticky ročně valorizován).</w:t>
            </w:r>
          </w:p>
        </w:tc>
        <w:tc>
          <w:tcPr>
            <w:tcW w:w="1453" w:type="pct"/>
            <w:tcBorders>
              <w:top w:val="single" w:sz="4" w:space="0" w:color="auto"/>
              <w:left w:val="single" w:sz="4" w:space="0" w:color="auto"/>
              <w:right w:val="single" w:sz="4" w:space="0" w:color="auto"/>
            </w:tcBorders>
            <w:shd w:val="clear" w:color="auto" w:fill="auto"/>
          </w:tcPr>
          <w:p w14:paraId="1216ACE2" w14:textId="77777777" w:rsidR="00D167F0" w:rsidRPr="0035187E" w:rsidRDefault="00D167F0" w:rsidP="0035187E">
            <w:pPr>
              <w:jc w:val="both"/>
              <w:rPr>
                <w:rFonts w:ascii="Times New Roman" w:hAnsi="Times New Roman" w:cs="Times New Roman"/>
                <w:sz w:val="20"/>
                <w:szCs w:val="20"/>
              </w:rPr>
            </w:pPr>
            <w:r w:rsidRPr="0035187E">
              <w:rPr>
                <w:rFonts w:ascii="Times New Roman" w:hAnsi="Times New Roman" w:cs="Times New Roman"/>
                <w:b/>
                <w:sz w:val="20"/>
                <w:szCs w:val="20"/>
              </w:rPr>
              <w:lastRenderedPageBreak/>
              <w:t>Nevyhověno.</w:t>
            </w:r>
          </w:p>
          <w:p w14:paraId="0AF30963" w14:textId="77777777" w:rsidR="00D167F0" w:rsidRPr="0035187E" w:rsidRDefault="00D167F0" w:rsidP="0035187E">
            <w:pPr>
              <w:jc w:val="both"/>
              <w:rPr>
                <w:rFonts w:ascii="Times New Roman" w:hAnsi="Times New Roman" w:cs="Times New Roman"/>
                <w:sz w:val="20"/>
                <w:szCs w:val="20"/>
              </w:rPr>
            </w:pPr>
            <w:r w:rsidRPr="0035187E">
              <w:rPr>
                <w:rFonts w:ascii="Times New Roman" w:hAnsi="Times New Roman" w:cs="Times New Roman"/>
                <w:sz w:val="20"/>
                <w:szCs w:val="20"/>
              </w:rPr>
              <w:t>Zachování limitu pro zdravotní benefity je opodstatněné. Tyto benefity totiž přímo podporují zdraví zaměstnanců, prevenci nemocí a přispívají k dlouhodobé pracovní výkonnosti.</w:t>
            </w:r>
          </w:p>
          <w:p w14:paraId="28BBBFAE" w14:textId="77777777" w:rsidR="00D167F0" w:rsidRPr="0035187E" w:rsidRDefault="00D167F0" w:rsidP="0035187E">
            <w:pPr>
              <w:jc w:val="both"/>
              <w:rPr>
                <w:rFonts w:ascii="Times New Roman" w:hAnsi="Times New Roman" w:cs="Times New Roman"/>
                <w:sz w:val="20"/>
                <w:szCs w:val="20"/>
              </w:rPr>
            </w:pPr>
            <w:r w:rsidRPr="0035187E">
              <w:rPr>
                <w:rFonts w:ascii="Times New Roman" w:hAnsi="Times New Roman" w:cs="Times New Roman"/>
                <w:sz w:val="20"/>
                <w:szCs w:val="20"/>
              </w:rPr>
              <w:t>Je přitom důležité zdůraznit, že zdravotní benefity nelze přímo srovnávat s daňově podporovanými příspěvky na spoření na stáří. Příspěvky na spoření mají charakter finančního zabezpečení v budoucnu a jejich daňová podpora motivuje k dlouhodobému zajištění zaměstnance v důchodu. Naopak zdravotní benefity mají okamžitý efekt na zdraví, pracovní schopnost a prevenci nemocí, což přímo ovlivňuje produktivitu, snižuje předčasné odchody do důchodu a přispívá k dlouhodobé udržitelnosti systému veřejného zdravotního pojištění.</w:t>
            </w:r>
          </w:p>
          <w:p w14:paraId="719B7FEC" w14:textId="45B55033" w:rsidR="000B4BD4" w:rsidRPr="0035187E" w:rsidRDefault="00D167F0" w:rsidP="0035187E">
            <w:pPr>
              <w:jc w:val="both"/>
              <w:rPr>
                <w:rFonts w:ascii="Times New Roman" w:hAnsi="Times New Roman" w:cs="Times New Roman"/>
                <w:sz w:val="20"/>
                <w:szCs w:val="20"/>
              </w:rPr>
            </w:pPr>
            <w:r w:rsidRPr="0035187E">
              <w:rPr>
                <w:rFonts w:ascii="Times New Roman" w:hAnsi="Times New Roman" w:cs="Times New Roman"/>
                <w:sz w:val="20"/>
                <w:szCs w:val="20"/>
              </w:rPr>
              <w:lastRenderedPageBreak/>
              <w:t>Zrušení nebo zvýšení limitu by mohlo vést k jejich zneužívání pro daňovou optimalizaci, kdy by výhody přesahující skutečné potřeby zdraví zaměstnanců byly osvobozeny od daně, aniž by měly reálný zdravotní přínos. Zachování limitu proto umožňuje cílené a efektivní využití zdravotních benefitů s pozitivním dopadem jak na zaměstnance, tak na veřejný zdravotní systém.</w:t>
            </w:r>
          </w:p>
        </w:tc>
      </w:tr>
      <w:tr w:rsidR="0035187E" w:rsidRPr="0035187E" w14:paraId="04E9EAC4"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73CCD75" w14:textId="6749B3A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123.</w:t>
            </w:r>
          </w:p>
        </w:tc>
        <w:tc>
          <w:tcPr>
            <w:tcW w:w="583" w:type="pct"/>
            <w:tcBorders>
              <w:top w:val="single" w:sz="4" w:space="0" w:color="auto"/>
              <w:left w:val="single" w:sz="4" w:space="0" w:color="auto"/>
              <w:right w:val="single" w:sz="4" w:space="0" w:color="auto"/>
            </w:tcBorders>
            <w:shd w:val="clear" w:color="auto" w:fill="auto"/>
          </w:tcPr>
          <w:p w14:paraId="22A2EA55" w14:textId="117DBD1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České sdružení pro moderní benefity, </w:t>
            </w:r>
            <w:proofErr w:type="spellStart"/>
            <w:r w:rsidRPr="0035187E">
              <w:rPr>
                <w:rFonts w:ascii="Times New Roman" w:hAnsi="Times New Roman" w:cs="Times New Roman"/>
                <w:sz w:val="20"/>
                <w:szCs w:val="20"/>
              </w:rPr>
              <w:t>z.s</w:t>
            </w:r>
            <w:proofErr w:type="spellEnd"/>
            <w:r w:rsidRPr="0035187E">
              <w:rPr>
                <w:rFonts w:ascii="Times New Roman" w:hAnsi="Times New Roman" w:cs="Times New Roman"/>
                <w:sz w:val="20"/>
                <w:szCs w:val="20"/>
              </w:rPr>
              <w:t>.</w:t>
            </w:r>
          </w:p>
        </w:tc>
        <w:tc>
          <w:tcPr>
            <w:tcW w:w="168" w:type="pct"/>
            <w:tcBorders>
              <w:top w:val="single" w:sz="4" w:space="0" w:color="auto"/>
              <w:left w:val="single" w:sz="4" w:space="0" w:color="auto"/>
              <w:right w:val="single" w:sz="4" w:space="0" w:color="auto"/>
            </w:tcBorders>
            <w:shd w:val="clear" w:color="auto" w:fill="auto"/>
          </w:tcPr>
          <w:p w14:paraId="5F0476C6" w14:textId="6698C65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w:t>
            </w:r>
          </w:p>
        </w:tc>
        <w:tc>
          <w:tcPr>
            <w:tcW w:w="169" w:type="pct"/>
            <w:tcBorders>
              <w:top w:val="single" w:sz="4" w:space="0" w:color="auto"/>
              <w:left w:val="single" w:sz="4" w:space="0" w:color="auto"/>
              <w:right w:val="single" w:sz="4" w:space="0" w:color="auto"/>
            </w:tcBorders>
            <w:shd w:val="clear" w:color="auto" w:fill="auto"/>
          </w:tcPr>
          <w:p w14:paraId="494D771A" w14:textId="0DFE5BD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62C2885" w14:textId="367E8587" w:rsidR="000B4BD4" w:rsidRPr="0035187E" w:rsidRDefault="000B4BD4" w:rsidP="0035187E">
            <w:pPr>
              <w:pStyle w:val="Zkladntext21"/>
              <w:framePr w:wrap="auto"/>
              <w:numPr>
                <w:ilvl w:val="0"/>
                <w:numId w:val="36"/>
              </w:numPr>
              <w:tabs>
                <w:tab w:val="clear" w:pos="780"/>
                <w:tab w:val="left" w:pos="0"/>
              </w:tabs>
              <w:ind w:left="-39" w:firstLine="0"/>
              <w:rPr>
                <w:rFonts w:ascii="Times New Roman" w:hAnsi="Times New Roman"/>
                <w:bCs/>
                <w:sz w:val="20"/>
              </w:rPr>
            </w:pPr>
            <w:r w:rsidRPr="0035187E">
              <w:rPr>
                <w:rFonts w:ascii="Times New Roman" w:hAnsi="Times New Roman"/>
                <w:bCs/>
                <w:sz w:val="20"/>
              </w:rPr>
              <w:t>K části druhé – změna zákona o daních z příjmů – navrhujeme zvýšit příspěvek na stravování zaměstnance v nepeněžité podobě na 100 % horní hranice stravného</w:t>
            </w:r>
          </w:p>
          <w:p w14:paraId="6226AC61" w14:textId="77777777" w:rsidR="000B4BD4" w:rsidRPr="0035187E" w:rsidRDefault="000B4BD4" w:rsidP="0035187E">
            <w:pPr>
              <w:pStyle w:val="Zkladntext21"/>
              <w:framePr w:wrap="auto"/>
              <w:tabs>
                <w:tab w:val="left" w:pos="0"/>
              </w:tabs>
              <w:rPr>
                <w:rFonts w:ascii="Times New Roman" w:hAnsi="Times New Roman"/>
                <w:b w:val="0"/>
                <w:sz w:val="20"/>
              </w:rPr>
            </w:pPr>
          </w:p>
          <w:p w14:paraId="32806AA9" w14:textId="65304DB5"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Navrhujeme navýšení příspěvku na stravování, který je účelově vázán na nákup jídla, na hranici 100 % horní hranice stravného. Toto navýšení by se týkalo pouze příspěvku na stravování podle §6 odst. 9 písm. b) bod 1. zákona o daních z příjmů, nikoli peněžitého příspěvku na stravování.</w:t>
            </w:r>
          </w:p>
          <w:p w14:paraId="028869C0" w14:textId="463717C7"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V posledních letech pozorujeme postupný úbytek strávníků v době oběda, jehož ceny zároveň vytrvale rostou. Hodnota příspěvku na stravování tak při své současné výši na pokrytí oběda nestačí, což pak negativně ovlivňuje celý stravovací ekosystém. Diverzifikace výše příspěvku by tak představovala pro zaměstnance motivaci k tomu se k obědům opět vrátit a zároveň nijak neomezovala jejich svobodu volby.</w:t>
            </w:r>
          </w:p>
          <w:p w14:paraId="3BDEECDF" w14:textId="44F05A40"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V souladu s cíli EET se i oblast stravovacích poukázek přesouvá k plně digitálním řešením, která již nyní má výrazná většina uživatelů. Tato řešení zároveň umožňují lepší kontrolu, práci s daty i zavedení motivačních prvků k tomu, aby byly cíle podpory zaměstnaneckého stravování skutečně naplňovány.</w:t>
            </w:r>
          </w:p>
        </w:tc>
        <w:tc>
          <w:tcPr>
            <w:tcW w:w="1453" w:type="pct"/>
            <w:tcBorders>
              <w:top w:val="single" w:sz="4" w:space="0" w:color="auto"/>
              <w:left w:val="single" w:sz="4" w:space="0" w:color="auto"/>
              <w:right w:val="single" w:sz="4" w:space="0" w:color="auto"/>
            </w:tcBorders>
            <w:shd w:val="clear" w:color="auto" w:fill="auto"/>
          </w:tcPr>
          <w:p w14:paraId="7E7A815C" w14:textId="77777777" w:rsidR="00D167F0" w:rsidRPr="0035187E" w:rsidRDefault="00D167F0"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Nevyhověno.</w:t>
            </w:r>
          </w:p>
          <w:p w14:paraId="6BFCBBA0" w14:textId="59CC1522" w:rsidR="00D167F0" w:rsidRPr="0035187E" w:rsidRDefault="00D167F0" w:rsidP="0035187E">
            <w:pPr>
              <w:jc w:val="both"/>
              <w:rPr>
                <w:rFonts w:ascii="Times New Roman" w:hAnsi="Times New Roman" w:cs="Times New Roman"/>
                <w:sz w:val="20"/>
                <w:szCs w:val="20"/>
              </w:rPr>
            </w:pPr>
            <w:r w:rsidRPr="0035187E">
              <w:rPr>
                <w:rFonts w:ascii="Times New Roman" w:hAnsi="Times New Roman" w:cs="Times New Roman"/>
                <w:sz w:val="20"/>
                <w:szCs w:val="20"/>
              </w:rPr>
              <w:t>Podnět přesahuje rámec navrhované úpravy zákona o evidenci tržeb.</w:t>
            </w:r>
          </w:p>
          <w:p w14:paraId="59B6DFA9" w14:textId="77777777" w:rsidR="00D167F0" w:rsidRPr="0035187E" w:rsidRDefault="00D167F0" w:rsidP="0035187E">
            <w:pPr>
              <w:jc w:val="both"/>
              <w:rPr>
                <w:rFonts w:ascii="Times New Roman" w:hAnsi="Times New Roman" w:cs="Times New Roman"/>
                <w:sz w:val="20"/>
                <w:szCs w:val="20"/>
              </w:rPr>
            </w:pPr>
            <w:r w:rsidRPr="0035187E">
              <w:rPr>
                <w:rFonts w:ascii="Times New Roman" w:hAnsi="Times New Roman" w:cs="Times New Roman"/>
                <w:sz w:val="20"/>
                <w:szCs w:val="20"/>
              </w:rPr>
              <w:t>Nelze garantovat, že zvýšení limitu příspěvku na stravování skutečně povede k lepší stravovací kultuře. Navrhované opatření je navíc nesystémové, protože zvýšení daňového osvobození se vztahuje pouze na nepeněžní formu příspěvku (např. stravenka), zatímco peněžitý příspěvek zůstává omezen na nižší hranici.</w:t>
            </w:r>
            <w:r w:rsidRPr="0035187E">
              <w:t xml:space="preserve"> </w:t>
            </w:r>
            <w:r w:rsidRPr="0035187E">
              <w:rPr>
                <w:rFonts w:ascii="Times New Roman" w:hAnsi="Times New Roman" w:cs="Times New Roman"/>
                <w:sz w:val="20"/>
                <w:szCs w:val="20"/>
              </w:rPr>
              <w:t>Zaměstnanec, který by platil oběd v restauračním zařízení v hotovosti, by byl znevýhodněn oproti zaměstnanci, který by stejný oběd odebíral za stravenku.</w:t>
            </w:r>
          </w:p>
          <w:p w14:paraId="72320B57" w14:textId="30105ADC" w:rsidR="000B4BD4" w:rsidRPr="0035187E" w:rsidRDefault="000B4BD4" w:rsidP="0035187E">
            <w:pPr>
              <w:jc w:val="both"/>
              <w:rPr>
                <w:rFonts w:ascii="Times New Roman" w:hAnsi="Times New Roman" w:cs="Times New Roman"/>
                <w:sz w:val="20"/>
                <w:szCs w:val="20"/>
              </w:rPr>
            </w:pPr>
          </w:p>
        </w:tc>
      </w:tr>
      <w:tr w:rsidR="0035187E" w:rsidRPr="0035187E" w14:paraId="129A56D6"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40A6D09" w14:textId="0F8E90A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129.</w:t>
            </w:r>
          </w:p>
        </w:tc>
        <w:tc>
          <w:tcPr>
            <w:tcW w:w="583" w:type="pct"/>
            <w:tcBorders>
              <w:top w:val="single" w:sz="4" w:space="0" w:color="auto"/>
              <w:left w:val="single" w:sz="4" w:space="0" w:color="auto"/>
              <w:right w:val="single" w:sz="4" w:space="0" w:color="auto"/>
            </w:tcBorders>
            <w:shd w:val="clear" w:color="auto" w:fill="auto"/>
          </w:tcPr>
          <w:p w14:paraId="1F059B55" w14:textId="1B4C0D4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FESTAS, festivalová asociace </w:t>
            </w:r>
            <w:proofErr w:type="spellStart"/>
            <w:r w:rsidRPr="0035187E">
              <w:rPr>
                <w:rFonts w:ascii="Times New Roman" w:hAnsi="Times New Roman" w:cs="Times New Roman"/>
                <w:sz w:val="20"/>
                <w:szCs w:val="20"/>
              </w:rPr>
              <w:t>z.s</w:t>
            </w:r>
            <w:proofErr w:type="spellEnd"/>
            <w:r w:rsidRPr="0035187E">
              <w:rPr>
                <w:rFonts w:ascii="Times New Roman" w:hAnsi="Times New Roman" w:cs="Times New Roman"/>
                <w:sz w:val="20"/>
                <w:szCs w:val="20"/>
              </w:rPr>
              <w:t>.</w:t>
            </w:r>
          </w:p>
        </w:tc>
        <w:tc>
          <w:tcPr>
            <w:tcW w:w="168" w:type="pct"/>
            <w:tcBorders>
              <w:top w:val="single" w:sz="4" w:space="0" w:color="auto"/>
              <w:left w:val="single" w:sz="4" w:space="0" w:color="auto"/>
              <w:right w:val="single" w:sz="4" w:space="0" w:color="auto"/>
            </w:tcBorders>
            <w:shd w:val="clear" w:color="auto" w:fill="auto"/>
          </w:tcPr>
          <w:p w14:paraId="3524D409" w14:textId="0BA2863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60E73409" w14:textId="750364D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4A4D3C8" w14:textId="1C5F3181"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 xml:space="preserve">OBECNÉ PŘIPOMÍNKY </w:t>
            </w:r>
          </w:p>
          <w:p w14:paraId="34B4E9B6" w14:textId="16F448D3"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FESTAS – festivalová asociace </w:t>
            </w:r>
            <w:proofErr w:type="spellStart"/>
            <w:r w:rsidRPr="0035187E">
              <w:rPr>
                <w:rFonts w:ascii="Times New Roman" w:hAnsi="Times New Roman" w:cs="Times New Roman"/>
                <w:sz w:val="20"/>
                <w:szCs w:val="20"/>
              </w:rPr>
              <w:t>z.s</w:t>
            </w:r>
            <w:proofErr w:type="spellEnd"/>
            <w:r w:rsidRPr="0035187E">
              <w:rPr>
                <w:rFonts w:ascii="Times New Roman" w:hAnsi="Times New Roman" w:cs="Times New Roman"/>
                <w:sz w:val="20"/>
                <w:szCs w:val="20"/>
              </w:rPr>
              <w:t xml:space="preserve">. je profesní organizací zastřešující 30 nejvýznamnějších hromadných venkovních akcí (festivalů), konaných jednorázově a každoročně. Součástí hudebních festivalů jsou rovněž maloobchodní nebo gastro koncepty, jichž se (elektronická) evidence tržeb rovněž týká. Specifikem festivalů je kumulace vysokého množství návštěvníků-zákazníků na vymezené ploše po omezenou dobu. </w:t>
            </w:r>
          </w:p>
          <w:p w14:paraId="349A75EF"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1B76AB55" w14:textId="24AB1CE8"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Většina festivalů, které jsou součástí FESTAS, od roku 2022 přešla nebo přechází na tzv. </w:t>
            </w:r>
            <w:proofErr w:type="spellStart"/>
            <w:r w:rsidRPr="0035187E">
              <w:rPr>
                <w:rFonts w:ascii="Times New Roman" w:hAnsi="Times New Roman" w:cs="Times New Roman"/>
                <w:sz w:val="20"/>
                <w:szCs w:val="20"/>
              </w:rPr>
              <w:t>cashless</w:t>
            </w:r>
            <w:proofErr w:type="spellEnd"/>
            <w:r w:rsidRPr="0035187E">
              <w:rPr>
                <w:rFonts w:ascii="Times New Roman" w:hAnsi="Times New Roman" w:cs="Times New Roman"/>
                <w:sz w:val="20"/>
                <w:szCs w:val="20"/>
              </w:rPr>
              <w:t xml:space="preserve"> platební systémy. Jde o uzavřené platební systémy, které zajišťují kompletní platební infrastrukturu pro desítky festivalů a stovky akcí ročně, s miliony zpracovaných transakcí. V posledních letech se rozšiřuje počet festivalů, kde společnosti jako </w:t>
            </w:r>
            <w:proofErr w:type="spellStart"/>
            <w:r w:rsidRPr="0035187E">
              <w:rPr>
                <w:rFonts w:ascii="Times New Roman" w:hAnsi="Times New Roman" w:cs="Times New Roman"/>
                <w:sz w:val="20"/>
                <w:szCs w:val="20"/>
              </w:rPr>
              <w:t>NFCtron</w:t>
            </w:r>
            <w:proofErr w:type="spellEnd"/>
            <w:r w:rsidRPr="0035187E">
              <w:rPr>
                <w:rFonts w:ascii="Times New Roman" w:hAnsi="Times New Roman" w:cs="Times New Roman"/>
                <w:sz w:val="20"/>
                <w:szCs w:val="20"/>
              </w:rPr>
              <w:t xml:space="preserve"> zajišťují platby debetní/kreditní kartou. </w:t>
            </w:r>
          </w:p>
          <w:p w14:paraId="5380A3E8"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3297A8E8" w14:textId="091CDAE5"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lastRenderedPageBreak/>
              <w:t xml:space="preserve">Předkládáme </w:t>
            </w:r>
            <w:r w:rsidRPr="0035187E">
              <w:rPr>
                <w:rFonts w:ascii="Times New Roman" w:hAnsi="Times New Roman" w:cs="Times New Roman"/>
                <w:b/>
                <w:bCs/>
                <w:sz w:val="20"/>
                <w:szCs w:val="20"/>
              </w:rPr>
              <w:t>připomínky k návrhu zákona o evidenci tržeb (sněmovní tisk č. 16/26)</w:t>
            </w:r>
            <w:r w:rsidRPr="0035187E">
              <w:rPr>
                <w:rFonts w:ascii="Times New Roman" w:hAnsi="Times New Roman" w:cs="Times New Roman"/>
                <w:sz w:val="20"/>
                <w:szCs w:val="20"/>
              </w:rPr>
              <w:t xml:space="preserve">, které reflektují naše praktické zkušenosti s provozem platebních systémů v podmínkách, jež se zásadně odlišují od standardního maloobchodního prostředí. </w:t>
            </w:r>
          </w:p>
          <w:p w14:paraId="33062DFA"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7F379BA0" w14:textId="0F1E9ECC"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 xml:space="preserve">Základní pozice: </w:t>
            </w:r>
            <w:r w:rsidRPr="0035187E">
              <w:rPr>
                <w:rFonts w:ascii="Times New Roman" w:hAnsi="Times New Roman" w:cs="Times New Roman"/>
                <w:sz w:val="20"/>
                <w:szCs w:val="20"/>
              </w:rPr>
              <w:t xml:space="preserve">Vnímáme poučení a vyřešení některých nedostatků původní verze EET, zejména zrušení povinnosti automaticky vydávat účtenku (§ 17 návrhu). Identifikujeme však oblasti, kde návrh nedostatečně zohledňuje specifika bezhotovostních platebních systémů pro festivaly (kulturní, sportovní, společenské apod.), jakož i další hromadné akce, a celkově pro řešení stánkového prodeje na jednorázových akcích. Cílem připomínek je minimalizace vstupních nákladů pro pořadatele akcí nebo stánkové prodejce na těchto akcích registrovaných do unifikovaného platebního systému pro </w:t>
            </w:r>
            <w:proofErr w:type="gramStart"/>
            <w:r w:rsidRPr="0035187E">
              <w:rPr>
                <w:rFonts w:ascii="Times New Roman" w:hAnsi="Times New Roman" w:cs="Times New Roman"/>
                <w:sz w:val="20"/>
                <w:szCs w:val="20"/>
              </w:rPr>
              <w:t>akci</w:t>
            </w:r>
            <w:proofErr w:type="gramEnd"/>
            <w:r w:rsidRPr="0035187E">
              <w:rPr>
                <w:rFonts w:ascii="Times New Roman" w:hAnsi="Times New Roman" w:cs="Times New Roman"/>
                <w:sz w:val="20"/>
                <w:szCs w:val="20"/>
              </w:rPr>
              <w:t xml:space="preserve"> a tudíž i soulad s věcným záměrem i paragrafovým zněním zákona. </w:t>
            </w:r>
          </w:p>
          <w:p w14:paraId="24BEBCD2"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135A570B"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 xml:space="preserve">Shrnutí klíčových požadavků: </w:t>
            </w:r>
          </w:p>
          <w:p w14:paraId="0BC9F5AD" w14:textId="29BCD32C" w:rsidR="000B4BD4" w:rsidRPr="0035187E" w:rsidRDefault="000B4BD4" w:rsidP="0035187E">
            <w:pPr>
              <w:numPr>
                <w:ilvl w:val="0"/>
                <w:numId w:val="4"/>
              </w:num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A. </w:t>
            </w:r>
            <w:r w:rsidRPr="0035187E">
              <w:rPr>
                <w:rFonts w:ascii="Times New Roman" w:hAnsi="Times New Roman" w:cs="Times New Roman"/>
                <w:sz w:val="20"/>
                <w:szCs w:val="20"/>
                <w:u w:val="single"/>
              </w:rPr>
              <w:t>Digitální doklady</w:t>
            </w:r>
            <w:r w:rsidRPr="0035187E">
              <w:rPr>
                <w:rFonts w:ascii="Times New Roman" w:hAnsi="Times New Roman" w:cs="Times New Roman"/>
                <w:sz w:val="20"/>
                <w:szCs w:val="20"/>
              </w:rPr>
              <w:t xml:space="preserve">: Výslovné potvrzení přípustnosti elektronické formy dokladu vydávaného na žádost zákazníka. </w:t>
            </w:r>
          </w:p>
          <w:p w14:paraId="1CD46F77" w14:textId="77777777" w:rsidR="000B4BD4" w:rsidRPr="0035187E" w:rsidRDefault="000B4BD4" w:rsidP="0035187E">
            <w:pPr>
              <w:numPr>
                <w:ilvl w:val="0"/>
                <w:numId w:val="4"/>
              </w:numPr>
              <w:autoSpaceDE w:val="0"/>
              <w:autoSpaceDN w:val="0"/>
              <w:adjustRightInd w:val="0"/>
              <w:jc w:val="both"/>
              <w:rPr>
                <w:rFonts w:ascii="Times New Roman" w:hAnsi="Times New Roman" w:cs="Times New Roman"/>
                <w:b/>
                <w:sz w:val="20"/>
                <w:szCs w:val="20"/>
              </w:rPr>
            </w:pPr>
            <w:r w:rsidRPr="0035187E">
              <w:rPr>
                <w:rFonts w:ascii="Times New Roman" w:hAnsi="Times New Roman" w:cs="Times New Roman"/>
                <w:sz w:val="20"/>
                <w:szCs w:val="20"/>
              </w:rPr>
              <w:t xml:space="preserve">B. </w:t>
            </w:r>
            <w:proofErr w:type="spellStart"/>
            <w:r w:rsidRPr="0035187E">
              <w:rPr>
                <w:rFonts w:ascii="Times New Roman" w:hAnsi="Times New Roman" w:cs="Times New Roman"/>
                <w:sz w:val="20"/>
                <w:szCs w:val="20"/>
                <w:u w:val="single"/>
              </w:rPr>
              <w:t>Offline</w:t>
            </w:r>
            <w:proofErr w:type="spellEnd"/>
            <w:r w:rsidRPr="0035187E">
              <w:rPr>
                <w:rFonts w:ascii="Times New Roman" w:hAnsi="Times New Roman" w:cs="Times New Roman"/>
                <w:sz w:val="20"/>
                <w:szCs w:val="20"/>
                <w:u w:val="single"/>
              </w:rPr>
              <w:t xml:space="preserve"> režim a stánkový prodej</w:t>
            </w:r>
            <w:r w:rsidRPr="0035187E">
              <w:rPr>
                <w:rFonts w:ascii="Times New Roman" w:hAnsi="Times New Roman" w:cs="Times New Roman"/>
                <w:sz w:val="20"/>
                <w:szCs w:val="20"/>
              </w:rPr>
              <w:t xml:space="preserve">: Přizpůsobení lhůt pro evidenci tržeb při výpadcích a rozšíření režimu § 21 pro stánkový prodej na jednorázových akcích. </w:t>
            </w:r>
          </w:p>
          <w:p w14:paraId="21BF9E2A" w14:textId="221C62C8" w:rsidR="000B4BD4" w:rsidRPr="0035187E" w:rsidRDefault="000B4BD4" w:rsidP="0035187E">
            <w:pPr>
              <w:numPr>
                <w:ilvl w:val="0"/>
                <w:numId w:val="5"/>
              </w:num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C. </w:t>
            </w:r>
            <w:r w:rsidRPr="0035187E">
              <w:rPr>
                <w:rFonts w:ascii="Times New Roman" w:hAnsi="Times New Roman" w:cs="Times New Roman"/>
                <w:sz w:val="20"/>
                <w:szCs w:val="20"/>
                <w:u w:val="single"/>
              </w:rPr>
              <w:t>Možnost pověření platební platformy</w:t>
            </w:r>
            <w:r w:rsidRPr="0035187E">
              <w:rPr>
                <w:rFonts w:ascii="Times New Roman" w:hAnsi="Times New Roman" w:cs="Times New Roman"/>
                <w:sz w:val="20"/>
                <w:szCs w:val="20"/>
              </w:rPr>
              <w:t xml:space="preserve">: Upřesnění institutu pověření dle § 11 pro provozovatele </w:t>
            </w:r>
            <w:proofErr w:type="spellStart"/>
            <w:r w:rsidRPr="0035187E">
              <w:rPr>
                <w:rFonts w:ascii="Times New Roman" w:hAnsi="Times New Roman" w:cs="Times New Roman"/>
                <w:sz w:val="20"/>
                <w:szCs w:val="20"/>
              </w:rPr>
              <w:t>cashless</w:t>
            </w:r>
            <w:proofErr w:type="spellEnd"/>
            <w:r w:rsidRPr="0035187E">
              <w:rPr>
                <w:rFonts w:ascii="Times New Roman" w:hAnsi="Times New Roman" w:cs="Times New Roman"/>
                <w:sz w:val="20"/>
                <w:szCs w:val="20"/>
              </w:rPr>
              <w:t xml:space="preserve">/platebních systémů, kteří centrálně evidují tržby za prodejce. </w:t>
            </w:r>
          </w:p>
          <w:p w14:paraId="4F236D33" w14:textId="6B0F256F" w:rsidR="000B4BD4" w:rsidRPr="0035187E" w:rsidRDefault="000B4BD4" w:rsidP="0035187E">
            <w:pPr>
              <w:numPr>
                <w:ilvl w:val="0"/>
                <w:numId w:val="5"/>
              </w:num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D. </w:t>
            </w:r>
            <w:r w:rsidRPr="0035187E">
              <w:rPr>
                <w:rFonts w:ascii="Times New Roman" w:hAnsi="Times New Roman" w:cs="Times New Roman"/>
                <w:sz w:val="20"/>
                <w:szCs w:val="20"/>
                <w:u w:val="single"/>
              </w:rPr>
              <w:t>Výjimky pro festivaly</w:t>
            </w:r>
            <w:r w:rsidRPr="0035187E">
              <w:rPr>
                <w:rFonts w:ascii="Times New Roman" w:hAnsi="Times New Roman" w:cs="Times New Roman"/>
                <w:sz w:val="20"/>
                <w:szCs w:val="20"/>
              </w:rPr>
              <w:t xml:space="preserve">: Prověření a posílení možností zvláštního režimu pro stánkový prodej v rámci jednorázových kulturních, sportovních či společenských akcí. </w:t>
            </w:r>
          </w:p>
          <w:p w14:paraId="3F1BF9E7" w14:textId="77777777" w:rsidR="000B4BD4" w:rsidRPr="0035187E" w:rsidRDefault="000B4BD4" w:rsidP="0035187E">
            <w:pPr>
              <w:numPr>
                <w:ilvl w:val="0"/>
                <w:numId w:val="5"/>
              </w:numPr>
              <w:autoSpaceDE w:val="0"/>
              <w:autoSpaceDN w:val="0"/>
              <w:adjustRightInd w:val="0"/>
              <w:jc w:val="both"/>
              <w:rPr>
                <w:rFonts w:ascii="Times New Roman" w:hAnsi="Times New Roman" w:cs="Times New Roman"/>
                <w:sz w:val="20"/>
                <w:szCs w:val="20"/>
              </w:rPr>
            </w:pPr>
          </w:p>
          <w:p w14:paraId="1D21235B" w14:textId="531C8335"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Právní rámec</w:t>
            </w:r>
            <w:r w:rsidRPr="0035187E">
              <w:rPr>
                <w:rFonts w:ascii="Times New Roman" w:hAnsi="Times New Roman" w:cs="Times New Roman"/>
                <w:sz w:val="20"/>
                <w:szCs w:val="20"/>
              </w:rPr>
              <w:t xml:space="preserve">: Naše připomínky a argumentaci opíráme o standardy tuzemského i mezinárodního práva. </w:t>
            </w:r>
          </w:p>
          <w:p w14:paraId="07E27CFF"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1B562E21" w14:textId="16E1F5F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 xml:space="preserve">1. Ústavní rámec: </w:t>
            </w:r>
            <w:r w:rsidRPr="0035187E">
              <w:rPr>
                <w:rFonts w:ascii="Times New Roman" w:hAnsi="Times New Roman" w:cs="Times New Roman"/>
                <w:sz w:val="20"/>
                <w:szCs w:val="20"/>
              </w:rPr>
              <w:t xml:space="preserve">Čl. 26 odst. 1 Listiny základních práv a svobod zaručuje právo podnikat. Dle judikatury Ústavního soudu musí být jakékoliv omezení podnikání přiměřené sledovanému cíli. Pokud náklady na splnění evidenční povinnosti dosahují okolo 10 % tržeb (data FESTAS; především zajištění konektivity na akcích s často +50 000 návštěvníků), jedná se o nepřiměřenou zátěž ve srovnání s běžnými podnikateli </w:t>
            </w:r>
            <w:proofErr w:type="gramStart"/>
            <w:r w:rsidRPr="0035187E">
              <w:rPr>
                <w:rFonts w:ascii="Times New Roman" w:hAnsi="Times New Roman" w:cs="Times New Roman"/>
                <w:sz w:val="20"/>
                <w:szCs w:val="20"/>
              </w:rPr>
              <w:t>(&lt; 0</w:t>
            </w:r>
            <w:proofErr w:type="gramEnd"/>
            <w:r w:rsidRPr="0035187E">
              <w:rPr>
                <w:rFonts w:ascii="Times New Roman" w:hAnsi="Times New Roman" w:cs="Times New Roman"/>
                <w:sz w:val="20"/>
                <w:szCs w:val="20"/>
              </w:rPr>
              <w:t xml:space="preserve">,1 % u restaurací). </w:t>
            </w:r>
          </w:p>
          <w:p w14:paraId="75A5C876"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54347A2F" w14:textId="055F9BD4"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 xml:space="preserve">2. Proporcionalita: </w:t>
            </w:r>
            <w:r w:rsidRPr="0035187E">
              <w:rPr>
                <w:rFonts w:ascii="Times New Roman" w:hAnsi="Times New Roman" w:cs="Times New Roman"/>
                <w:sz w:val="20"/>
                <w:szCs w:val="20"/>
              </w:rPr>
              <w:t xml:space="preserve">Cílem zákona dle § 1 odst. 2 je „efektivnější ověřování plnění daňových povinností“. V prostředí </w:t>
            </w:r>
            <w:proofErr w:type="spellStart"/>
            <w:r w:rsidRPr="0035187E">
              <w:rPr>
                <w:rFonts w:ascii="Times New Roman" w:hAnsi="Times New Roman" w:cs="Times New Roman"/>
                <w:sz w:val="20"/>
                <w:szCs w:val="20"/>
              </w:rPr>
              <w:t>cashless</w:t>
            </w:r>
            <w:proofErr w:type="spellEnd"/>
            <w:r w:rsidRPr="0035187E">
              <w:rPr>
                <w:rFonts w:ascii="Times New Roman" w:hAnsi="Times New Roman" w:cs="Times New Roman"/>
                <w:sz w:val="20"/>
                <w:szCs w:val="20"/>
              </w:rPr>
              <w:t xml:space="preserve"> festivalových systémů je tento cíl naplněn již samotnou povahou platební </w:t>
            </w:r>
            <w:proofErr w:type="gramStart"/>
            <w:r w:rsidRPr="0035187E">
              <w:rPr>
                <w:rFonts w:ascii="Times New Roman" w:hAnsi="Times New Roman" w:cs="Times New Roman"/>
                <w:sz w:val="20"/>
                <w:szCs w:val="20"/>
              </w:rPr>
              <w:t>infrastruktury - každá</w:t>
            </w:r>
            <w:proofErr w:type="gramEnd"/>
            <w:r w:rsidRPr="0035187E">
              <w:rPr>
                <w:rFonts w:ascii="Times New Roman" w:hAnsi="Times New Roman" w:cs="Times New Roman"/>
                <w:sz w:val="20"/>
                <w:szCs w:val="20"/>
              </w:rPr>
              <w:t xml:space="preserve"> transakce je digitálně zaznamenána s přesným časovým razítkem, identifikací prodejce a detailem nákupu. Cíle zákona lze tedy dosáhnout mírnějšími prostředky (prodloužené lhůty, pověření platforem, tzv. </w:t>
            </w:r>
            <w:proofErr w:type="spellStart"/>
            <w:r w:rsidRPr="0035187E">
              <w:rPr>
                <w:rFonts w:ascii="Times New Roman" w:hAnsi="Times New Roman" w:cs="Times New Roman"/>
                <w:sz w:val="20"/>
                <w:szCs w:val="20"/>
              </w:rPr>
              <w:t>batch</w:t>
            </w:r>
            <w:proofErr w:type="spellEnd"/>
            <w:r w:rsidRPr="0035187E">
              <w:rPr>
                <w:rFonts w:ascii="Times New Roman" w:hAnsi="Times New Roman" w:cs="Times New Roman"/>
                <w:sz w:val="20"/>
                <w:szCs w:val="20"/>
              </w:rPr>
              <w:t xml:space="preserve"> odesílání). </w:t>
            </w:r>
          </w:p>
          <w:p w14:paraId="3FE9D8BA"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7D6E7640"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 xml:space="preserve">3. Evropský kontext: </w:t>
            </w:r>
            <w:r w:rsidRPr="0035187E">
              <w:rPr>
                <w:rFonts w:ascii="Times New Roman" w:hAnsi="Times New Roman" w:cs="Times New Roman"/>
                <w:sz w:val="20"/>
                <w:szCs w:val="20"/>
              </w:rPr>
              <w:t>Důvodová zpráva v bodech 187–194 uvádí přehled evropských systémů evidence tržeb. Většina zemí EU aplikuje evidenci pouze na hotovostní platby nebo pouze na plátce DPH. Česká republika má nejširší záběr evidence v EU. Pokud jiné člen</w:t>
            </w:r>
            <w:r w:rsidRPr="0035187E">
              <w:rPr>
                <w:rFonts w:ascii="Times New Roman" w:hAnsi="Times New Roman" w:cs="Times New Roman"/>
                <w:sz w:val="20"/>
                <w:szCs w:val="20"/>
              </w:rPr>
              <w:lastRenderedPageBreak/>
              <w:t xml:space="preserve">ské státy vyjímají specifické segmenty z evidence, je přiměřené, aby ČR zohlednila specifika festivalového </w:t>
            </w:r>
            <w:proofErr w:type="gramStart"/>
            <w:r w:rsidRPr="0035187E">
              <w:rPr>
                <w:rFonts w:ascii="Times New Roman" w:hAnsi="Times New Roman" w:cs="Times New Roman"/>
                <w:sz w:val="20"/>
                <w:szCs w:val="20"/>
              </w:rPr>
              <w:t>sektoru - a</w:t>
            </w:r>
            <w:proofErr w:type="gramEnd"/>
            <w:r w:rsidRPr="0035187E">
              <w:rPr>
                <w:rFonts w:ascii="Times New Roman" w:hAnsi="Times New Roman" w:cs="Times New Roman"/>
                <w:sz w:val="20"/>
                <w:szCs w:val="20"/>
              </w:rPr>
              <w:t xml:space="preserve"> to zejména za situace, kdy bezhotovostní systémy zajišťují vyšší transparentnost než decentralizované hotovostní platby.</w:t>
            </w:r>
          </w:p>
          <w:p w14:paraId="5BF9097B" w14:textId="77777777" w:rsidR="007F798C" w:rsidRPr="0035187E" w:rsidRDefault="007F798C" w:rsidP="0035187E">
            <w:pPr>
              <w:autoSpaceDE w:val="0"/>
              <w:autoSpaceDN w:val="0"/>
              <w:adjustRightInd w:val="0"/>
              <w:jc w:val="both"/>
              <w:rPr>
                <w:rFonts w:ascii="Times New Roman" w:hAnsi="Times New Roman" w:cs="Times New Roman"/>
                <w:b/>
                <w:sz w:val="20"/>
                <w:szCs w:val="20"/>
              </w:rPr>
            </w:pPr>
          </w:p>
          <w:p w14:paraId="60CB9DFA" w14:textId="77777777" w:rsidR="007F798C" w:rsidRPr="0035187E" w:rsidRDefault="007F798C" w:rsidP="0035187E">
            <w:pPr>
              <w:autoSpaceDE w:val="0"/>
              <w:autoSpaceDN w:val="0"/>
              <w:adjustRightInd w:val="0"/>
              <w:jc w:val="both"/>
              <w:rPr>
                <w:rFonts w:ascii="Times New Roman" w:hAnsi="Times New Roman" w:cs="Times New Roman"/>
                <w:b/>
                <w:bCs/>
                <w:sz w:val="20"/>
                <w:szCs w:val="20"/>
              </w:rPr>
            </w:pPr>
            <w:r w:rsidRPr="0035187E">
              <w:rPr>
                <w:rFonts w:ascii="Times New Roman" w:hAnsi="Times New Roman" w:cs="Times New Roman"/>
                <w:b/>
                <w:bCs/>
                <w:sz w:val="20"/>
                <w:szCs w:val="20"/>
              </w:rPr>
              <w:t xml:space="preserve">Závěr a shrnutí </w:t>
            </w:r>
          </w:p>
          <w:p w14:paraId="6A53B738" w14:textId="77777777" w:rsidR="007F798C" w:rsidRPr="0035187E" w:rsidRDefault="007F798C"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FESTAS i dodavatelé </w:t>
            </w:r>
            <w:proofErr w:type="spellStart"/>
            <w:r w:rsidRPr="0035187E">
              <w:rPr>
                <w:rFonts w:ascii="Times New Roman" w:hAnsi="Times New Roman" w:cs="Times New Roman"/>
                <w:sz w:val="20"/>
                <w:szCs w:val="20"/>
              </w:rPr>
              <w:t>cashless</w:t>
            </w:r>
            <w:proofErr w:type="spellEnd"/>
            <w:r w:rsidRPr="0035187E">
              <w:rPr>
                <w:rFonts w:ascii="Times New Roman" w:hAnsi="Times New Roman" w:cs="Times New Roman"/>
                <w:sz w:val="20"/>
                <w:szCs w:val="20"/>
              </w:rPr>
              <w:t xml:space="preserve"> systémů vítají modernizaci evidence tržeb a zejména zrušení povinnosti automaticky vydávat účtenku. Předložené připomínky nemají za cíl obcházení evidenční povinnosti, nýbrž její přizpůsobení realitě moderních platebních technologií a specifickým podmínkám festivalového sektoru. </w:t>
            </w:r>
          </w:p>
          <w:p w14:paraId="28A8D129" w14:textId="77777777" w:rsidR="007F798C" w:rsidRPr="0035187E" w:rsidRDefault="007F798C" w:rsidP="0035187E">
            <w:pPr>
              <w:autoSpaceDE w:val="0"/>
              <w:autoSpaceDN w:val="0"/>
              <w:adjustRightInd w:val="0"/>
              <w:jc w:val="both"/>
              <w:rPr>
                <w:rFonts w:ascii="Times New Roman" w:hAnsi="Times New Roman" w:cs="Times New Roman"/>
                <w:sz w:val="20"/>
                <w:szCs w:val="20"/>
              </w:rPr>
            </w:pPr>
          </w:p>
          <w:p w14:paraId="6F6CE85C" w14:textId="77777777" w:rsidR="007F798C" w:rsidRPr="0035187E" w:rsidRDefault="007F798C"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Jsme přesvědčeni, že navrhované úpravy: </w:t>
            </w:r>
          </w:p>
          <w:p w14:paraId="401B02CA" w14:textId="77777777" w:rsidR="007F798C" w:rsidRPr="0035187E" w:rsidRDefault="007F798C" w:rsidP="0035187E">
            <w:pPr>
              <w:autoSpaceDE w:val="0"/>
              <w:autoSpaceDN w:val="0"/>
              <w:adjustRightInd w:val="0"/>
              <w:jc w:val="both"/>
              <w:rPr>
                <w:rFonts w:ascii="Times New Roman" w:hAnsi="Times New Roman" w:cs="Times New Roman"/>
                <w:sz w:val="20"/>
                <w:szCs w:val="20"/>
              </w:rPr>
            </w:pPr>
          </w:p>
          <w:p w14:paraId="6746D27A" w14:textId="77777777" w:rsidR="007F798C" w:rsidRPr="0035187E" w:rsidRDefault="007F798C" w:rsidP="0035187E">
            <w:pPr>
              <w:numPr>
                <w:ilvl w:val="0"/>
                <w:numId w:val="18"/>
              </w:numPr>
              <w:tabs>
                <w:tab w:val="left" w:pos="387"/>
              </w:tabs>
              <w:autoSpaceDE w:val="0"/>
              <w:autoSpaceDN w:val="0"/>
              <w:adjustRightInd w:val="0"/>
              <w:spacing w:after="58"/>
              <w:jc w:val="both"/>
              <w:rPr>
                <w:rFonts w:ascii="Times New Roman" w:hAnsi="Times New Roman" w:cs="Times New Roman"/>
                <w:sz w:val="20"/>
                <w:szCs w:val="20"/>
              </w:rPr>
            </w:pPr>
            <w:r w:rsidRPr="0035187E">
              <w:rPr>
                <w:rFonts w:ascii="Times New Roman" w:hAnsi="Times New Roman" w:cs="Times New Roman"/>
                <w:b/>
                <w:bCs/>
                <w:sz w:val="20"/>
                <w:szCs w:val="20"/>
              </w:rPr>
              <w:t xml:space="preserve">neoslabují </w:t>
            </w:r>
            <w:r w:rsidRPr="0035187E">
              <w:rPr>
                <w:rFonts w:ascii="Times New Roman" w:hAnsi="Times New Roman" w:cs="Times New Roman"/>
                <w:sz w:val="20"/>
                <w:szCs w:val="20"/>
              </w:rPr>
              <w:t xml:space="preserve">kontrolní funkci zákona; </w:t>
            </w:r>
          </w:p>
          <w:p w14:paraId="23057D05" w14:textId="77777777" w:rsidR="007F798C" w:rsidRPr="0035187E" w:rsidRDefault="007F798C" w:rsidP="0035187E">
            <w:pPr>
              <w:numPr>
                <w:ilvl w:val="0"/>
                <w:numId w:val="18"/>
              </w:numPr>
              <w:tabs>
                <w:tab w:val="left" w:pos="387"/>
              </w:tabs>
              <w:autoSpaceDE w:val="0"/>
              <w:autoSpaceDN w:val="0"/>
              <w:adjustRightInd w:val="0"/>
              <w:spacing w:after="58"/>
              <w:jc w:val="both"/>
              <w:rPr>
                <w:rFonts w:ascii="Times New Roman" w:hAnsi="Times New Roman" w:cs="Times New Roman"/>
                <w:sz w:val="20"/>
                <w:szCs w:val="20"/>
              </w:rPr>
            </w:pPr>
            <w:r w:rsidRPr="0035187E">
              <w:rPr>
                <w:rFonts w:ascii="Times New Roman" w:hAnsi="Times New Roman" w:cs="Times New Roman"/>
                <w:b/>
                <w:bCs/>
                <w:sz w:val="20"/>
                <w:szCs w:val="20"/>
              </w:rPr>
              <w:t xml:space="preserve">snižují </w:t>
            </w:r>
            <w:r w:rsidRPr="0035187E">
              <w:rPr>
                <w:rFonts w:ascii="Times New Roman" w:hAnsi="Times New Roman" w:cs="Times New Roman"/>
                <w:sz w:val="20"/>
                <w:szCs w:val="20"/>
              </w:rPr>
              <w:t xml:space="preserve">administrativní a finanční zátěž pro podnikatele ve festivalovém sektoru; </w:t>
            </w:r>
          </w:p>
          <w:p w14:paraId="2499F578" w14:textId="77777777" w:rsidR="007F798C" w:rsidRPr="0035187E" w:rsidRDefault="007F798C" w:rsidP="0035187E">
            <w:pPr>
              <w:numPr>
                <w:ilvl w:val="0"/>
                <w:numId w:val="18"/>
              </w:numPr>
              <w:tabs>
                <w:tab w:val="left" w:pos="387"/>
              </w:tabs>
              <w:autoSpaceDE w:val="0"/>
              <w:autoSpaceDN w:val="0"/>
              <w:adjustRightInd w:val="0"/>
              <w:spacing w:after="58"/>
              <w:jc w:val="both"/>
              <w:rPr>
                <w:rFonts w:ascii="Times New Roman" w:hAnsi="Times New Roman" w:cs="Times New Roman"/>
                <w:sz w:val="20"/>
                <w:szCs w:val="20"/>
              </w:rPr>
            </w:pPr>
            <w:r w:rsidRPr="0035187E">
              <w:rPr>
                <w:rFonts w:ascii="Times New Roman" w:hAnsi="Times New Roman" w:cs="Times New Roman"/>
                <w:b/>
                <w:bCs/>
                <w:sz w:val="20"/>
                <w:szCs w:val="20"/>
              </w:rPr>
              <w:t xml:space="preserve">podporují digitalizaci a ekologické řešení </w:t>
            </w:r>
            <w:r w:rsidRPr="0035187E">
              <w:rPr>
                <w:rFonts w:ascii="Times New Roman" w:hAnsi="Times New Roman" w:cs="Times New Roman"/>
                <w:sz w:val="20"/>
                <w:szCs w:val="20"/>
              </w:rPr>
              <w:t xml:space="preserve">v souladu s programovým prohlášením vlády </w:t>
            </w:r>
          </w:p>
          <w:p w14:paraId="416ACF77" w14:textId="77777777" w:rsidR="007F798C" w:rsidRPr="0035187E" w:rsidRDefault="007F798C" w:rsidP="0035187E">
            <w:pPr>
              <w:numPr>
                <w:ilvl w:val="0"/>
                <w:numId w:val="18"/>
              </w:numPr>
              <w:tabs>
                <w:tab w:val="left" w:pos="387"/>
              </w:tabs>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 xml:space="preserve">reflektují </w:t>
            </w:r>
            <w:r w:rsidRPr="0035187E">
              <w:rPr>
                <w:rFonts w:ascii="Times New Roman" w:hAnsi="Times New Roman" w:cs="Times New Roman"/>
                <w:sz w:val="20"/>
                <w:szCs w:val="20"/>
              </w:rPr>
              <w:t xml:space="preserve">praktické zkušenosti z provozu bezhotovostních systémů na festivalech. </w:t>
            </w:r>
          </w:p>
          <w:p w14:paraId="39A5DE06" w14:textId="77777777" w:rsidR="007F798C" w:rsidRPr="0035187E" w:rsidRDefault="007F798C" w:rsidP="0035187E">
            <w:pPr>
              <w:pStyle w:val="Zkladntext21"/>
              <w:framePr w:hSpace="0" w:wrap="auto" w:vAnchor="margin" w:hAnchor="text" w:yAlign="inline"/>
              <w:tabs>
                <w:tab w:val="left" w:pos="0"/>
              </w:tabs>
              <w:rPr>
                <w:rFonts w:ascii="Times New Roman" w:hAnsi="Times New Roman"/>
                <w:b w:val="0"/>
                <w:sz w:val="20"/>
              </w:rPr>
            </w:pPr>
          </w:p>
          <w:p w14:paraId="2B436532" w14:textId="77777777" w:rsidR="007F798C" w:rsidRPr="0035187E" w:rsidRDefault="007F798C" w:rsidP="0035187E">
            <w:pPr>
              <w:pStyle w:val="Zkladntext21"/>
              <w:framePr w:hSpace="0" w:wrap="auto" w:vAnchor="margin" w:hAnchor="text" w:yAlign="inline"/>
              <w:tabs>
                <w:tab w:val="left" w:pos="0"/>
              </w:tabs>
              <w:rPr>
                <w:rFonts w:ascii="Times New Roman" w:hAnsi="Times New Roman"/>
                <w:b w:val="0"/>
                <w:bCs/>
                <w:sz w:val="20"/>
              </w:rPr>
            </w:pPr>
            <w:r w:rsidRPr="0035187E">
              <w:rPr>
                <w:rFonts w:ascii="Times New Roman" w:hAnsi="Times New Roman"/>
                <w:b w:val="0"/>
                <w:bCs/>
                <w:sz w:val="20"/>
              </w:rPr>
              <w:t>Přehled dotčených ustanovení:</w:t>
            </w:r>
          </w:p>
          <w:p w14:paraId="538E00E9" w14:textId="77777777" w:rsidR="007F798C" w:rsidRPr="0035187E" w:rsidRDefault="007F798C" w:rsidP="0035187E">
            <w:pPr>
              <w:pStyle w:val="Zkladntext21"/>
              <w:framePr w:hSpace="0" w:wrap="auto" w:vAnchor="margin" w:hAnchor="text" w:yAlign="inline"/>
              <w:tabs>
                <w:tab w:val="left" w:pos="0"/>
              </w:tabs>
              <w:rPr>
                <w:rFonts w:ascii="Times New Roman" w:hAnsi="Times New Roman"/>
                <w:b w:val="0"/>
                <w:bCs/>
                <w:sz w:val="20"/>
              </w:rPr>
            </w:pPr>
          </w:p>
          <w:tbl>
            <w:tblPr>
              <w:tblStyle w:val="Mkatabulky"/>
              <w:tblW w:w="6883" w:type="dxa"/>
              <w:tblLayout w:type="fixed"/>
              <w:tblLook w:val="04A0" w:firstRow="1" w:lastRow="0" w:firstColumn="1" w:lastColumn="0" w:noHBand="0" w:noVBand="1"/>
            </w:tblPr>
            <w:tblGrid>
              <w:gridCol w:w="1229"/>
              <w:gridCol w:w="1601"/>
              <w:gridCol w:w="4053"/>
            </w:tblGrid>
            <w:tr w:rsidR="007F798C" w:rsidRPr="0035187E" w14:paraId="69AE33A9" w14:textId="77777777" w:rsidTr="007F798C">
              <w:trPr>
                <w:trHeight w:val="288"/>
              </w:trPr>
              <w:tc>
                <w:tcPr>
                  <w:tcW w:w="1229" w:type="dxa"/>
                  <w:noWrap/>
                  <w:hideMark/>
                </w:tcPr>
                <w:p w14:paraId="09C5CB02" w14:textId="77777777" w:rsidR="007F798C" w:rsidRPr="0035187E" w:rsidRDefault="007F798C" w:rsidP="0035187E">
                  <w:pPr>
                    <w:rPr>
                      <w:rFonts w:ascii="Times New Roman" w:hAnsi="Times New Roman" w:cs="Times New Roman"/>
                      <w:sz w:val="20"/>
                      <w:szCs w:val="20"/>
                    </w:rPr>
                  </w:pPr>
                  <w:r w:rsidRPr="0035187E">
                    <w:rPr>
                      <w:rFonts w:ascii="Times New Roman" w:hAnsi="Times New Roman" w:cs="Times New Roman"/>
                      <w:sz w:val="20"/>
                      <w:szCs w:val="20"/>
                    </w:rPr>
                    <w:t>Ustanovení</w:t>
                  </w:r>
                </w:p>
              </w:tc>
              <w:tc>
                <w:tcPr>
                  <w:tcW w:w="1601" w:type="dxa"/>
                  <w:noWrap/>
                  <w:hideMark/>
                </w:tcPr>
                <w:p w14:paraId="0409AF79" w14:textId="77777777" w:rsidR="007F798C" w:rsidRPr="0035187E" w:rsidRDefault="007F798C" w:rsidP="0035187E">
                  <w:pPr>
                    <w:rPr>
                      <w:rFonts w:ascii="Times New Roman" w:hAnsi="Times New Roman" w:cs="Times New Roman"/>
                      <w:sz w:val="20"/>
                      <w:szCs w:val="20"/>
                    </w:rPr>
                  </w:pPr>
                  <w:r w:rsidRPr="0035187E">
                    <w:rPr>
                      <w:rFonts w:ascii="Times New Roman" w:hAnsi="Times New Roman" w:cs="Times New Roman"/>
                      <w:sz w:val="20"/>
                      <w:szCs w:val="20"/>
                    </w:rPr>
                    <w:t>Obsah</w:t>
                  </w:r>
                </w:p>
              </w:tc>
              <w:tc>
                <w:tcPr>
                  <w:tcW w:w="4053" w:type="dxa"/>
                  <w:noWrap/>
                  <w:hideMark/>
                </w:tcPr>
                <w:p w14:paraId="029D5ABA" w14:textId="77777777" w:rsidR="007F798C" w:rsidRPr="0035187E" w:rsidRDefault="007F798C" w:rsidP="0035187E">
                  <w:pPr>
                    <w:rPr>
                      <w:rFonts w:ascii="Times New Roman" w:hAnsi="Times New Roman" w:cs="Times New Roman"/>
                      <w:sz w:val="20"/>
                      <w:szCs w:val="20"/>
                    </w:rPr>
                  </w:pPr>
                  <w:r w:rsidRPr="0035187E">
                    <w:rPr>
                      <w:rFonts w:ascii="Times New Roman" w:hAnsi="Times New Roman" w:cs="Times New Roman"/>
                      <w:sz w:val="20"/>
                      <w:szCs w:val="20"/>
                    </w:rPr>
                    <w:t>Připomínka</w:t>
                  </w:r>
                </w:p>
              </w:tc>
            </w:tr>
            <w:tr w:rsidR="007F798C" w:rsidRPr="0035187E" w14:paraId="09905053" w14:textId="77777777" w:rsidTr="007F798C">
              <w:trPr>
                <w:trHeight w:val="288"/>
              </w:trPr>
              <w:tc>
                <w:tcPr>
                  <w:tcW w:w="1229" w:type="dxa"/>
                  <w:noWrap/>
                  <w:hideMark/>
                </w:tcPr>
                <w:p w14:paraId="5B00CD09" w14:textId="77777777" w:rsidR="007F798C" w:rsidRPr="0035187E" w:rsidRDefault="007F798C" w:rsidP="0035187E">
                  <w:pPr>
                    <w:rPr>
                      <w:rFonts w:ascii="Times New Roman" w:hAnsi="Times New Roman" w:cs="Times New Roman"/>
                      <w:sz w:val="20"/>
                      <w:szCs w:val="20"/>
                    </w:rPr>
                  </w:pPr>
                  <w:r w:rsidRPr="0035187E">
                    <w:rPr>
                      <w:rFonts w:ascii="Times New Roman" w:hAnsi="Times New Roman" w:cs="Times New Roman"/>
                      <w:sz w:val="20"/>
                      <w:szCs w:val="20"/>
                    </w:rPr>
                    <w:t xml:space="preserve"> §17</w:t>
                  </w:r>
                </w:p>
              </w:tc>
              <w:tc>
                <w:tcPr>
                  <w:tcW w:w="1601" w:type="dxa"/>
                  <w:noWrap/>
                  <w:hideMark/>
                </w:tcPr>
                <w:p w14:paraId="48C6BFAA" w14:textId="77777777" w:rsidR="007F798C" w:rsidRPr="0035187E" w:rsidRDefault="007F798C" w:rsidP="0035187E">
                  <w:pPr>
                    <w:rPr>
                      <w:rFonts w:ascii="Times New Roman" w:hAnsi="Times New Roman" w:cs="Times New Roman"/>
                      <w:sz w:val="20"/>
                      <w:szCs w:val="20"/>
                    </w:rPr>
                  </w:pPr>
                  <w:r w:rsidRPr="0035187E">
                    <w:rPr>
                      <w:rFonts w:ascii="Times New Roman" w:hAnsi="Times New Roman" w:cs="Times New Roman"/>
                      <w:sz w:val="20"/>
                      <w:szCs w:val="20"/>
                    </w:rPr>
                    <w:t>Povinnost evidovat tržbu (bez účtenky)</w:t>
                  </w:r>
                </w:p>
              </w:tc>
              <w:tc>
                <w:tcPr>
                  <w:tcW w:w="4053" w:type="dxa"/>
                  <w:noWrap/>
                  <w:hideMark/>
                </w:tcPr>
                <w:p w14:paraId="0BB3BE18" w14:textId="77777777" w:rsidR="007F798C" w:rsidRPr="0035187E" w:rsidRDefault="007F798C" w:rsidP="0035187E">
                  <w:pPr>
                    <w:rPr>
                      <w:rFonts w:ascii="Times New Roman" w:hAnsi="Times New Roman" w:cs="Times New Roman"/>
                      <w:sz w:val="20"/>
                      <w:szCs w:val="20"/>
                    </w:rPr>
                  </w:pPr>
                  <w:r w:rsidRPr="0035187E">
                    <w:rPr>
                      <w:rFonts w:ascii="Times New Roman" w:hAnsi="Times New Roman" w:cs="Times New Roman"/>
                      <w:sz w:val="20"/>
                      <w:szCs w:val="20"/>
                    </w:rPr>
                    <w:t xml:space="preserve">1. Připomínka: Digitální </w:t>
                  </w:r>
                  <w:proofErr w:type="gramStart"/>
                  <w:r w:rsidRPr="0035187E">
                    <w:rPr>
                      <w:rFonts w:ascii="Times New Roman" w:hAnsi="Times New Roman" w:cs="Times New Roman"/>
                      <w:sz w:val="20"/>
                      <w:szCs w:val="20"/>
                    </w:rPr>
                    <w:t>doklady - Explicitní</w:t>
                  </w:r>
                  <w:proofErr w:type="gramEnd"/>
                  <w:r w:rsidRPr="0035187E">
                    <w:rPr>
                      <w:rFonts w:ascii="Times New Roman" w:hAnsi="Times New Roman" w:cs="Times New Roman"/>
                      <w:sz w:val="20"/>
                      <w:szCs w:val="20"/>
                    </w:rPr>
                    <w:t xml:space="preserve"> potvrzení přípustnosti digitální formy</w:t>
                  </w:r>
                </w:p>
              </w:tc>
            </w:tr>
            <w:tr w:rsidR="007F798C" w:rsidRPr="0035187E" w14:paraId="69C48DC1" w14:textId="77777777" w:rsidTr="007F798C">
              <w:trPr>
                <w:trHeight w:val="288"/>
              </w:trPr>
              <w:tc>
                <w:tcPr>
                  <w:tcW w:w="1229" w:type="dxa"/>
                  <w:noWrap/>
                  <w:hideMark/>
                </w:tcPr>
                <w:p w14:paraId="00663D13" w14:textId="77777777" w:rsidR="007F798C" w:rsidRPr="0035187E" w:rsidRDefault="007F798C" w:rsidP="0035187E">
                  <w:pPr>
                    <w:rPr>
                      <w:rFonts w:ascii="Times New Roman" w:hAnsi="Times New Roman" w:cs="Times New Roman"/>
                      <w:sz w:val="20"/>
                      <w:szCs w:val="20"/>
                    </w:rPr>
                  </w:pPr>
                  <w:r w:rsidRPr="0035187E">
                    <w:rPr>
                      <w:rFonts w:ascii="Times New Roman" w:hAnsi="Times New Roman" w:cs="Times New Roman"/>
                      <w:sz w:val="20"/>
                      <w:szCs w:val="20"/>
                    </w:rPr>
                    <w:t>§ 20–21</w:t>
                  </w:r>
                </w:p>
              </w:tc>
              <w:tc>
                <w:tcPr>
                  <w:tcW w:w="1601" w:type="dxa"/>
                  <w:noWrap/>
                  <w:hideMark/>
                </w:tcPr>
                <w:p w14:paraId="6D41A8DD" w14:textId="77777777" w:rsidR="007F798C" w:rsidRPr="0035187E" w:rsidRDefault="007F798C" w:rsidP="0035187E">
                  <w:pPr>
                    <w:rPr>
                      <w:rFonts w:ascii="Times New Roman" w:hAnsi="Times New Roman" w:cs="Times New Roman"/>
                      <w:sz w:val="20"/>
                      <w:szCs w:val="20"/>
                    </w:rPr>
                  </w:pPr>
                  <w:r w:rsidRPr="0035187E">
                    <w:rPr>
                      <w:rFonts w:ascii="Times New Roman" w:hAnsi="Times New Roman" w:cs="Times New Roman"/>
                      <w:sz w:val="20"/>
                      <w:szCs w:val="20"/>
                    </w:rPr>
                    <w:t xml:space="preserve">Mezní doba odezvy / </w:t>
                  </w:r>
                  <w:proofErr w:type="spellStart"/>
                  <w:r w:rsidRPr="0035187E">
                    <w:rPr>
                      <w:rFonts w:ascii="Times New Roman" w:hAnsi="Times New Roman" w:cs="Times New Roman"/>
                      <w:sz w:val="20"/>
                      <w:szCs w:val="20"/>
                    </w:rPr>
                    <w:t>offline</w:t>
                  </w:r>
                  <w:proofErr w:type="spellEnd"/>
                  <w:r w:rsidRPr="0035187E">
                    <w:rPr>
                      <w:rFonts w:ascii="Times New Roman" w:hAnsi="Times New Roman" w:cs="Times New Roman"/>
                      <w:sz w:val="20"/>
                      <w:szCs w:val="20"/>
                    </w:rPr>
                    <w:t xml:space="preserve"> režim</w:t>
                  </w:r>
                </w:p>
              </w:tc>
              <w:tc>
                <w:tcPr>
                  <w:tcW w:w="4053" w:type="dxa"/>
                  <w:noWrap/>
                  <w:hideMark/>
                </w:tcPr>
                <w:p w14:paraId="0AF81183" w14:textId="77777777" w:rsidR="007F798C" w:rsidRPr="0035187E" w:rsidRDefault="007F798C" w:rsidP="0035187E">
                  <w:pPr>
                    <w:rPr>
                      <w:rFonts w:ascii="Times New Roman" w:hAnsi="Times New Roman" w:cs="Times New Roman"/>
                      <w:sz w:val="20"/>
                      <w:szCs w:val="20"/>
                    </w:rPr>
                  </w:pPr>
                  <w:r w:rsidRPr="0035187E">
                    <w:rPr>
                      <w:rFonts w:ascii="Times New Roman" w:hAnsi="Times New Roman" w:cs="Times New Roman"/>
                      <w:sz w:val="20"/>
                      <w:szCs w:val="20"/>
                    </w:rPr>
                    <w:t xml:space="preserve">2. Připomínka: </w:t>
                  </w:r>
                  <w:proofErr w:type="spellStart"/>
                  <w:r w:rsidRPr="0035187E">
                    <w:rPr>
                      <w:rFonts w:ascii="Times New Roman" w:hAnsi="Times New Roman" w:cs="Times New Roman"/>
                      <w:sz w:val="20"/>
                      <w:szCs w:val="20"/>
                    </w:rPr>
                    <w:t>Offline</w:t>
                  </w:r>
                  <w:proofErr w:type="spellEnd"/>
                  <w:r w:rsidRPr="0035187E">
                    <w:rPr>
                      <w:rFonts w:ascii="Times New Roman" w:hAnsi="Times New Roman" w:cs="Times New Roman"/>
                      <w:sz w:val="20"/>
                      <w:szCs w:val="20"/>
                    </w:rPr>
                    <w:t xml:space="preserve"> režim a stánkový </w:t>
                  </w:r>
                  <w:proofErr w:type="gramStart"/>
                  <w:r w:rsidRPr="0035187E">
                    <w:rPr>
                      <w:rFonts w:ascii="Times New Roman" w:hAnsi="Times New Roman" w:cs="Times New Roman"/>
                      <w:sz w:val="20"/>
                      <w:szCs w:val="20"/>
                    </w:rPr>
                    <w:t>prodej - Prodloužení</w:t>
                  </w:r>
                  <w:proofErr w:type="gramEnd"/>
                  <w:r w:rsidRPr="0035187E">
                    <w:rPr>
                      <w:rFonts w:ascii="Times New Roman" w:hAnsi="Times New Roman" w:cs="Times New Roman"/>
                      <w:sz w:val="20"/>
                      <w:szCs w:val="20"/>
                    </w:rPr>
                    <w:t xml:space="preserve"> lhůty pro stánkový prodej na akcích</w:t>
                  </w:r>
                </w:p>
              </w:tc>
            </w:tr>
            <w:tr w:rsidR="007F798C" w:rsidRPr="0035187E" w14:paraId="76BA9323" w14:textId="77777777" w:rsidTr="007F798C">
              <w:trPr>
                <w:trHeight w:val="288"/>
              </w:trPr>
              <w:tc>
                <w:tcPr>
                  <w:tcW w:w="1229" w:type="dxa"/>
                  <w:noWrap/>
                  <w:hideMark/>
                </w:tcPr>
                <w:p w14:paraId="347F03AC" w14:textId="77777777" w:rsidR="007F798C" w:rsidRPr="0035187E" w:rsidRDefault="007F798C" w:rsidP="0035187E">
                  <w:pPr>
                    <w:rPr>
                      <w:rFonts w:ascii="Times New Roman" w:hAnsi="Times New Roman" w:cs="Times New Roman"/>
                      <w:sz w:val="20"/>
                      <w:szCs w:val="20"/>
                    </w:rPr>
                  </w:pPr>
                  <w:r w:rsidRPr="0035187E">
                    <w:rPr>
                      <w:rFonts w:ascii="Times New Roman" w:hAnsi="Times New Roman" w:cs="Times New Roman"/>
                      <w:sz w:val="20"/>
                      <w:szCs w:val="20"/>
                    </w:rPr>
                    <w:t>§ 5 odst. 2</w:t>
                  </w:r>
                </w:p>
              </w:tc>
              <w:tc>
                <w:tcPr>
                  <w:tcW w:w="1601" w:type="dxa"/>
                  <w:noWrap/>
                  <w:hideMark/>
                </w:tcPr>
                <w:p w14:paraId="07BCC02B" w14:textId="77777777" w:rsidR="007F798C" w:rsidRPr="0035187E" w:rsidRDefault="007F798C" w:rsidP="0035187E">
                  <w:pPr>
                    <w:rPr>
                      <w:rFonts w:ascii="Times New Roman" w:hAnsi="Times New Roman" w:cs="Times New Roman"/>
                      <w:sz w:val="20"/>
                      <w:szCs w:val="20"/>
                    </w:rPr>
                  </w:pPr>
                  <w:r w:rsidRPr="0035187E">
                    <w:rPr>
                      <w:rFonts w:ascii="Times New Roman" w:hAnsi="Times New Roman" w:cs="Times New Roman"/>
                      <w:sz w:val="20"/>
                      <w:szCs w:val="20"/>
                    </w:rPr>
                    <w:t>Dvojfázová evidence uzavřených platebních systémů</w:t>
                  </w:r>
                </w:p>
              </w:tc>
              <w:tc>
                <w:tcPr>
                  <w:tcW w:w="4053" w:type="dxa"/>
                  <w:noWrap/>
                  <w:hideMark/>
                </w:tcPr>
                <w:p w14:paraId="6F24ED90" w14:textId="77777777" w:rsidR="007F798C" w:rsidRPr="0035187E" w:rsidRDefault="007F798C" w:rsidP="0035187E">
                  <w:pPr>
                    <w:rPr>
                      <w:rFonts w:ascii="Times New Roman" w:hAnsi="Times New Roman" w:cs="Times New Roman"/>
                      <w:sz w:val="20"/>
                      <w:szCs w:val="20"/>
                    </w:rPr>
                  </w:pPr>
                  <w:r w:rsidRPr="0035187E">
                    <w:rPr>
                      <w:rFonts w:ascii="Times New Roman" w:hAnsi="Times New Roman" w:cs="Times New Roman"/>
                      <w:sz w:val="20"/>
                      <w:szCs w:val="20"/>
                    </w:rPr>
                    <w:t>5. Připomínka: Technické připomínky</w:t>
                  </w:r>
                </w:p>
              </w:tc>
            </w:tr>
            <w:tr w:rsidR="007F798C" w:rsidRPr="0035187E" w14:paraId="51798B8A" w14:textId="77777777" w:rsidTr="007F798C">
              <w:trPr>
                <w:trHeight w:val="288"/>
              </w:trPr>
              <w:tc>
                <w:tcPr>
                  <w:tcW w:w="1229" w:type="dxa"/>
                  <w:noWrap/>
                  <w:hideMark/>
                </w:tcPr>
                <w:p w14:paraId="6EABA038" w14:textId="77777777" w:rsidR="007F798C" w:rsidRPr="0035187E" w:rsidRDefault="007F798C" w:rsidP="0035187E">
                  <w:pPr>
                    <w:rPr>
                      <w:rFonts w:ascii="Times New Roman" w:hAnsi="Times New Roman" w:cs="Times New Roman"/>
                      <w:sz w:val="20"/>
                      <w:szCs w:val="20"/>
                    </w:rPr>
                  </w:pPr>
                  <w:r w:rsidRPr="0035187E">
                    <w:rPr>
                      <w:rFonts w:ascii="Times New Roman" w:hAnsi="Times New Roman" w:cs="Times New Roman"/>
                      <w:sz w:val="20"/>
                      <w:szCs w:val="20"/>
                    </w:rPr>
                    <w:t>§ 11</w:t>
                  </w:r>
                </w:p>
              </w:tc>
              <w:tc>
                <w:tcPr>
                  <w:tcW w:w="1601" w:type="dxa"/>
                  <w:noWrap/>
                  <w:hideMark/>
                </w:tcPr>
                <w:p w14:paraId="492E83F2" w14:textId="77777777" w:rsidR="007F798C" w:rsidRPr="0035187E" w:rsidRDefault="007F798C" w:rsidP="0035187E">
                  <w:pPr>
                    <w:rPr>
                      <w:rFonts w:ascii="Times New Roman" w:hAnsi="Times New Roman" w:cs="Times New Roman"/>
                      <w:sz w:val="20"/>
                      <w:szCs w:val="20"/>
                    </w:rPr>
                  </w:pPr>
                  <w:r w:rsidRPr="0035187E">
                    <w:rPr>
                      <w:rFonts w:ascii="Times New Roman" w:hAnsi="Times New Roman" w:cs="Times New Roman"/>
                      <w:sz w:val="20"/>
                      <w:szCs w:val="20"/>
                    </w:rPr>
                    <w:t>Pověření k evidenci tržeb</w:t>
                  </w:r>
                </w:p>
              </w:tc>
              <w:tc>
                <w:tcPr>
                  <w:tcW w:w="4053" w:type="dxa"/>
                  <w:noWrap/>
                  <w:hideMark/>
                </w:tcPr>
                <w:p w14:paraId="1888C1A5" w14:textId="77777777" w:rsidR="007F798C" w:rsidRPr="0035187E" w:rsidRDefault="007F798C" w:rsidP="0035187E">
                  <w:pPr>
                    <w:rPr>
                      <w:rFonts w:ascii="Times New Roman" w:hAnsi="Times New Roman" w:cs="Times New Roman"/>
                      <w:sz w:val="20"/>
                      <w:szCs w:val="20"/>
                    </w:rPr>
                  </w:pPr>
                  <w:r w:rsidRPr="0035187E">
                    <w:rPr>
                      <w:rFonts w:ascii="Times New Roman" w:hAnsi="Times New Roman" w:cs="Times New Roman"/>
                      <w:sz w:val="20"/>
                      <w:szCs w:val="20"/>
                    </w:rPr>
                    <w:t xml:space="preserve">3. Připomínka: Pověření k evidenci tržeb platební </w:t>
                  </w:r>
                  <w:proofErr w:type="gramStart"/>
                  <w:r w:rsidRPr="0035187E">
                    <w:rPr>
                      <w:rFonts w:ascii="Times New Roman" w:hAnsi="Times New Roman" w:cs="Times New Roman"/>
                      <w:sz w:val="20"/>
                      <w:szCs w:val="20"/>
                    </w:rPr>
                    <w:t>platformou - Výslovná</w:t>
                  </w:r>
                  <w:proofErr w:type="gramEnd"/>
                  <w:r w:rsidRPr="0035187E">
                    <w:rPr>
                      <w:rFonts w:ascii="Times New Roman" w:hAnsi="Times New Roman" w:cs="Times New Roman"/>
                      <w:sz w:val="20"/>
                      <w:szCs w:val="20"/>
                    </w:rPr>
                    <w:t xml:space="preserve"> úprava pověření pro provozovatele platebních systémů</w:t>
                  </w:r>
                </w:p>
              </w:tc>
            </w:tr>
            <w:tr w:rsidR="007F798C" w:rsidRPr="0035187E" w14:paraId="798BFB96" w14:textId="77777777" w:rsidTr="007F798C">
              <w:trPr>
                <w:trHeight w:val="288"/>
              </w:trPr>
              <w:tc>
                <w:tcPr>
                  <w:tcW w:w="1229" w:type="dxa"/>
                  <w:noWrap/>
                  <w:hideMark/>
                </w:tcPr>
                <w:p w14:paraId="3EEB1A9A" w14:textId="77777777" w:rsidR="007F798C" w:rsidRPr="0035187E" w:rsidRDefault="007F798C" w:rsidP="0035187E">
                  <w:pPr>
                    <w:rPr>
                      <w:rFonts w:ascii="Times New Roman" w:hAnsi="Times New Roman" w:cs="Times New Roman"/>
                      <w:sz w:val="20"/>
                      <w:szCs w:val="20"/>
                    </w:rPr>
                  </w:pPr>
                  <w:r w:rsidRPr="0035187E">
                    <w:rPr>
                      <w:rFonts w:ascii="Times New Roman" w:hAnsi="Times New Roman" w:cs="Times New Roman"/>
                      <w:sz w:val="20"/>
                      <w:szCs w:val="20"/>
                    </w:rPr>
                    <w:t>§ 12 odst. 3</w:t>
                  </w:r>
                </w:p>
              </w:tc>
              <w:tc>
                <w:tcPr>
                  <w:tcW w:w="1601" w:type="dxa"/>
                  <w:noWrap/>
                  <w:hideMark/>
                </w:tcPr>
                <w:p w14:paraId="5C686E3E" w14:textId="77777777" w:rsidR="007F798C" w:rsidRPr="0035187E" w:rsidRDefault="007F798C" w:rsidP="0035187E">
                  <w:pPr>
                    <w:rPr>
                      <w:rFonts w:ascii="Times New Roman" w:hAnsi="Times New Roman" w:cs="Times New Roman"/>
                      <w:sz w:val="20"/>
                      <w:szCs w:val="20"/>
                    </w:rPr>
                  </w:pPr>
                  <w:r w:rsidRPr="0035187E">
                    <w:rPr>
                      <w:rFonts w:ascii="Times New Roman" w:hAnsi="Times New Roman" w:cs="Times New Roman"/>
                      <w:sz w:val="20"/>
                      <w:szCs w:val="20"/>
                    </w:rPr>
                    <w:t>Přirážka zprošťující povinnosti</w:t>
                  </w:r>
                </w:p>
              </w:tc>
              <w:tc>
                <w:tcPr>
                  <w:tcW w:w="4053" w:type="dxa"/>
                  <w:noWrap/>
                  <w:hideMark/>
                </w:tcPr>
                <w:p w14:paraId="2D5A3ABC" w14:textId="77777777" w:rsidR="007F798C" w:rsidRPr="0035187E" w:rsidRDefault="007F798C" w:rsidP="0035187E">
                  <w:pPr>
                    <w:rPr>
                      <w:rFonts w:ascii="Times New Roman" w:hAnsi="Times New Roman" w:cs="Times New Roman"/>
                      <w:sz w:val="20"/>
                      <w:szCs w:val="20"/>
                    </w:rPr>
                  </w:pPr>
                  <w:r w:rsidRPr="0035187E">
                    <w:rPr>
                      <w:rFonts w:ascii="Times New Roman" w:hAnsi="Times New Roman" w:cs="Times New Roman"/>
                      <w:sz w:val="20"/>
                      <w:szCs w:val="20"/>
                    </w:rPr>
                    <w:t>4. Připomínka: Výjimky a zvláštní režim pro koncerty/festivaly a jiné jednorázové akce – Rozšíření výjimek pro jednorázové akce</w:t>
                  </w:r>
                </w:p>
              </w:tc>
            </w:tr>
            <w:tr w:rsidR="007F798C" w:rsidRPr="0035187E" w14:paraId="282FFA94" w14:textId="77777777" w:rsidTr="007F798C">
              <w:trPr>
                <w:trHeight w:val="288"/>
              </w:trPr>
              <w:tc>
                <w:tcPr>
                  <w:tcW w:w="1229" w:type="dxa"/>
                  <w:noWrap/>
                  <w:hideMark/>
                </w:tcPr>
                <w:p w14:paraId="0A3F99AA" w14:textId="77777777" w:rsidR="007F798C" w:rsidRPr="0035187E" w:rsidRDefault="007F798C" w:rsidP="0035187E">
                  <w:pPr>
                    <w:rPr>
                      <w:rFonts w:ascii="Times New Roman" w:hAnsi="Times New Roman" w:cs="Times New Roman"/>
                      <w:sz w:val="20"/>
                      <w:szCs w:val="20"/>
                    </w:rPr>
                  </w:pPr>
                  <w:r w:rsidRPr="0035187E">
                    <w:rPr>
                      <w:rFonts w:ascii="Times New Roman" w:hAnsi="Times New Roman" w:cs="Times New Roman"/>
                      <w:sz w:val="20"/>
                      <w:szCs w:val="20"/>
                    </w:rPr>
                    <w:t>§ 14 odst. 4</w:t>
                  </w:r>
                </w:p>
              </w:tc>
              <w:tc>
                <w:tcPr>
                  <w:tcW w:w="1601" w:type="dxa"/>
                  <w:noWrap/>
                  <w:hideMark/>
                </w:tcPr>
                <w:p w14:paraId="44F6BF16" w14:textId="77777777" w:rsidR="007F798C" w:rsidRPr="0035187E" w:rsidRDefault="007F798C" w:rsidP="0035187E">
                  <w:pPr>
                    <w:rPr>
                      <w:rFonts w:ascii="Times New Roman" w:hAnsi="Times New Roman" w:cs="Times New Roman"/>
                      <w:sz w:val="20"/>
                      <w:szCs w:val="20"/>
                    </w:rPr>
                  </w:pPr>
                  <w:r w:rsidRPr="0035187E">
                    <w:rPr>
                      <w:rFonts w:ascii="Times New Roman" w:hAnsi="Times New Roman" w:cs="Times New Roman"/>
                      <w:sz w:val="20"/>
                      <w:szCs w:val="20"/>
                    </w:rPr>
                    <w:t>Vynětí – samoobslužná zařízení</w:t>
                  </w:r>
                </w:p>
              </w:tc>
              <w:tc>
                <w:tcPr>
                  <w:tcW w:w="4053" w:type="dxa"/>
                  <w:noWrap/>
                  <w:hideMark/>
                </w:tcPr>
                <w:p w14:paraId="490D8EE6" w14:textId="77777777" w:rsidR="007F798C" w:rsidRPr="0035187E" w:rsidRDefault="007F798C" w:rsidP="0035187E">
                  <w:pPr>
                    <w:rPr>
                      <w:rFonts w:ascii="Times New Roman" w:hAnsi="Times New Roman" w:cs="Times New Roman"/>
                      <w:sz w:val="20"/>
                      <w:szCs w:val="20"/>
                    </w:rPr>
                  </w:pPr>
                  <w:r w:rsidRPr="0035187E">
                    <w:rPr>
                      <w:rFonts w:ascii="Times New Roman" w:hAnsi="Times New Roman" w:cs="Times New Roman"/>
                      <w:sz w:val="20"/>
                      <w:szCs w:val="20"/>
                    </w:rPr>
                    <w:t>4. Připomínka: Výjimky a zvláštní režim pro koncerty/festivaly a jiné jednorázové akce – Rozšíření výjimek pro jednorázové akce</w:t>
                  </w:r>
                </w:p>
              </w:tc>
            </w:tr>
            <w:tr w:rsidR="007F798C" w:rsidRPr="0035187E" w14:paraId="6D81399E" w14:textId="77777777" w:rsidTr="007F798C">
              <w:trPr>
                <w:trHeight w:val="288"/>
              </w:trPr>
              <w:tc>
                <w:tcPr>
                  <w:tcW w:w="1229" w:type="dxa"/>
                  <w:noWrap/>
                  <w:hideMark/>
                </w:tcPr>
                <w:p w14:paraId="53ACBE41" w14:textId="77777777" w:rsidR="007F798C" w:rsidRPr="0035187E" w:rsidRDefault="007F798C" w:rsidP="0035187E">
                  <w:pPr>
                    <w:rPr>
                      <w:rFonts w:ascii="Times New Roman" w:hAnsi="Times New Roman" w:cs="Times New Roman"/>
                      <w:sz w:val="20"/>
                      <w:szCs w:val="20"/>
                    </w:rPr>
                  </w:pPr>
                  <w:r w:rsidRPr="0035187E">
                    <w:rPr>
                      <w:rFonts w:ascii="Times New Roman" w:hAnsi="Times New Roman" w:cs="Times New Roman"/>
                      <w:sz w:val="20"/>
                      <w:szCs w:val="20"/>
                    </w:rPr>
                    <w:lastRenderedPageBreak/>
                    <w:t>§ 6 odst. 1 písm. e)</w:t>
                  </w:r>
                </w:p>
              </w:tc>
              <w:tc>
                <w:tcPr>
                  <w:tcW w:w="1601" w:type="dxa"/>
                  <w:noWrap/>
                  <w:hideMark/>
                </w:tcPr>
                <w:p w14:paraId="250BB030" w14:textId="77777777" w:rsidR="007F798C" w:rsidRPr="0035187E" w:rsidRDefault="007F798C" w:rsidP="0035187E">
                  <w:pPr>
                    <w:rPr>
                      <w:rFonts w:ascii="Times New Roman" w:hAnsi="Times New Roman" w:cs="Times New Roman"/>
                      <w:sz w:val="20"/>
                      <w:szCs w:val="20"/>
                    </w:rPr>
                  </w:pPr>
                  <w:r w:rsidRPr="0035187E">
                    <w:rPr>
                      <w:rFonts w:ascii="Times New Roman" w:hAnsi="Times New Roman" w:cs="Times New Roman"/>
                      <w:sz w:val="20"/>
                      <w:szCs w:val="20"/>
                    </w:rPr>
                    <w:t>Formální náležitosti – uzavřené platební systémy</w:t>
                  </w:r>
                </w:p>
              </w:tc>
              <w:tc>
                <w:tcPr>
                  <w:tcW w:w="4053" w:type="dxa"/>
                  <w:noWrap/>
                  <w:hideMark/>
                </w:tcPr>
                <w:p w14:paraId="4C72DC7B" w14:textId="77777777" w:rsidR="007F798C" w:rsidRPr="0035187E" w:rsidRDefault="007F798C" w:rsidP="0035187E">
                  <w:pPr>
                    <w:rPr>
                      <w:rFonts w:ascii="Times New Roman" w:hAnsi="Times New Roman" w:cs="Times New Roman"/>
                      <w:sz w:val="20"/>
                      <w:szCs w:val="20"/>
                    </w:rPr>
                  </w:pPr>
                  <w:r w:rsidRPr="0035187E">
                    <w:rPr>
                      <w:rFonts w:ascii="Times New Roman" w:hAnsi="Times New Roman" w:cs="Times New Roman"/>
                      <w:sz w:val="20"/>
                      <w:szCs w:val="20"/>
                    </w:rPr>
                    <w:t>5. Připomínka: Technické připomínky</w:t>
                  </w:r>
                </w:p>
              </w:tc>
            </w:tr>
            <w:tr w:rsidR="007F798C" w:rsidRPr="0035187E" w14:paraId="05F822F9" w14:textId="77777777" w:rsidTr="007F798C">
              <w:trPr>
                <w:trHeight w:val="288"/>
              </w:trPr>
              <w:tc>
                <w:tcPr>
                  <w:tcW w:w="1229" w:type="dxa"/>
                  <w:noWrap/>
                  <w:hideMark/>
                </w:tcPr>
                <w:p w14:paraId="118C418F" w14:textId="77777777" w:rsidR="007F798C" w:rsidRPr="0035187E" w:rsidRDefault="007F798C" w:rsidP="0035187E">
                  <w:pPr>
                    <w:rPr>
                      <w:rFonts w:ascii="Times New Roman" w:hAnsi="Times New Roman" w:cs="Times New Roman"/>
                      <w:sz w:val="20"/>
                      <w:szCs w:val="20"/>
                    </w:rPr>
                  </w:pPr>
                  <w:r w:rsidRPr="0035187E">
                    <w:rPr>
                      <w:rFonts w:ascii="Times New Roman" w:hAnsi="Times New Roman" w:cs="Times New Roman"/>
                      <w:sz w:val="20"/>
                      <w:szCs w:val="20"/>
                    </w:rPr>
                    <w:t>§ 18</w:t>
                  </w:r>
                </w:p>
              </w:tc>
              <w:tc>
                <w:tcPr>
                  <w:tcW w:w="1601" w:type="dxa"/>
                  <w:noWrap/>
                  <w:hideMark/>
                </w:tcPr>
                <w:p w14:paraId="4CBBD8CD" w14:textId="77777777" w:rsidR="007F798C" w:rsidRPr="0035187E" w:rsidRDefault="007F798C" w:rsidP="0035187E">
                  <w:pPr>
                    <w:rPr>
                      <w:rFonts w:ascii="Times New Roman" w:hAnsi="Times New Roman" w:cs="Times New Roman"/>
                      <w:sz w:val="20"/>
                      <w:szCs w:val="20"/>
                    </w:rPr>
                  </w:pPr>
                  <w:r w:rsidRPr="0035187E">
                    <w:rPr>
                      <w:rFonts w:ascii="Times New Roman" w:hAnsi="Times New Roman" w:cs="Times New Roman"/>
                      <w:sz w:val="20"/>
                      <w:szCs w:val="20"/>
                    </w:rPr>
                    <w:t>Údaje o evidované tržbě (XML)</w:t>
                  </w:r>
                </w:p>
              </w:tc>
              <w:tc>
                <w:tcPr>
                  <w:tcW w:w="4053" w:type="dxa"/>
                  <w:noWrap/>
                  <w:hideMark/>
                </w:tcPr>
                <w:p w14:paraId="5D78FFBF" w14:textId="77777777" w:rsidR="007F798C" w:rsidRPr="0035187E" w:rsidRDefault="007F798C" w:rsidP="0035187E">
                  <w:pPr>
                    <w:rPr>
                      <w:rFonts w:ascii="Times New Roman" w:hAnsi="Times New Roman" w:cs="Times New Roman"/>
                      <w:sz w:val="20"/>
                      <w:szCs w:val="20"/>
                    </w:rPr>
                  </w:pPr>
                  <w:r w:rsidRPr="0035187E">
                    <w:rPr>
                      <w:rFonts w:ascii="Times New Roman" w:hAnsi="Times New Roman" w:cs="Times New Roman"/>
                      <w:sz w:val="20"/>
                      <w:szCs w:val="20"/>
                    </w:rPr>
                    <w:t xml:space="preserve">5. Připomínka: Technické </w:t>
                  </w:r>
                  <w:proofErr w:type="gramStart"/>
                  <w:r w:rsidRPr="0035187E">
                    <w:rPr>
                      <w:rFonts w:ascii="Times New Roman" w:hAnsi="Times New Roman" w:cs="Times New Roman"/>
                      <w:sz w:val="20"/>
                      <w:szCs w:val="20"/>
                    </w:rPr>
                    <w:t>připomínky - Dvoufázová</w:t>
                  </w:r>
                  <w:proofErr w:type="gramEnd"/>
                  <w:r w:rsidRPr="0035187E">
                    <w:rPr>
                      <w:rFonts w:ascii="Times New Roman" w:hAnsi="Times New Roman" w:cs="Times New Roman"/>
                      <w:sz w:val="20"/>
                      <w:szCs w:val="20"/>
                    </w:rPr>
                    <w:t xml:space="preserve"> evidence uzavřených platebních systémů a Ochrana osobních údajů</w:t>
                  </w:r>
                </w:p>
              </w:tc>
            </w:tr>
          </w:tbl>
          <w:p w14:paraId="20C42426" w14:textId="085C6771" w:rsidR="007F798C" w:rsidRPr="0035187E" w:rsidRDefault="007F798C" w:rsidP="0035187E">
            <w:pPr>
              <w:autoSpaceDE w:val="0"/>
              <w:autoSpaceDN w:val="0"/>
              <w:adjustRightInd w:val="0"/>
              <w:jc w:val="both"/>
              <w:rPr>
                <w:rFonts w:ascii="Times New Roman" w:hAnsi="Times New Roman" w:cs="Times New Roman"/>
                <w:b/>
                <w:sz w:val="20"/>
                <w:szCs w:val="20"/>
              </w:rPr>
            </w:pPr>
          </w:p>
        </w:tc>
        <w:tc>
          <w:tcPr>
            <w:tcW w:w="1453" w:type="pct"/>
            <w:tcBorders>
              <w:top w:val="single" w:sz="4" w:space="0" w:color="auto"/>
              <w:left w:val="single" w:sz="4" w:space="0" w:color="auto"/>
              <w:right w:val="single" w:sz="4" w:space="0" w:color="auto"/>
            </w:tcBorders>
            <w:shd w:val="clear" w:color="auto" w:fill="auto"/>
          </w:tcPr>
          <w:p w14:paraId="584336D0" w14:textId="77777777" w:rsidR="00F4777B" w:rsidRPr="0035187E" w:rsidRDefault="00A02B0E"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Bere se na vědomí.</w:t>
            </w:r>
          </w:p>
          <w:p w14:paraId="1FAB8858" w14:textId="02DD0B92" w:rsidR="00A02B0E" w:rsidRPr="0035187E" w:rsidRDefault="00A02B0E" w:rsidP="0035187E">
            <w:pPr>
              <w:jc w:val="both"/>
              <w:rPr>
                <w:rFonts w:ascii="Times New Roman" w:hAnsi="Times New Roman" w:cs="Times New Roman"/>
                <w:sz w:val="20"/>
                <w:szCs w:val="20"/>
              </w:rPr>
            </w:pPr>
            <w:r w:rsidRPr="0035187E">
              <w:rPr>
                <w:rFonts w:ascii="Times New Roman" w:hAnsi="Times New Roman" w:cs="Times New Roman"/>
                <w:sz w:val="20"/>
                <w:szCs w:val="20"/>
              </w:rPr>
              <w:t>Viz vypořádání konkrétních připomínek souvisejících s danou oblastí.</w:t>
            </w:r>
          </w:p>
        </w:tc>
      </w:tr>
      <w:tr w:rsidR="0035187E" w:rsidRPr="0035187E" w14:paraId="48C9FC36"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11745F5" w14:textId="30600E0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129.</w:t>
            </w:r>
          </w:p>
        </w:tc>
        <w:tc>
          <w:tcPr>
            <w:tcW w:w="583" w:type="pct"/>
            <w:tcBorders>
              <w:top w:val="single" w:sz="4" w:space="0" w:color="auto"/>
              <w:left w:val="single" w:sz="4" w:space="0" w:color="auto"/>
              <w:right w:val="single" w:sz="4" w:space="0" w:color="auto"/>
            </w:tcBorders>
            <w:shd w:val="clear" w:color="auto" w:fill="auto"/>
          </w:tcPr>
          <w:p w14:paraId="74E375C8" w14:textId="7007752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FESTAS, festivalová asociace </w:t>
            </w:r>
            <w:proofErr w:type="spellStart"/>
            <w:r w:rsidRPr="0035187E">
              <w:rPr>
                <w:rFonts w:ascii="Times New Roman" w:hAnsi="Times New Roman" w:cs="Times New Roman"/>
                <w:sz w:val="20"/>
                <w:szCs w:val="20"/>
              </w:rPr>
              <w:t>z.s</w:t>
            </w:r>
            <w:proofErr w:type="spellEnd"/>
            <w:r w:rsidRPr="0035187E">
              <w:rPr>
                <w:rFonts w:ascii="Times New Roman" w:hAnsi="Times New Roman" w:cs="Times New Roman"/>
                <w:sz w:val="20"/>
                <w:szCs w:val="20"/>
              </w:rPr>
              <w:t>.</w:t>
            </w:r>
          </w:p>
        </w:tc>
        <w:tc>
          <w:tcPr>
            <w:tcW w:w="168" w:type="pct"/>
            <w:tcBorders>
              <w:top w:val="single" w:sz="4" w:space="0" w:color="auto"/>
              <w:left w:val="single" w:sz="4" w:space="0" w:color="auto"/>
              <w:right w:val="single" w:sz="4" w:space="0" w:color="auto"/>
            </w:tcBorders>
            <w:shd w:val="clear" w:color="auto" w:fill="auto"/>
          </w:tcPr>
          <w:p w14:paraId="552A792F" w14:textId="4899AA3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w:t>
            </w:r>
          </w:p>
        </w:tc>
        <w:tc>
          <w:tcPr>
            <w:tcW w:w="169" w:type="pct"/>
            <w:tcBorders>
              <w:top w:val="single" w:sz="4" w:space="0" w:color="auto"/>
              <w:left w:val="single" w:sz="4" w:space="0" w:color="auto"/>
              <w:right w:val="single" w:sz="4" w:space="0" w:color="auto"/>
            </w:tcBorders>
            <w:shd w:val="clear" w:color="auto" w:fill="auto"/>
          </w:tcPr>
          <w:p w14:paraId="5977EB4C" w14:textId="4A24C25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7C47F3F"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 xml:space="preserve">ZÁSADNÍ KONKRÉTNÍ PŘIPOMÍNKY </w:t>
            </w:r>
          </w:p>
          <w:p w14:paraId="223F37DB"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1. Připomínka k části </w:t>
            </w:r>
            <w:r w:rsidRPr="0035187E">
              <w:rPr>
                <w:rFonts w:ascii="Times New Roman" w:hAnsi="Times New Roman" w:cs="Times New Roman"/>
                <w:b/>
                <w:bCs/>
                <w:sz w:val="20"/>
                <w:szCs w:val="20"/>
              </w:rPr>
              <w:t xml:space="preserve">Digitální </w:t>
            </w:r>
            <w:proofErr w:type="gramStart"/>
            <w:r w:rsidRPr="0035187E">
              <w:rPr>
                <w:rFonts w:ascii="Times New Roman" w:hAnsi="Times New Roman" w:cs="Times New Roman"/>
                <w:b/>
                <w:bCs/>
                <w:sz w:val="20"/>
                <w:szCs w:val="20"/>
              </w:rPr>
              <w:t>doklady - Explicitní</w:t>
            </w:r>
            <w:proofErr w:type="gramEnd"/>
            <w:r w:rsidRPr="0035187E">
              <w:rPr>
                <w:rFonts w:ascii="Times New Roman" w:hAnsi="Times New Roman" w:cs="Times New Roman"/>
                <w:b/>
                <w:bCs/>
                <w:sz w:val="20"/>
                <w:szCs w:val="20"/>
              </w:rPr>
              <w:t xml:space="preserve"> potvrzení přípustnosti digitální formy </w:t>
            </w:r>
          </w:p>
          <w:p w14:paraId="39218607" w14:textId="6B9D16C8" w:rsidR="000B4BD4" w:rsidRPr="0035187E" w:rsidRDefault="000B4BD4" w:rsidP="0035187E">
            <w:pPr>
              <w:pStyle w:val="Zkladntext21"/>
              <w:framePr w:hSpace="0" w:wrap="auto" w:vAnchor="margin" w:hAnchor="text" w:yAlign="inline"/>
              <w:tabs>
                <w:tab w:val="left" w:pos="0"/>
              </w:tabs>
              <w:rPr>
                <w:rFonts w:ascii="Times New Roman" w:hAnsi="Times New Roman"/>
                <w:b w:val="0"/>
                <w:sz w:val="20"/>
              </w:rPr>
            </w:pPr>
            <w:r w:rsidRPr="0035187E">
              <w:rPr>
                <w:rFonts w:ascii="Times New Roman" w:hAnsi="Times New Roman"/>
                <w:b w:val="0"/>
                <w:sz w:val="20"/>
              </w:rPr>
              <w:t>Návrh zákona přináší zásadní pozitivní změnu oproti původnímu EET – ruší povinnost automaticky vystavit a předat účtenku zákazníkovi při každé transakci. Dle § 17 odst. 1 návrhu je poplatník povinen evidovat tržbu zasláním údajů správci daně, avšak povinnost vystavit účtenku není stanovena.</w:t>
            </w:r>
          </w:p>
          <w:p w14:paraId="047FD5AB" w14:textId="77777777" w:rsidR="000B4BD4" w:rsidRPr="0035187E" w:rsidRDefault="000B4BD4" w:rsidP="0035187E">
            <w:pPr>
              <w:pStyle w:val="Zkladntext21"/>
              <w:framePr w:hSpace="0" w:wrap="auto" w:vAnchor="margin" w:hAnchor="text" w:yAlign="inline"/>
              <w:tabs>
                <w:tab w:val="left" w:pos="0"/>
              </w:tabs>
              <w:rPr>
                <w:rFonts w:ascii="Times New Roman" w:hAnsi="Times New Roman"/>
                <w:b w:val="0"/>
                <w:sz w:val="20"/>
              </w:rPr>
            </w:pPr>
          </w:p>
          <w:p w14:paraId="178264BF" w14:textId="77777777" w:rsidR="000B4BD4" w:rsidRPr="0035187E" w:rsidRDefault="000B4BD4" w:rsidP="0035187E">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 xml:space="preserve">Důvodová zpráva, bod 64: </w:t>
            </w:r>
          </w:p>
          <w:p w14:paraId="005F9FD3" w14:textId="3734C0E3" w:rsidR="000B4BD4" w:rsidRPr="0035187E" w:rsidRDefault="000B4BD4" w:rsidP="0035187E">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„Oproti původnímu řešení se nestanoví povinnost vystavit a předat účtenku zákazníkovi. (...) Zásadní změnu ve prospěch snížení administrativní a materiální náročnosti evidence tržeb lze spatřovat v opuštění povinnosti vystavit účtenku.“ </w:t>
            </w:r>
          </w:p>
          <w:p w14:paraId="7DD88E0A"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6F830A1C" w14:textId="77CE2412"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Povinnost vydat doklad se tak vrací k obecným předpisům, zejména § 16 zákona č. 634/1992 Sb., o ochraně spotřebitele, a § 31 zákona č. 455/1991 Sb., živnostenského zákona, které stanovují povinnost vydat doklad na žádost zákazníka. Ani jeden z těchto předpisů však výslovně neupravuje formu dokladu, tedy zda může být vydán elektronicky. </w:t>
            </w:r>
          </w:p>
          <w:p w14:paraId="3A4AABEB"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54D69860" w14:textId="77777777" w:rsidR="000B4BD4" w:rsidRPr="0035187E" w:rsidRDefault="000B4BD4" w:rsidP="0035187E">
            <w:pPr>
              <w:autoSpaceDE w:val="0"/>
              <w:autoSpaceDN w:val="0"/>
              <w:adjustRightInd w:val="0"/>
              <w:jc w:val="both"/>
              <w:rPr>
                <w:rFonts w:ascii="Times New Roman" w:hAnsi="Times New Roman" w:cs="Times New Roman"/>
                <w:b/>
                <w:bCs/>
                <w:sz w:val="20"/>
                <w:szCs w:val="20"/>
              </w:rPr>
            </w:pPr>
            <w:r w:rsidRPr="0035187E">
              <w:rPr>
                <w:rFonts w:ascii="Times New Roman" w:hAnsi="Times New Roman" w:cs="Times New Roman"/>
                <w:b/>
                <w:bCs/>
                <w:sz w:val="20"/>
                <w:szCs w:val="20"/>
              </w:rPr>
              <w:t xml:space="preserve">Popis problému </w:t>
            </w:r>
          </w:p>
          <w:p w14:paraId="1127D7AD" w14:textId="19B1CB72"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Absence výslovného ustanovení o přípustnosti elektronické formy dokladu vytváří právní nejistotu pro podnikatele, kteří provozují moderní platební systémy bez tiskáren. V prostředí festivalů a akcí je tisk papírových dokladů nejen neekologický (FESTAS dokumentuje 150 kg zbytečného a nerecyklovatelného papírového odpadu na průměrném festivalu s 150 000 transakcemi, kdy výjimkou nejsou ani násobky tohoto objemu), ale i technicky problematický, navíc digitální podoba má pro uživatele mnoho výhod, kdy kontrola objednávek další den i v pozdějších je velmi užitečná. </w:t>
            </w:r>
          </w:p>
          <w:p w14:paraId="6C83DC92"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4089C151" w14:textId="5DB22711" w:rsidR="000B4BD4" w:rsidRPr="0035187E" w:rsidRDefault="000B4BD4" w:rsidP="0035187E">
            <w:pPr>
              <w:autoSpaceDE w:val="0"/>
              <w:autoSpaceDN w:val="0"/>
              <w:adjustRightInd w:val="0"/>
              <w:jc w:val="both"/>
              <w:rPr>
                <w:rFonts w:ascii="Times New Roman" w:hAnsi="Times New Roman" w:cs="Times New Roman"/>
                <w:b/>
                <w:bCs/>
                <w:sz w:val="20"/>
                <w:szCs w:val="20"/>
              </w:rPr>
            </w:pPr>
            <w:r w:rsidRPr="0035187E">
              <w:rPr>
                <w:rFonts w:ascii="Times New Roman" w:hAnsi="Times New Roman" w:cs="Times New Roman"/>
                <w:b/>
                <w:bCs/>
                <w:sz w:val="20"/>
                <w:szCs w:val="20"/>
              </w:rPr>
              <w:t xml:space="preserve">Návrh řešení </w:t>
            </w:r>
          </w:p>
          <w:p w14:paraId="7FCA2679" w14:textId="6D0FCE9C"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Navrhujeme doplnit do návrhu zákona, případně do důvodové zprávy, výslovné ustanovení potvrzující, že doklad vydávaný na žádost zákazníka dle § 16 zákona o ochraně spotřebitele a § 31 živnostenského zákona může být vydán v elektronické podobě, například formou: </w:t>
            </w:r>
          </w:p>
          <w:p w14:paraId="127623EC"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0932FF4C" w14:textId="77777777" w:rsidR="000B4BD4" w:rsidRPr="0035187E" w:rsidRDefault="000B4BD4" w:rsidP="0035187E">
            <w:pPr>
              <w:numPr>
                <w:ilvl w:val="0"/>
                <w:numId w:val="6"/>
              </w:numPr>
              <w:tabs>
                <w:tab w:val="left" w:pos="387"/>
              </w:tabs>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záznamu v mobilní aplikaci nebo na webovém profilu zákazníka </w:t>
            </w:r>
          </w:p>
          <w:p w14:paraId="0478CC85" w14:textId="77777777" w:rsidR="000B4BD4" w:rsidRPr="0035187E" w:rsidRDefault="000B4BD4" w:rsidP="0035187E">
            <w:pPr>
              <w:numPr>
                <w:ilvl w:val="0"/>
                <w:numId w:val="6"/>
              </w:numPr>
              <w:tabs>
                <w:tab w:val="left" w:pos="387"/>
              </w:tabs>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zaslání na e-mailovou adresu zákazníka </w:t>
            </w:r>
          </w:p>
          <w:p w14:paraId="294ACFDA" w14:textId="77777777" w:rsidR="000B4BD4" w:rsidRPr="0035187E" w:rsidRDefault="000B4BD4" w:rsidP="0035187E">
            <w:pPr>
              <w:numPr>
                <w:ilvl w:val="0"/>
                <w:numId w:val="6"/>
              </w:numPr>
              <w:tabs>
                <w:tab w:val="left" w:pos="387"/>
              </w:tabs>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zobrazení QR kódu pro stažení dokladu ihned po vytvoření objednávky </w:t>
            </w:r>
          </w:p>
          <w:p w14:paraId="3614A740" w14:textId="77777777" w:rsidR="000B4BD4" w:rsidRPr="0035187E" w:rsidRDefault="000B4BD4" w:rsidP="0035187E">
            <w:pPr>
              <w:numPr>
                <w:ilvl w:val="0"/>
                <w:numId w:val="6"/>
              </w:numPr>
              <w:tabs>
                <w:tab w:val="left" w:pos="387"/>
              </w:tabs>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lastRenderedPageBreak/>
              <w:t xml:space="preserve">alt. zpřístupnění v zákaznické účtu (i anonymním) na webu pořadatele nebo dodavatele služby </w:t>
            </w:r>
            <w:proofErr w:type="spellStart"/>
            <w:r w:rsidRPr="0035187E">
              <w:rPr>
                <w:rFonts w:ascii="Times New Roman" w:hAnsi="Times New Roman" w:cs="Times New Roman"/>
                <w:sz w:val="20"/>
                <w:szCs w:val="20"/>
              </w:rPr>
              <w:t>cashless</w:t>
            </w:r>
            <w:proofErr w:type="spellEnd"/>
            <w:r w:rsidRPr="0035187E">
              <w:rPr>
                <w:rFonts w:ascii="Times New Roman" w:hAnsi="Times New Roman" w:cs="Times New Roman"/>
                <w:sz w:val="20"/>
                <w:szCs w:val="20"/>
              </w:rPr>
              <w:t xml:space="preserve"> platebního systému </w:t>
            </w:r>
          </w:p>
          <w:p w14:paraId="51611FE9"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1612096F" w14:textId="717509C3" w:rsidR="000B4BD4" w:rsidRPr="0035187E" w:rsidRDefault="000B4BD4" w:rsidP="0035187E">
            <w:pPr>
              <w:autoSpaceDE w:val="0"/>
              <w:autoSpaceDN w:val="0"/>
              <w:adjustRightInd w:val="0"/>
              <w:jc w:val="both"/>
              <w:rPr>
                <w:rFonts w:ascii="Times New Roman" w:hAnsi="Times New Roman" w:cs="Times New Roman"/>
                <w:b/>
                <w:bCs/>
                <w:sz w:val="20"/>
                <w:szCs w:val="20"/>
              </w:rPr>
            </w:pPr>
            <w:r w:rsidRPr="0035187E">
              <w:rPr>
                <w:rFonts w:ascii="Times New Roman" w:hAnsi="Times New Roman" w:cs="Times New Roman"/>
                <w:b/>
                <w:bCs/>
                <w:sz w:val="20"/>
                <w:szCs w:val="20"/>
              </w:rPr>
              <w:t xml:space="preserve">Odůvodnění </w:t>
            </w:r>
          </w:p>
          <w:p w14:paraId="320463F8"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4D00AE5B" w14:textId="77777777" w:rsidR="000B4BD4" w:rsidRPr="0035187E" w:rsidRDefault="000B4BD4" w:rsidP="0035187E">
            <w:pPr>
              <w:pStyle w:val="Odstavecseseznamem"/>
              <w:numPr>
                <w:ilvl w:val="0"/>
                <w:numId w:val="7"/>
              </w:numPr>
              <w:tabs>
                <w:tab w:val="left" w:pos="396"/>
              </w:tabs>
              <w:autoSpaceDE w:val="0"/>
              <w:autoSpaceDN w:val="0"/>
              <w:adjustRightInd w:val="0"/>
              <w:ind w:left="0" w:firstLine="0"/>
              <w:jc w:val="both"/>
              <w:rPr>
                <w:rFonts w:ascii="Times New Roman" w:hAnsi="Times New Roman"/>
                <w:sz w:val="20"/>
                <w:szCs w:val="20"/>
              </w:rPr>
            </w:pPr>
            <w:r w:rsidRPr="0035187E">
              <w:rPr>
                <w:rFonts w:ascii="Times New Roman" w:hAnsi="Times New Roman"/>
                <w:sz w:val="20"/>
                <w:szCs w:val="20"/>
                <w:u w:val="single"/>
              </w:rPr>
              <w:t>Soulad s digitalizací státní správy</w:t>
            </w:r>
            <w:r w:rsidRPr="0035187E">
              <w:rPr>
                <w:rFonts w:ascii="Times New Roman" w:hAnsi="Times New Roman"/>
                <w:sz w:val="20"/>
                <w:szCs w:val="20"/>
              </w:rPr>
              <w:t xml:space="preserve">: Zákon č. 12/2020 Sb., o právu na digitální služby, předpokládá primárně digitální komunikaci. Vydávání dokladů by mělo tento trend reflektovat. </w:t>
            </w:r>
          </w:p>
          <w:p w14:paraId="2E2DBA64" w14:textId="77777777" w:rsidR="000B4BD4" w:rsidRPr="0035187E" w:rsidRDefault="000B4BD4" w:rsidP="0035187E">
            <w:pPr>
              <w:pStyle w:val="Odstavecseseznamem"/>
              <w:numPr>
                <w:ilvl w:val="0"/>
                <w:numId w:val="7"/>
              </w:numPr>
              <w:tabs>
                <w:tab w:val="left" w:pos="396"/>
              </w:tabs>
              <w:autoSpaceDE w:val="0"/>
              <w:autoSpaceDN w:val="0"/>
              <w:adjustRightInd w:val="0"/>
              <w:ind w:left="0" w:firstLine="0"/>
              <w:jc w:val="both"/>
              <w:rPr>
                <w:rFonts w:ascii="Times New Roman" w:hAnsi="Times New Roman"/>
                <w:sz w:val="20"/>
                <w:szCs w:val="20"/>
              </w:rPr>
            </w:pPr>
            <w:r w:rsidRPr="0035187E">
              <w:rPr>
                <w:rFonts w:ascii="Times New Roman" w:hAnsi="Times New Roman"/>
                <w:sz w:val="20"/>
                <w:szCs w:val="20"/>
                <w:u w:val="single"/>
              </w:rPr>
              <w:t>Ekologický přínos</w:t>
            </w:r>
            <w:r w:rsidRPr="0035187E">
              <w:rPr>
                <w:rFonts w:ascii="Times New Roman" w:hAnsi="Times New Roman"/>
                <w:sz w:val="20"/>
                <w:szCs w:val="20"/>
              </w:rPr>
              <w:t xml:space="preserve">: Eliminace zbytečného papírového odpadu, zejména v prostředí festivalů. </w:t>
            </w:r>
          </w:p>
          <w:p w14:paraId="2B54664C" w14:textId="77777777" w:rsidR="000B4BD4" w:rsidRPr="0035187E" w:rsidRDefault="000B4BD4" w:rsidP="0035187E">
            <w:pPr>
              <w:pStyle w:val="Odstavecseseznamem"/>
              <w:numPr>
                <w:ilvl w:val="0"/>
                <w:numId w:val="7"/>
              </w:numPr>
              <w:tabs>
                <w:tab w:val="left" w:pos="396"/>
              </w:tabs>
              <w:autoSpaceDE w:val="0"/>
              <w:autoSpaceDN w:val="0"/>
              <w:adjustRightInd w:val="0"/>
              <w:ind w:left="0" w:firstLine="0"/>
              <w:jc w:val="both"/>
              <w:rPr>
                <w:rFonts w:ascii="Times New Roman" w:hAnsi="Times New Roman"/>
                <w:sz w:val="20"/>
                <w:szCs w:val="20"/>
              </w:rPr>
            </w:pPr>
            <w:r w:rsidRPr="0035187E">
              <w:rPr>
                <w:rFonts w:ascii="Times New Roman" w:hAnsi="Times New Roman"/>
                <w:sz w:val="20"/>
                <w:szCs w:val="20"/>
                <w:u w:val="single"/>
              </w:rPr>
              <w:t>Praxe bezhotovostních systémů</w:t>
            </w:r>
            <w:r w:rsidRPr="0035187E">
              <w:rPr>
                <w:rFonts w:ascii="Times New Roman" w:hAnsi="Times New Roman"/>
                <w:sz w:val="20"/>
                <w:szCs w:val="20"/>
              </w:rPr>
              <w:t xml:space="preserve">: </w:t>
            </w:r>
            <w:proofErr w:type="spellStart"/>
            <w:r w:rsidRPr="0035187E">
              <w:rPr>
                <w:rFonts w:ascii="Times New Roman" w:hAnsi="Times New Roman"/>
                <w:sz w:val="20"/>
                <w:szCs w:val="20"/>
              </w:rPr>
              <w:t>NFCtron</w:t>
            </w:r>
            <w:proofErr w:type="spellEnd"/>
            <w:r w:rsidRPr="0035187E">
              <w:rPr>
                <w:rFonts w:ascii="Times New Roman" w:hAnsi="Times New Roman"/>
                <w:sz w:val="20"/>
                <w:szCs w:val="20"/>
              </w:rPr>
              <w:t xml:space="preserve"> a obdobné platformy již dnes poskytují kompletní digitální záznamy o transakcích. Zákazník má trvalý přístup k historii nákupů prostřednictvím aplikace. </w:t>
            </w:r>
          </w:p>
          <w:p w14:paraId="688A99AD" w14:textId="263D5FBB" w:rsidR="000B4BD4" w:rsidRPr="0035187E" w:rsidRDefault="000B4BD4" w:rsidP="0035187E">
            <w:pPr>
              <w:pStyle w:val="Odstavecseseznamem"/>
              <w:numPr>
                <w:ilvl w:val="0"/>
                <w:numId w:val="7"/>
              </w:numPr>
              <w:tabs>
                <w:tab w:val="left" w:pos="396"/>
              </w:tabs>
              <w:autoSpaceDE w:val="0"/>
              <w:autoSpaceDN w:val="0"/>
              <w:adjustRightInd w:val="0"/>
              <w:ind w:left="0" w:firstLine="0"/>
              <w:jc w:val="both"/>
              <w:rPr>
                <w:rFonts w:ascii="Times New Roman" w:hAnsi="Times New Roman"/>
                <w:b/>
                <w:sz w:val="20"/>
                <w:szCs w:val="20"/>
              </w:rPr>
            </w:pPr>
            <w:r w:rsidRPr="0035187E">
              <w:rPr>
                <w:rFonts w:ascii="Times New Roman" w:hAnsi="Times New Roman"/>
                <w:sz w:val="20"/>
                <w:szCs w:val="20"/>
                <w:u w:val="single"/>
              </w:rPr>
              <w:t>Důvodová zpráva, bod 48</w:t>
            </w:r>
            <w:r w:rsidRPr="0035187E">
              <w:rPr>
                <w:rFonts w:ascii="Times New Roman" w:hAnsi="Times New Roman"/>
                <w:sz w:val="20"/>
                <w:szCs w:val="20"/>
              </w:rPr>
              <w:t xml:space="preserve">: „Řešení bude postaveno na nejmodernějších systémech a nebude vyžadovat povinný tisk účtenky.“ Digitální doklady jsou logickým vyústěním tohoto záměru. </w:t>
            </w:r>
          </w:p>
        </w:tc>
        <w:tc>
          <w:tcPr>
            <w:tcW w:w="1453" w:type="pct"/>
            <w:tcBorders>
              <w:top w:val="single" w:sz="4" w:space="0" w:color="auto"/>
              <w:left w:val="single" w:sz="4" w:space="0" w:color="auto"/>
              <w:right w:val="single" w:sz="4" w:space="0" w:color="auto"/>
            </w:tcBorders>
            <w:shd w:val="clear" w:color="auto" w:fill="auto"/>
          </w:tcPr>
          <w:p w14:paraId="633AB587" w14:textId="77777777" w:rsidR="00AA47A8" w:rsidRPr="0035187E" w:rsidRDefault="00AA47A8"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Vysvětleno.</w:t>
            </w:r>
          </w:p>
          <w:p w14:paraId="28365E3C" w14:textId="0CE9CF1F" w:rsidR="00F4777B" w:rsidRPr="0035187E" w:rsidRDefault="00AA47A8" w:rsidP="0035187E">
            <w:pPr>
              <w:jc w:val="both"/>
              <w:rPr>
                <w:rFonts w:ascii="Times New Roman" w:hAnsi="Times New Roman" w:cs="Times New Roman"/>
                <w:sz w:val="20"/>
                <w:szCs w:val="20"/>
              </w:rPr>
            </w:pPr>
            <w:r w:rsidRPr="0035187E">
              <w:rPr>
                <w:rFonts w:ascii="Times New Roman" w:hAnsi="Times New Roman" w:cs="Times New Roman"/>
                <w:sz w:val="20"/>
                <w:szCs w:val="20"/>
              </w:rPr>
              <w:t>Požadavek se netýká navrhované úpravy a nemůže být touto úpravou řešen. Podnět je proto třeba směřovat do právních předpisů, které vystavení příslušného dokladu normují. Ministerstvo financí není gestorem těchto právních předpisů a nemůže se tedy relevantně vyjádřit k tomu, jak je v aplikační praxi právní úprava v této oblasti vykládána.</w:t>
            </w:r>
          </w:p>
        </w:tc>
      </w:tr>
      <w:tr w:rsidR="0035187E" w:rsidRPr="0035187E" w14:paraId="71549B3E"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A83097A" w14:textId="58DD266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129.</w:t>
            </w:r>
          </w:p>
        </w:tc>
        <w:tc>
          <w:tcPr>
            <w:tcW w:w="583" w:type="pct"/>
            <w:tcBorders>
              <w:top w:val="single" w:sz="4" w:space="0" w:color="auto"/>
              <w:left w:val="single" w:sz="4" w:space="0" w:color="auto"/>
              <w:right w:val="single" w:sz="4" w:space="0" w:color="auto"/>
            </w:tcBorders>
            <w:shd w:val="clear" w:color="auto" w:fill="auto"/>
          </w:tcPr>
          <w:p w14:paraId="000F47D8" w14:textId="37175D3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FESTAS, festivalová asociace </w:t>
            </w:r>
            <w:proofErr w:type="spellStart"/>
            <w:r w:rsidRPr="0035187E">
              <w:rPr>
                <w:rFonts w:ascii="Times New Roman" w:hAnsi="Times New Roman" w:cs="Times New Roman"/>
                <w:sz w:val="20"/>
                <w:szCs w:val="20"/>
              </w:rPr>
              <w:t>z.s</w:t>
            </w:r>
            <w:proofErr w:type="spellEnd"/>
            <w:r w:rsidRPr="0035187E">
              <w:rPr>
                <w:rFonts w:ascii="Times New Roman" w:hAnsi="Times New Roman" w:cs="Times New Roman"/>
                <w:sz w:val="20"/>
                <w:szCs w:val="20"/>
              </w:rPr>
              <w:t>.</w:t>
            </w:r>
          </w:p>
        </w:tc>
        <w:tc>
          <w:tcPr>
            <w:tcW w:w="168" w:type="pct"/>
            <w:tcBorders>
              <w:top w:val="single" w:sz="4" w:space="0" w:color="auto"/>
              <w:left w:val="single" w:sz="4" w:space="0" w:color="auto"/>
              <w:right w:val="single" w:sz="4" w:space="0" w:color="auto"/>
            </w:tcBorders>
            <w:shd w:val="clear" w:color="auto" w:fill="auto"/>
          </w:tcPr>
          <w:p w14:paraId="6543D79F" w14:textId="55743BE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3.</w:t>
            </w:r>
          </w:p>
        </w:tc>
        <w:tc>
          <w:tcPr>
            <w:tcW w:w="169" w:type="pct"/>
            <w:tcBorders>
              <w:top w:val="single" w:sz="4" w:space="0" w:color="auto"/>
              <w:left w:val="single" w:sz="4" w:space="0" w:color="auto"/>
              <w:right w:val="single" w:sz="4" w:space="0" w:color="auto"/>
            </w:tcBorders>
            <w:shd w:val="clear" w:color="auto" w:fill="auto"/>
          </w:tcPr>
          <w:p w14:paraId="76B3EAC4" w14:textId="5D19DE0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EDCD2DA" w14:textId="4C7DBC44" w:rsidR="000B4BD4" w:rsidRPr="0035187E" w:rsidRDefault="000B4BD4" w:rsidP="0035187E">
            <w:pPr>
              <w:autoSpaceDE w:val="0"/>
              <w:autoSpaceDN w:val="0"/>
              <w:adjustRightInd w:val="0"/>
              <w:jc w:val="both"/>
              <w:rPr>
                <w:rFonts w:ascii="Times New Roman" w:hAnsi="Times New Roman" w:cs="Times New Roman"/>
                <w:b/>
                <w:bCs/>
                <w:sz w:val="20"/>
                <w:szCs w:val="20"/>
              </w:rPr>
            </w:pPr>
            <w:r w:rsidRPr="0035187E">
              <w:rPr>
                <w:rFonts w:ascii="Times New Roman" w:hAnsi="Times New Roman" w:cs="Times New Roman"/>
                <w:sz w:val="20"/>
                <w:szCs w:val="20"/>
              </w:rPr>
              <w:t xml:space="preserve">2. Připomínka k části </w:t>
            </w:r>
            <w:proofErr w:type="spellStart"/>
            <w:r w:rsidRPr="0035187E">
              <w:rPr>
                <w:rFonts w:ascii="Times New Roman" w:hAnsi="Times New Roman" w:cs="Times New Roman"/>
                <w:b/>
                <w:bCs/>
                <w:sz w:val="20"/>
                <w:szCs w:val="20"/>
              </w:rPr>
              <w:t>Offline</w:t>
            </w:r>
            <w:proofErr w:type="spellEnd"/>
            <w:r w:rsidRPr="0035187E">
              <w:rPr>
                <w:rFonts w:ascii="Times New Roman" w:hAnsi="Times New Roman" w:cs="Times New Roman"/>
                <w:b/>
                <w:bCs/>
                <w:sz w:val="20"/>
                <w:szCs w:val="20"/>
              </w:rPr>
              <w:t xml:space="preserve"> režim a stánkový </w:t>
            </w:r>
            <w:proofErr w:type="gramStart"/>
            <w:r w:rsidRPr="0035187E">
              <w:rPr>
                <w:rFonts w:ascii="Times New Roman" w:hAnsi="Times New Roman" w:cs="Times New Roman"/>
                <w:b/>
                <w:bCs/>
                <w:sz w:val="20"/>
                <w:szCs w:val="20"/>
              </w:rPr>
              <w:t>prodej - Prodloužení</w:t>
            </w:r>
            <w:proofErr w:type="gramEnd"/>
            <w:r w:rsidRPr="0035187E">
              <w:rPr>
                <w:rFonts w:ascii="Times New Roman" w:hAnsi="Times New Roman" w:cs="Times New Roman"/>
                <w:b/>
                <w:bCs/>
                <w:sz w:val="20"/>
                <w:szCs w:val="20"/>
              </w:rPr>
              <w:t xml:space="preserve"> lhůty pro stánkový prodej na akcích </w:t>
            </w:r>
          </w:p>
          <w:p w14:paraId="0EAC6801"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6891B8DA"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 xml:space="preserve">Současný stav v návrhu zákona </w:t>
            </w:r>
          </w:p>
          <w:p w14:paraId="396D8439" w14:textId="071EA60A"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Návrh zákona v § 20 zavádí institut „mezní doby odezvy“, kterou si poplatník nastaví na více než 2 sekundy dle druhu své činnosti. Klíčový je § 21, který stanoví, že při překročení mezní doby odezvy je poplatník povinen zaslat údaje správci daně „bezodkladně po pominutí příčiny, nejpozději však do 48 hodin od uskutečnění evidované tržby“. </w:t>
            </w:r>
          </w:p>
          <w:p w14:paraId="3DD47F89"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3976504E" w14:textId="77777777" w:rsidR="000B4BD4" w:rsidRPr="0035187E" w:rsidRDefault="000B4BD4" w:rsidP="0035187E">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 xml:space="preserve">Důvodová zpráva k § 20–21: </w:t>
            </w:r>
          </w:p>
          <w:p w14:paraId="191CE828" w14:textId="78490977" w:rsidR="000B4BD4" w:rsidRPr="0035187E" w:rsidRDefault="000B4BD4" w:rsidP="0035187E">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„Zákon nepožaduje dogmatické nepřetržité spojení“ – systém umožňuje </w:t>
            </w:r>
            <w:proofErr w:type="spellStart"/>
            <w:r w:rsidRPr="0035187E">
              <w:rPr>
                <w:rFonts w:ascii="Times New Roman" w:hAnsi="Times New Roman" w:cs="Times New Roman"/>
                <w:sz w:val="20"/>
                <w:szCs w:val="20"/>
              </w:rPr>
              <w:t>offline</w:t>
            </w:r>
            <w:proofErr w:type="spellEnd"/>
            <w:r w:rsidRPr="0035187E">
              <w:rPr>
                <w:rFonts w:ascii="Times New Roman" w:hAnsi="Times New Roman" w:cs="Times New Roman"/>
                <w:sz w:val="20"/>
                <w:szCs w:val="20"/>
              </w:rPr>
              <w:t xml:space="preserve"> buffer a dávkové odesílání transakcí po obnovení konektivity. </w:t>
            </w:r>
          </w:p>
          <w:p w14:paraId="1C2B4EAA"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3D51EED3" w14:textId="24FD156A"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Toto řešení představuje významné zlepšení oproti původnímu EET. Pro specifické podmínky stánkového prodeje na jednorázových akcích (festivaly, trhy, jarmarky) je však 48hodinová lhůta nedostatečná. </w:t>
            </w:r>
          </w:p>
          <w:p w14:paraId="269B0BBD"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0B43E009"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 xml:space="preserve">Popis problému </w:t>
            </w:r>
          </w:p>
          <w:p w14:paraId="45F66268" w14:textId="251E1AB8"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Festivaly a jednorázové kulturní akce mají specifické provozní podmínky, které zásadně odlišují stánkový prodej od běžného maloobchodu: </w:t>
            </w:r>
          </w:p>
          <w:p w14:paraId="0EF3BC25"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1829FEE9" w14:textId="37858CDE" w:rsidR="000B4BD4" w:rsidRPr="0035187E" w:rsidRDefault="000B4BD4" w:rsidP="0035187E">
            <w:pPr>
              <w:numPr>
                <w:ilvl w:val="0"/>
                <w:numId w:val="8"/>
              </w:numPr>
              <w:tabs>
                <w:tab w:val="left" w:pos="245"/>
              </w:tabs>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 xml:space="preserve">Trvání akce: </w:t>
            </w:r>
            <w:r w:rsidRPr="0035187E">
              <w:rPr>
                <w:rFonts w:ascii="Times New Roman" w:hAnsi="Times New Roman" w:cs="Times New Roman"/>
                <w:sz w:val="20"/>
                <w:szCs w:val="20"/>
              </w:rPr>
              <w:t xml:space="preserve">Festivaly typicky trvají 2-4 dny, velké akce stále častěji nabízejí i možnost příjezdu o den dříve, čímž se prodlužuje právě i doba pro stánkový prodej. </w:t>
            </w:r>
          </w:p>
          <w:p w14:paraId="1E24DCEE" w14:textId="2D813759" w:rsidR="000B4BD4" w:rsidRPr="0035187E" w:rsidRDefault="000B4BD4" w:rsidP="0035187E">
            <w:pPr>
              <w:numPr>
                <w:ilvl w:val="0"/>
                <w:numId w:val="8"/>
              </w:numPr>
              <w:tabs>
                <w:tab w:val="left" w:pos="245"/>
              </w:tabs>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 xml:space="preserve">Objem transakcí: </w:t>
            </w:r>
            <w:r w:rsidRPr="0035187E">
              <w:rPr>
                <w:rFonts w:ascii="Times New Roman" w:hAnsi="Times New Roman" w:cs="Times New Roman"/>
                <w:sz w:val="20"/>
                <w:szCs w:val="20"/>
              </w:rPr>
              <w:t xml:space="preserve">Festivaly často nabízejí desítky až stovky výdejních míst, společnosti jako </w:t>
            </w:r>
            <w:proofErr w:type="spellStart"/>
            <w:r w:rsidRPr="0035187E">
              <w:rPr>
                <w:rFonts w:ascii="Times New Roman" w:hAnsi="Times New Roman" w:cs="Times New Roman"/>
                <w:sz w:val="20"/>
                <w:szCs w:val="20"/>
              </w:rPr>
              <w:t>NFCtron</w:t>
            </w:r>
            <w:proofErr w:type="spellEnd"/>
            <w:r w:rsidRPr="0035187E">
              <w:rPr>
                <w:rFonts w:ascii="Times New Roman" w:hAnsi="Times New Roman" w:cs="Times New Roman"/>
                <w:sz w:val="20"/>
                <w:szCs w:val="20"/>
              </w:rPr>
              <w:t xml:space="preserve"> průměrně dodávají na festivaly okolo 70 prodejních zařízení s největšími akcemi čítající až 500 prodejních zařízení. Počet transakcí u většiny jednorázových </w:t>
            </w:r>
            <w:r w:rsidRPr="0035187E">
              <w:rPr>
                <w:rFonts w:ascii="Times New Roman" w:hAnsi="Times New Roman" w:cs="Times New Roman"/>
                <w:sz w:val="20"/>
                <w:szCs w:val="20"/>
              </w:rPr>
              <w:lastRenderedPageBreak/>
              <w:t xml:space="preserve">festivalů dokáže překročit desítky tisíc transakcí, většinou vytvořené okolo večerních hodin. </w:t>
            </w:r>
          </w:p>
          <w:p w14:paraId="073C575A" w14:textId="71D953FD" w:rsidR="000B4BD4" w:rsidRPr="0035187E" w:rsidRDefault="000B4BD4" w:rsidP="0035187E">
            <w:pPr>
              <w:numPr>
                <w:ilvl w:val="0"/>
                <w:numId w:val="8"/>
              </w:numPr>
              <w:tabs>
                <w:tab w:val="left" w:pos="245"/>
              </w:tabs>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 xml:space="preserve">Konektivita: </w:t>
            </w:r>
            <w:r w:rsidRPr="0035187E">
              <w:rPr>
                <w:rFonts w:ascii="Times New Roman" w:hAnsi="Times New Roman" w:cs="Times New Roman"/>
                <w:sz w:val="20"/>
                <w:szCs w:val="20"/>
              </w:rPr>
              <w:t xml:space="preserve">Ačkoliv se sítě neustále zlepšují, zajištění řádného internetového připojení na festivalech je finančně často extrémně náročné a stále není technicky možné se připravit na nejvytíženější momenty. Navíc prostorově mohou být na festivalech slepá místa. </w:t>
            </w:r>
          </w:p>
          <w:p w14:paraId="30EFD6B6" w14:textId="77777777" w:rsidR="000B4BD4" w:rsidRPr="0035187E" w:rsidRDefault="000B4BD4" w:rsidP="0035187E">
            <w:pPr>
              <w:numPr>
                <w:ilvl w:val="0"/>
                <w:numId w:val="8"/>
              </w:numPr>
              <w:tabs>
                <w:tab w:val="left" w:pos="245"/>
              </w:tabs>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 xml:space="preserve">Centrální zpracování: </w:t>
            </w:r>
            <w:r w:rsidRPr="0035187E">
              <w:rPr>
                <w:rFonts w:ascii="Times New Roman" w:hAnsi="Times New Roman" w:cs="Times New Roman"/>
                <w:sz w:val="20"/>
                <w:szCs w:val="20"/>
              </w:rPr>
              <w:t xml:space="preserve">Na festivalech s bezhotovostními systémy jsou terminály vydány prodejcům pouze pro akci a na konci akce zase vráceny, kdy se kontrolují synchronizace a uzávěrky dat pro vyúčtování po akci. </w:t>
            </w:r>
          </w:p>
          <w:p w14:paraId="7C0CD4BD"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134A4196"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 xml:space="preserve">Návrh řešení </w:t>
            </w:r>
          </w:p>
          <w:p w14:paraId="4E3C98C5" w14:textId="77777777" w:rsidR="000B4BD4" w:rsidRPr="0035187E" w:rsidRDefault="000B4BD4" w:rsidP="0035187E">
            <w:pPr>
              <w:pStyle w:val="Zkladntext21"/>
              <w:framePr w:hSpace="0" w:wrap="auto" w:vAnchor="margin" w:hAnchor="text" w:yAlign="inline"/>
              <w:tabs>
                <w:tab w:val="left" w:pos="0"/>
              </w:tabs>
              <w:rPr>
                <w:rFonts w:ascii="Times New Roman" w:hAnsi="Times New Roman"/>
                <w:b w:val="0"/>
                <w:sz w:val="20"/>
              </w:rPr>
            </w:pPr>
            <w:r w:rsidRPr="0035187E">
              <w:rPr>
                <w:rFonts w:ascii="Times New Roman" w:hAnsi="Times New Roman"/>
                <w:bCs/>
                <w:sz w:val="20"/>
              </w:rPr>
              <w:t xml:space="preserve">Navrhujeme pro stánkový prodej na jednorázových akcích prodloužit lhůtu dle § 21 na 4 pracovní dny po provedení objednávky. </w:t>
            </w:r>
            <w:r w:rsidRPr="0035187E">
              <w:rPr>
                <w:rFonts w:ascii="Times New Roman" w:hAnsi="Times New Roman"/>
                <w:b w:val="0"/>
                <w:sz w:val="20"/>
              </w:rPr>
              <w:t>Případně navrhujeme doplnit do § 21 nový odstavec:</w:t>
            </w:r>
          </w:p>
          <w:p w14:paraId="5726AE47" w14:textId="77777777" w:rsidR="000B4BD4" w:rsidRPr="0035187E" w:rsidRDefault="000B4BD4" w:rsidP="0035187E">
            <w:pPr>
              <w:pStyle w:val="Zkladntext21"/>
              <w:framePr w:hSpace="0" w:wrap="auto" w:vAnchor="margin" w:hAnchor="text" w:yAlign="inline"/>
              <w:tabs>
                <w:tab w:val="left" w:pos="0"/>
              </w:tabs>
              <w:rPr>
                <w:rFonts w:ascii="Times New Roman" w:hAnsi="Times New Roman"/>
                <w:b w:val="0"/>
                <w:sz w:val="20"/>
              </w:rPr>
            </w:pPr>
          </w:p>
          <w:p w14:paraId="6CFC882E" w14:textId="77777777" w:rsidR="000B4BD4" w:rsidRPr="0035187E" w:rsidRDefault="000B4BD4" w:rsidP="0035187E">
            <w:pPr>
              <w:pStyle w:val="Zkladntext21"/>
              <w:framePr w:hSpace="0" w:wrap="auto" w:vAnchor="margin" w:hAnchor="text" w:yAlign="inline"/>
              <w:pBdr>
                <w:top w:val="single" w:sz="4" w:space="1" w:color="auto"/>
                <w:left w:val="single" w:sz="4" w:space="4" w:color="auto"/>
                <w:bottom w:val="single" w:sz="4" w:space="1" w:color="auto"/>
                <w:right w:val="single" w:sz="4" w:space="4" w:color="auto"/>
              </w:pBdr>
              <w:tabs>
                <w:tab w:val="left" w:pos="0"/>
              </w:tabs>
              <w:rPr>
                <w:rFonts w:ascii="Times New Roman" w:hAnsi="Times New Roman"/>
                <w:bCs/>
                <w:sz w:val="20"/>
              </w:rPr>
            </w:pPr>
            <w:r w:rsidRPr="0035187E">
              <w:rPr>
                <w:rFonts w:ascii="Times New Roman" w:hAnsi="Times New Roman"/>
                <w:bCs/>
                <w:sz w:val="20"/>
              </w:rPr>
              <w:t>Návrh textu § 21 odst. 3 (nový):</w:t>
            </w:r>
          </w:p>
          <w:p w14:paraId="31C1999B" w14:textId="77777777" w:rsidR="000B4BD4" w:rsidRPr="0035187E" w:rsidRDefault="000B4BD4" w:rsidP="0035187E">
            <w:pPr>
              <w:pStyle w:val="Zkladntext21"/>
              <w:framePr w:hSpace="0" w:wrap="auto" w:vAnchor="margin" w:hAnchor="text" w:yAlign="inline"/>
              <w:pBdr>
                <w:top w:val="single" w:sz="4" w:space="1" w:color="auto"/>
                <w:left w:val="single" w:sz="4" w:space="4" w:color="auto"/>
                <w:bottom w:val="single" w:sz="4" w:space="1" w:color="auto"/>
                <w:right w:val="single" w:sz="4" w:space="4" w:color="auto"/>
              </w:pBdr>
              <w:tabs>
                <w:tab w:val="left" w:pos="0"/>
              </w:tabs>
              <w:rPr>
                <w:rFonts w:ascii="Times New Roman" w:hAnsi="Times New Roman"/>
                <w:sz w:val="20"/>
              </w:rPr>
            </w:pPr>
            <w:r w:rsidRPr="0035187E">
              <w:rPr>
                <w:rFonts w:ascii="Times New Roman" w:hAnsi="Times New Roman"/>
                <w:sz w:val="20"/>
              </w:rPr>
              <w:t xml:space="preserve">„V případě tržeb uskutečněných v rámci stánkového prodeje na jednorázové akci trvající </w:t>
            </w:r>
            <w:r w:rsidRPr="0035187E">
              <w:rPr>
                <w:rFonts w:ascii="Times New Roman" w:hAnsi="Times New Roman"/>
                <w:b w:val="0"/>
                <w:bCs/>
                <w:sz w:val="20"/>
              </w:rPr>
              <w:t>nejdéle 14 dnů</w:t>
            </w:r>
            <w:r w:rsidRPr="0035187E">
              <w:rPr>
                <w:rFonts w:ascii="Times New Roman" w:hAnsi="Times New Roman"/>
                <w:sz w:val="20"/>
              </w:rPr>
              <w:t>, kde okolnosti zásadně ztěžují evidenci tržeb v běžném režimu, je poplatník povinen zaslat údaje o evidované tržbě správci daně nejpozději do 4 pracovních dnů od skončení akce.“</w:t>
            </w:r>
          </w:p>
          <w:p w14:paraId="76BD3840" w14:textId="77777777" w:rsidR="000B4BD4" w:rsidRPr="0035187E" w:rsidRDefault="000B4BD4" w:rsidP="0035187E">
            <w:pPr>
              <w:pStyle w:val="Zkladntext21"/>
              <w:framePr w:hSpace="0" w:wrap="auto" w:vAnchor="margin" w:hAnchor="text" w:yAlign="inline"/>
              <w:tabs>
                <w:tab w:val="left" w:pos="0"/>
              </w:tabs>
              <w:rPr>
                <w:rFonts w:ascii="Times New Roman" w:hAnsi="Times New Roman"/>
                <w:sz w:val="20"/>
              </w:rPr>
            </w:pPr>
          </w:p>
          <w:p w14:paraId="3896B096" w14:textId="5EC3BB47" w:rsidR="000B4BD4" w:rsidRPr="0035187E" w:rsidRDefault="000B4BD4" w:rsidP="0035187E">
            <w:pPr>
              <w:autoSpaceDE w:val="0"/>
              <w:autoSpaceDN w:val="0"/>
              <w:adjustRightInd w:val="0"/>
              <w:jc w:val="both"/>
              <w:rPr>
                <w:rFonts w:ascii="Times New Roman" w:hAnsi="Times New Roman" w:cs="Times New Roman"/>
                <w:b/>
                <w:bCs/>
                <w:sz w:val="20"/>
                <w:szCs w:val="20"/>
              </w:rPr>
            </w:pPr>
            <w:r w:rsidRPr="0035187E">
              <w:rPr>
                <w:rFonts w:ascii="Times New Roman" w:hAnsi="Times New Roman" w:cs="Times New Roman"/>
                <w:b/>
                <w:bCs/>
                <w:sz w:val="20"/>
                <w:szCs w:val="20"/>
              </w:rPr>
              <w:t xml:space="preserve">Odůvodnění </w:t>
            </w:r>
          </w:p>
          <w:p w14:paraId="15F47BFF"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08013FD7"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Lhůta 48 hodin je adekvátní pro běžné krátkodobé výpadky konektivity v kamenných provozovnách. Pro festivaly a jednorázové akce, kde je absence stabilního připojení systémovým rysem prostředí (nikoli výjimečným výpadkem), je tato lhůta nepřiměřená. Navrhovaná 4denní lhůta umožňuje bezpečnou centrální synchronizaci dat a zachovává plnou transparentnost tržeb pro správce daně. </w:t>
            </w:r>
          </w:p>
          <w:p w14:paraId="7891528E" w14:textId="4384F54F" w:rsidR="000B4BD4" w:rsidRPr="0035187E" w:rsidRDefault="000B4BD4" w:rsidP="0035187E">
            <w:pPr>
              <w:pStyle w:val="Zkladntext21"/>
              <w:framePr w:hSpace="0" w:wrap="auto" w:vAnchor="margin" w:hAnchor="text" w:yAlign="inline"/>
              <w:tabs>
                <w:tab w:val="left" w:pos="0"/>
              </w:tabs>
              <w:rPr>
                <w:rFonts w:ascii="Times New Roman" w:hAnsi="Times New Roman"/>
                <w:sz w:val="20"/>
              </w:rPr>
            </w:pPr>
            <w:r w:rsidRPr="0035187E">
              <w:rPr>
                <w:rFonts w:ascii="Times New Roman" w:hAnsi="Times New Roman"/>
                <w:b w:val="0"/>
                <w:sz w:val="20"/>
              </w:rPr>
              <w:t>Důvodová zpráva v bodu 500 sama konstatuje: „Tam, kde povaha podnikatelské činnosti (...) vylučuje realizaci kontaktní platby (...), lze legitimně slevit z potřeby realizovat evidenci tržeb.“ Festivaly přesně odpovídají této charakteristice.</w:t>
            </w:r>
          </w:p>
          <w:p w14:paraId="6F426047" w14:textId="10F74150" w:rsidR="000B4BD4" w:rsidRPr="0035187E" w:rsidRDefault="000B4BD4" w:rsidP="0035187E">
            <w:pPr>
              <w:pStyle w:val="Zkladntext21"/>
              <w:framePr w:hSpace="0" w:wrap="auto" w:vAnchor="margin" w:hAnchor="text" w:yAlign="inline"/>
              <w:tabs>
                <w:tab w:val="left" w:pos="0"/>
              </w:tabs>
              <w:rPr>
                <w:rFonts w:ascii="Times New Roman" w:hAnsi="Times New Roman"/>
                <w:b w:val="0"/>
                <w:sz w:val="20"/>
              </w:rPr>
            </w:pPr>
          </w:p>
        </w:tc>
        <w:tc>
          <w:tcPr>
            <w:tcW w:w="1453" w:type="pct"/>
            <w:tcBorders>
              <w:top w:val="single" w:sz="4" w:space="0" w:color="auto"/>
              <w:left w:val="single" w:sz="4" w:space="0" w:color="auto"/>
              <w:right w:val="single" w:sz="4" w:space="0" w:color="auto"/>
            </w:tcBorders>
            <w:shd w:val="clear" w:color="auto" w:fill="auto"/>
          </w:tcPr>
          <w:p w14:paraId="0D8973CD" w14:textId="77777777" w:rsidR="007F798C" w:rsidRPr="0035187E" w:rsidRDefault="007F798C"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Nevyhověno.</w:t>
            </w:r>
          </w:p>
          <w:p w14:paraId="60748664" w14:textId="6D2C4155" w:rsidR="00F4777B" w:rsidRPr="0035187E" w:rsidRDefault="007F798C" w:rsidP="0035187E">
            <w:pPr>
              <w:jc w:val="both"/>
              <w:rPr>
                <w:rFonts w:ascii="Times New Roman" w:hAnsi="Times New Roman" w:cs="Times New Roman"/>
                <w:sz w:val="20"/>
                <w:szCs w:val="20"/>
              </w:rPr>
            </w:pPr>
            <w:r w:rsidRPr="0035187E">
              <w:rPr>
                <w:rFonts w:ascii="Times New Roman" w:hAnsi="Times New Roman" w:cs="Times New Roman"/>
                <w:sz w:val="20"/>
                <w:szCs w:val="20"/>
              </w:rPr>
              <w:t>Není žádoucí modifikovat obecné pravidlo ohledně délky lhůty pro dodatečné zaslání údajů o evidované tržbě.</w:t>
            </w:r>
          </w:p>
        </w:tc>
      </w:tr>
      <w:tr w:rsidR="0035187E" w:rsidRPr="0035187E" w14:paraId="3AAA7B7B"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58FEB9D" w14:textId="0BD8F01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129.</w:t>
            </w:r>
          </w:p>
        </w:tc>
        <w:tc>
          <w:tcPr>
            <w:tcW w:w="583" w:type="pct"/>
            <w:tcBorders>
              <w:top w:val="single" w:sz="4" w:space="0" w:color="auto"/>
              <w:left w:val="single" w:sz="4" w:space="0" w:color="auto"/>
              <w:right w:val="single" w:sz="4" w:space="0" w:color="auto"/>
            </w:tcBorders>
            <w:shd w:val="clear" w:color="auto" w:fill="auto"/>
          </w:tcPr>
          <w:p w14:paraId="7D4E9E27" w14:textId="1C7E5D3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FESTAS, festivalová asociace </w:t>
            </w:r>
            <w:proofErr w:type="spellStart"/>
            <w:r w:rsidRPr="0035187E">
              <w:rPr>
                <w:rFonts w:ascii="Times New Roman" w:hAnsi="Times New Roman" w:cs="Times New Roman"/>
                <w:sz w:val="20"/>
                <w:szCs w:val="20"/>
              </w:rPr>
              <w:t>z.s</w:t>
            </w:r>
            <w:proofErr w:type="spellEnd"/>
            <w:r w:rsidRPr="0035187E">
              <w:rPr>
                <w:rFonts w:ascii="Times New Roman" w:hAnsi="Times New Roman" w:cs="Times New Roman"/>
                <w:sz w:val="20"/>
                <w:szCs w:val="20"/>
              </w:rPr>
              <w:t>.</w:t>
            </w:r>
          </w:p>
        </w:tc>
        <w:tc>
          <w:tcPr>
            <w:tcW w:w="168" w:type="pct"/>
            <w:tcBorders>
              <w:top w:val="single" w:sz="4" w:space="0" w:color="auto"/>
              <w:left w:val="single" w:sz="4" w:space="0" w:color="auto"/>
              <w:right w:val="single" w:sz="4" w:space="0" w:color="auto"/>
            </w:tcBorders>
            <w:shd w:val="clear" w:color="auto" w:fill="auto"/>
          </w:tcPr>
          <w:p w14:paraId="4C16403E" w14:textId="0A4FCFE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w:t>
            </w:r>
          </w:p>
        </w:tc>
        <w:tc>
          <w:tcPr>
            <w:tcW w:w="169" w:type="pct"/>
            <w:tcBorders>
              <w:top w:val="single" w:sz="4" w:space="0" w:color="auto"/>
              <w:left w:val="single" w:sz="4" w:space="0" w:color="auto"/>
              <w:right w:val="single" w:sz="4" w:space="0" w:color="auto"/>
            </w:tcBorders>
            <w:shd w:val="clear" w:color="auto" w:fill="auto"/>
          </w:tcPr>
          <w:p w14:paraId="0CAB70F4" w14:textId="32E6FCD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A0B14F8" w14:textId="4B4218A1" w:rsidR="000B4BD4" w:rsidRPr="0035187E" w:rsidRDefault="000B4BD4" w:rsidP="0035187E">
            <w:pPr>
              <w:autoSpaceDE w:val="0"/>
              <w:autoSpaceDN w:val="0"/>
              <w:adjustRightInd w:val="0"/>
              <w:jc w:val="both"/>
              <w:rPr>
                <w:rFonts w:ascii="Times New Roman" w:hAnsi="Times New Roman" w:cs="Times New Roman"/>
                <w:b/>
                <w:bCs/>
                <w:sz w:val="20"/>
                <w:szCs w:val="20"/>
              </w:rPr>
            </w:pPr>
            <w:r w:rsidRPr="0035187E">
              <w:rPr>
                <w:rFonts w:ascii="Times New Roman" w:hAnsi="Times New Roman" w:cs="Times New Roman"/>
                <w:sz w:val="20"/>
                <w:szCs w:val="20"/>
              </w:rPr>
              <w:t xml:space="preserve">3. Připomínka k části </w:t>
            </w:r>
            <w:r w:rsidRPr="0035187E">
              <w:rPr>
                <w:rFonts w:ascii="Times New Roman" w:hAnsi="Times New Roman" w:cs="Times New Roman"/>
                <w:b/>
                <w:bCs/>
                <w:sz w:val="20"/>
                <w:szCs w:val="20"/>
              </w:rPr>
              <w:t xml:space="preserve">Pověření k evidenci tržeb platební </w:t>
            </w:r>
            <w:proofErr w:type="gramStart"/>
            <w:r w:rsidRPr="0035187E">
              <w:rPr>
                <w:rFonts w:ascii="Times New Roman" w:hAnsi="Times New Roman" w:cs="Times New Roman"/>
                <w:b/>
                <w:bCs/>
                <w:sz w:val="20"/>
                <w:szCs w:val="20"/>
              </w:rPr>
              <w:t>platformou - Výslovná</w:t>
            </w:r>
            <w:proofErr w:type="gramEnd"/>
            <w:r w:rsidRPr="0035187E">
              <w:rPr>
                <w:rFonts w:ascii="Times New Roman" w:hAnsi="Times New Roman" w:cs="Times New Roman"/>
                <w:b/>
                <w:bCs/>
                <w:sz w:val="20"/>
                <w:szCs w:val="20"/>
              </w:rPr>
              <w:t xml:space="preserve"> úprava pověření pro provozovatele platebních systémů </w:t>
            </w:r>
          </w:p>
          <w:p w14:paraId="41B7A451"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46307078"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 xml:space="preserve">Popis problému </w:t>
            </w:r>
          </w:p>
          <w:p w14:paraId="4B578788" w14:textId="29C54B72"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Stávající znění § 11 je obecné a nezohledňuje specifika centralizovaných platebních systémů. Zejména: </w:t>
            </w:r>
          </w:p>
          <w:p w14:paraId="10EC1082"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77F7415F" w14:textId="77777777" w:rsidR="000B4BD4" w:rsidRPr="0035187E" w:rsidRDefault="000B4BD4" w:rsidP="0035187E">
            <w:pPr>
              <w:numPr>
                <w:ilvl w:val="0"/>
                <w:numId w:val="9"/>
              </w:numPr>
              <w:tabs>
                <w:tab w:val="left" w:pos="387"/>
              </w:tabs>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 xml:space="preserve">Forma pověření není specifikována </w:t>
            </w:r>
            <w:r w:rsidRPr="0035187E">
              <w:rPr>
                <w:rFonts w:ascii="Times New Roman" w:hAnsi="Times New Roman" w:cs="Times New Roman"/>
                <w:sz w:val="20"/>
                <w:szCs w:val="20"/>
              </w:rPr>
              <w:t xml:space="preserve">– není zřejmé, zda smlouva o poskytnutí platebních služeb automaticky zakládá pověření k evidenci. </w:t>
            </w:r>
          </w:p>
          <w:p w14:paraId="6393D8F7" w14:textId="77777777" w:rsidR="000B4BD4" w:rsidRPr="0035187E" w:rsidRDefault="000B4BD4" w:rsidP="0035187E">
            <w:pPr>
              <w:numPr>
                <w:ilvl w:val="0"/>
                <w:numId w:val="9"/>
              </w:numPr>
              <w:tabs>
                <w:tab w:val="left" w:pos="387"/>
              </w:tabs>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lastRenderedPageBreak/>
              <w:t xml:space="preserve">Odpovědnostní vztahy </w:t>
            </w:r>
            <w:r w:rsidRPr="0035187E">
              <w:rPr>
                <w:rFonts w:ascii="Times New Roman" w:hAnsi="Times New Roman" w:cs="Times New Roman"/>
                <w:sz w:val="20"/>
                <w:szCs w:val="20"/>
              </w:rPr>
              <w:t xml:space="preserve">(§ 11 odst. 4: společná odpovědnost pověřujícího i pověřeného) nezohledňují situace, kdy platforma nemá kontrolu nad úplností hlášených tržeb ze strany prodejce. </w:t>
            </w:r>
          </w:p>
          <w:p w14:paraId="39F75485" w14:textId="77777777" w:rsidR="000B4BD4" w:rsidRPr="0035187E" w:rsidRDefault="000B4BD4" w:rsidP="0035187E">
            <w:pPr>
              <w:numPr>
                <w:ilvl w:val="0"/>
                <w:numId w:val="9"/>
              </w:numPr>
              <w:tabs>
                <w:tab w:val="left" w:pos="387"/>
              </w:tabs>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Praktická implementace pro desítky prodejců v rámci jedné akce vyžaduje standardizovaný postup. </w:t>
            </w:r>
          </w:p>
          <w:p w14:paraId="60725585"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1D47BC0A"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 xml:space="preserve">Návrh řešení </w:t>
            </w:r>
          </w:p>
          <w:p w14:paraId="4D60EF68" w14:textId="77777777" w:rsidR="000B4BD4" w:rsidRPr="0035187E" w:rsidRDefault="000B4BD4" w:rsidP="0035187E">
            <w:pPr>
              <w:pStyle w:val="Zkladntext21"/>
              <w:framePr w:hSpace="0" w:wrap="auto" w:vAnchor="margin" w:hAnchor="text" w:yAlign="inline"/>
              <w:tabs>
                <w:tab w:val="left" w:pos="0"/>
              </w:tabs>
              <w:rPr>
                <w:rFonts w:ascii="Times New Roman" w:hAnsi="Times New Roman"/>
                <w:b w:val="0"/>
                <w:sz w:val="20"/>
              </w:rPr>
            </w:pPr>
            <w:r w:rsidRPr="0035187E">
              <w:rPr>
                <w:rFonts w:ascii="Times New Roman" w:hAnsi="Times New Roman"/>
                <w:b w:val="0"/>
                <w:sz w:val="20"/>
              </w:rPr>
              <w:t>Navrhujeme doplnit do § 11 nový odstavec explicitně upravující pověření provozovatele platebního systému:</w:t>
            </w:r>
          </w:p>
          <w:p w14:paraId="4E4B2D66" w14:textId="77777777" w:rsidR="000B4BD4" w:rsidRPr="0035187E" w:rsidRDefault="000B4BD4" w:rsidP="0035187E">
            <w:pPr>
              <w:pStyle w:val="Zkladntext21"/>
              <w:framePr w:hSpace="0" w:wrap="auto" w:vAnchor="margin" w:hAnchor="text" w:yAlign="inline"/>
              <w:tabs>
                <w:tab w:val="left" w:pos="0"/>
              </w:tabs>
              <w:rPr>
                <w:rFonts w:ascii="Times New Roman" w:hAnsi="Times New Roman"/>
                <w:b w:val="0"/>
                <w:sz w:val="20"/>
              </w:rPr>
            </w:pPr>
          </w:p>
          <w:p w14:paraId="1C6DE042" w14:textId="77777777" w:rsidR="000B4BD4" w:rsidRPr="0035187E" w:rsidRDefault="000B4BD4" w:rsidP="0035187E">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 xml:space="preserve">Návrh textu § 11 odst. 5 (nový): </w:t>
            </w:r>
          </w:p>
          <w:p w14:paraId="3116EACF" w14:textId="2A777565" w:rsidR="000B4BD4" w:rsidRPr="0035187E" w:rsidRDefault="000B4BD4" w:rsidP="0035187E">
            <w:pPr>
              <w:pStyle w:val="Zkladntext21"/>
              <w:framePr w:hSpace="0" w:wrap="auto" w:vAnchor="margin" w:hAnchor="text" w:yAlign="inline"/>
              <w:pBdr>
                <w:top w:val="single" w:sz="4" w:space="1" w:color="auto"/>
                <w:left w:val="single" w:sz="4" w:space="4" w:color="auto"/>
                <w:bottom w:val="single" w:sz="4" w:space="1" w:color="auto"/>
                <w:right w:val="single" w:sz="4" w:space="4" w:color="auto"/>
              </w:pBdr>
              <w:tabs>
                <w:tab w:val="left" w:pos="0"/>
              </w:tabs>
              <w:rPr>
                <w:rFonts w:ascii="Times New Roman" w:hAnsi="Times New Roman"/>
                <w:b w:val="0"/>
                <w:sz w:val="20"/>
              </w:rPr>
            </w:pPr>
            <w:r w:rsidRPr="0035187E">
              <w:rPr>
                <w:rFonts w:ascii="Times New Roman" w:hAnsi="Times New Roman"/>
                <w:b w:val="0"/>
                <w:sz w:val="20"/>
              </w:rPr>
              <w:t>„Provozovatel uzavřeného platebního systému nebo platební platformy využívané k úhradě zboží a služeb může být pověřen evidováním tržeb všech prodejců využívajících tento systém v rámci jedné akce nebo provozovny. Možnost pověření vzniká uzavřením smlouvy o poskytnutí platebních služeb, která obsahuje výslovný souhlas prodejce s evidováním tržeb prostřednictvím platformy.“</w:t>
            </w:r>
          </w:p>
          <w:p w14:paraId="70639BF7" w14:textId="77777777" w:rsidR="000B4BD4" w:rsidRPr="0035187E" w:rsidRDefault="000B4BD4" w:rsidP="0035187E">
            <w:pPr>
              <w:pStyle w:val="Zkladntext21"/>
              <w:framePr w:hSpace="0" w:wrap="auto" w:vAnchor="margin" w:hAnchor="text" w:yAlign="inline"/>
              <w:tabs>
                <w:tab w:val="left" w:pos="0"/>
              </w:tabs>
              <w:rPr>
                <w:rFonts w:ascii="Times New Roman" w:hAnsi="Times New Roman"/>
                <w:b w:val="0"/>
                <w:sz w:val="20"/>
              </w:rPr>
            </w:pPr>
          </w:p>
          <w:p w14:paraId="4FD0832B"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 xml:space="preserve">Odůvodnění </w:t>
            </w:r>
          </w:p>
          <w:p w14:paraId="0D44E682" w14:textId="77777777" w:rsidR="000B4BD4" w:rsidRPr="0035187E" w:rsidRDefault="000B4BD4" w:rsidP="0035187E">
            <w:pPr>
              <w:numPr>
                <w:ilvl w:val="0"/>
                <w:numId w:val="10"/>
              </w:numPr>
              <w:tabs>
                <w:tab w:val="left" w:pos="245"/>
              </w:tabs>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 xml:space="preserve">Snazší nastavení pro prodejce: </w:t>
            </w:r>
            <w:r w:rsidRPr="0035187E">
              <w:rPr>
                <w:rFonts w:ascii="Times New Roman" w:hAnsi="Times New Roman" w:cs="Times New Roman"/>
                <w:sz w:val="20"/>
                <w:szCs w:val="20"/>
              </w:rPr>
              <w:t xml:space="preserve">Jednotliví stánkaři na festivalech nemusí řešit technickou stránku evidence – vše za ně centrálně zajistí platforma. To dramaticky snižuje administrativní zátěž a riziko chyb. </w:t>
            </w:r>
          </w:p>
          <w:p w14:paraId="274BD38F" w14:textId="77777777" w:rsidR="000B4BD4" w:rsidRPr="0035187E" w:rsidRDefault="000B4BD4" w:rsidP="0035187E">
            <w:pPr>
              <w:numPr>
                <w:ilvl w:val="0"/>
                <w:numId w:val="10"/>
              </w:numPr>
              <w:tabs>
                <w:tab w:val="left" w:pos="245"/>
              </w:tabs>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 xml:space="preserve">Vyšší efektivita: </w:t>
            </w:r>
            <w:r w:rsidRPr="0035187E">
              <w:rPr>
                <w:rFonts w:ascii="Times New Roman" w:hAnsi="Times New Roman" w:cs="Times New Roman"/>
                <w:sz w:val="20"/>
                <w:szCs w:val="20"/>
              </w:rPr>
              <w:t xml:space="preserve">Jedna platforma odesílá XML datové zprávy za všechny prodejce, místo aby každý ze 150+ stánkařů řešil vlastní evidenci. </w:t>
            </w:r>
          </w:p>
          <w:p w14:paraId="22FFCF9F" w14:textId="77777777" w:rsidR="000B4BD4" w:rsidRPr="0035187E" w:rsidRDefault="000B4BD4" w:rsidP="0035187E">
            <w:pPr>
              <w:numPr>
                <w:ilvl w:val="0"/>
                <w:numId w:val="10"/>
              </w:numPr>
              <w:tabs>
                <w:tab w:val="left" w:pos="245"/>
              </w:tabs>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 xml:space="preserve">Vyšší transparentnost: </w:t>
            </w:r>
            <w:r w:rsidRPr="0035187E">
              <w:rPr>
                <w:rFonts w:ascii="Times New Roman" w:hAnsi="Times New Roman" w:cs="Times New Roman"/>
                <w:sz w:val="20"/>
                <w:szCs w:val="20"/>
              </w:rPr>
              <w:t xml:space="preserve">Bezhotovostní systémy zaznamenávají 100 % transakcí digitálně. Centrální evidence poskytuje správci daně kompletní a konzistentní datovou sadu. </w:t>
            </w:r>
          </w:p>
          <w:p w14:paraId="2818FFBB" w14:textId="0B16BAE1" w:rsidR="000B4BD4" w:rsidRPr="0035187E" w:rsidRDefault="000B4BD4" w:rsidP="0035187E">
            <w:pPr>
              <w:numPr>
                <w:ilvl w:val="0"/>
                <w:numId w:val="10"/>
              </w:numPr>
              <w:tabs>
                <w:tab w:val="left" w:pos="245"/>
              </w:tabs>
              <w:autoSpaceDE w:val="0"/>
              <w:autoSpaceDN w:val="0"/>
              <w:adjustRightInd w:val="0"/>
              <w:jc w:val="both"/>
              <w:rPr>
                <w:rFonts w:ascii="Times New Roman" w:hAnsi="Times New Roman" w:cs="Times New Roman"/>
                <w:b/>
                <w:sz w:val="20"/>
                <w:szCs w:val="20"/>
              </w:rPr>
            </w:pPr>
            <w:r w:rsidRPr="0035187E">
              <w:rPr>
                <w:rFonts w:ascii="Times New Roman" w:hAnsi="Times New Roman" w:cs="Times New Roman"/>
                <w:b/>
                <w:bCs/>
                <w:sz w:val="20"/>
                <w:szCs w:val="20"/>
              </w:rPr>
              <w:t>Soulad s § 5 odst. 2</w:t>
            </w:r>
            <w:r w:rsidRPr="0035187E">
              <w:rPr>
                <w:rFonts w:ascii="Times New Roman" w:hAnsi="Times New Roman" w:cs="Times New Roman"/>
                <w:sz w:val="20"/>
                <w:szCs w:val="20"/>
              </w:rPr>
              <w:t xml:space="preserve">: Zákon již počítá s dvojfázovou evidencí uzavřených platebních systémů (nabití/čerpání). Explicitní úprava pověření je logickým doplněním. </w:t>
            </w:r>
          </w:p>
        </w:tc>
        <w:tc>
          <w:tcPr>
            <w:tcW w:w="1453" w:type="pct"/>
            <w:tcBorders>
              <w:top w:val="single" w:sz="4" w:space="0" w:color="auto"/>
              <w:left w:val="single" w:sz="4" w:space="0" w:color="auto"/>
              <w:right w:val="single" w:sz="4" w:space="0" w:color="auto"/>
            </w:tcBorders>
            <w:shd w:val="clear" w:color="auto" w:fill="auto"/>
          </w:tcPr>
          <w:p w14:paraId="0527A362" w14:textId="77777777" w:rsidR="00A02B0E" w:rsidRPr="0035187E" w:rsidRDefault="00A02B0E"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Vysvětleno.</w:t>
            </w:r>
          </w:p>
          <w:p w14:paraId="5CB39CB3" w14:textId="77777777" w:rsidR="00A02B0E" w:rsidRPr="0035187E" w:rsidRDefault="00A02B0E" w:rsidP="0035187E">
            <w:pPr>
              <w:jc w:val="both"/>
              <w:rPr>
                <w:rFonts w:ascii="Times New Roman" w:hAnsi="Times New Roman" w:cs="Times New Roman"/>
                <w:sz w:val="20"/>
                <w:szCs w:val="20"/>
              </w:rPr>
            </w:pPr>
            <w:r w:rsidRPr="0035187E">
              <w:rPr>
                <w:rFonts w:ascii="Times New Roman" w:hAnsi="Times New Roman" w:cs="Times New Roman"/>
                <w:sz w:val="20"/>
                <w:szCs w:val="20"/>
              </w:rPr>
              <w:t>Využití institutu pověření k evidování tržeb podle § 11 umožňuje, aby si podnikatelé smluvně zajistili, že za ně evidenci tržeb povede jiná osoba (zástupce). Ten se v daném rozsahu stává poplatníkem evidujícím tržby (lhostejno, zda tuto službu zajišťuje za více podnikatelů). V tomto ohledu byla doplněna důvodová zpráva.</w:t>
            </w:r>
          </w:p>
          <w:p w14:paraId="718F5E69" w14:textId="77777777" w:rsidR="00A02B0E" w:rsidRPr="0035187E" w:rsidRDefault="00A02B0E"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K navrženému odstavci 5 je nutné uvést, že úkolem zákona o evidenci tržeb není a nemá být normování </w:t>
            </w:r>
            <w:r w:rsidRPr="0035187E">
              <w:rPr>
                <w:rFonts w:ascii="Times New Roman" w:hAnsi="Times New Roman" w:cs="Times New Roman"/>
                <w:sz w:val="20"/>
                <w:szCs w:val="20"/>
              </w:rPr>
              <w:lastRenderedPageBreak/>
              <w:t>pravidel, která regulují smluvní vztah jednotlivých podnikatelů navzájem. Jde totiž o soukromoprávní oblast a je na jednotlivých participantech, jak si konkrétní smlouvu, její účinnost i rozsah nastaví. Stejně tak je věcí jednotlivých aktérů dané akce, zda daný smluvní vztah uzavřou s jedním nebo s více zástupci, popřípadě si evidenční povinnost budou plnit sami. Není žádoucí normovat monopolizaci metodou „všichni, nebo nic“.</w:t>
            </w:r>
          </w:p>
          <w:p w14:paraId="62178086" w14:textId="5380897F" w:rsidR="00F4777B" w:rsidRPr="0035187E" w:rsidRDefault="00F4777B" w:rsidP="0035187E">
            <w:pPr>
              <w:jc w:val="both"/>
              <w:rPr>
                <w:rFonts w:ascii="Times New Roman" w:hAnsi="Times New Roman" w:cs="Times New Roman"/>
                <w:sz w:val="20"/>
                <w:szCs w:val="20"/>
              </w:rPr>
            </w:pPr>
          </w:p>
        </w:tc>
      </w:tr>
      <w:tr w:rsidR="0035187E" w:rsidRPr="0035187E" w14:paraId="0B1E2504"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94FFF9E" w14:textId="36CB0B2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129.</w:t>
            </w:r>
          </w:p>
        </w:tc>
        <w:tc>
          <w:tcPr>
            <w:tcW w:w="583" w:type="pct"/>
            <w:tcBorders>
              <w:top w:val="single" w:sz="4" w:space="0" w:color="auto"/>
              <w:left w:val="single" w:sz="4" w:space="0" w:color="auto"/>
              <w:right w:val="single" w:sz="4" w:space="0" w:color="auto"/>
            </w:tcBorders>
            <w:shd w:val="clear" w:color="auto" w:fill="auto"/>
          </w:tcPr>
          <w:p w14:paraId="4D0E1362" w14:textId="2677C0E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FESTAS, festivalová asociace </w:t>
            </w:r>
            <w:proofErr w:type="spellStart"/>
            <w:r w:rsidRPr="0035187E">
              <w:rPr>
                <w:rFonts w:ascii="Times New Roman" w:hAnsi="Times New Roman" w:cs="Times New Roman"/>
                <w:sz w:val="20"/>
                <w:szCs w:val="20"/>
              </w:rPr>
              <w:t>z.s</w:t>
            </w:r>
            <w:proofErr w:type="spellEnd"/>
            <w:r w:rsidRPr="0035187E">
              <w:rPr>
                <w:rFonts w:ascii="Times New Roman" w:hAnsi="Times New Roman" w:cs="Times New Roman"/>
                <w:sz w:val="20"/>
                <w:szCs w:val="20"/>
              </w:rPr>
              <w:t>.</w:t>
            </w:r>
          </w:p>
        </w:tc>
        <w:tc>
          <w:tcPr>
            <w:tcW w:w="168" w:type="pct"/>
            <w:tcBorders>
              <w:top w:val="single" w:sz="4" w:space="0" w:color="auto"/>
              <w:left w:val="single" w:sz="4" w:space="0" w:color="auto"/>
              <w:right w:val="single" w:sz="4" w:space="0" w:color="auto"/>
            </w:tcBorders>
            <w:shd w:val="clear" w:color="auto" w:fill="auto"/>
          </w:tcPr>
          <w:p w14:paraId="300A7F47" w14:textId="3B22CCF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5.</w:t>
            </w:r>
          </w:p>
        </w:tc>
        <w:tc>
          <w:tcPr>
            <w:tcW w:w="169" w:type="pct"/>
            <w:tcBorders>
              <w:top w:val="single" w:sz="4" w:space="0" w:color="auto"/>
              <w:left w:val="single" w:sz="4" w:space="0" w:color="auto"/>
              <w:right w:val="single" w:sz="4" w:space="0" w:color="auto"/>
            </w:tcBorders>
            <w:shd w:val="clear" w:color="auto" w:fill="auto"/>
          </w:tcPr>
          <w:p w14:paraId="1DC1971E" w14:textId="411DFAC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39FA78F" w14:textId="64C33320" w:rsidR="000B4BD4" w:rsidRPr="0035187E" w:rsidRDefault="000B4BD4" w:rsidP="0035187E">
            <w:pPr>
              <w:autoSpaceDE w:val="0"/>
              <w:autoSpaceDN w:val="0"/>
              <w:adjustRightInd w:val="0"/>
              <w:jc w:val="both"/>
              <w:rPr>
                <w:rFonts w:ascii="Times New Roman" w:hAnsi="Times New Roman" w:cs="Times New Roman"/>
                <w:b/>
                <w:bCs/>
                <w:sz w:val="20"/>
                <w:szCs w:val="20"/>
              </w:rPr>
            </w:pPr>
            <w:r w:rsidRPr="0035187E">
              <w:rPr>
                <w:rFonts w:ascii="Times New Roman" w:hAnsi="Times New Roman" w:cs="Times New Roman"/>
                <w:sz w:val="20"/>
                <w:szCs w:val="20"/>
              </w:rPr>
              <w:t xml:space="preserve">4. Připomínka: </w:t>
            </w:r>
            <w:r w:rsidRPr="0035187E">
              <w:rPr>
                <w:rFonts w:ascii="Times New Roman" w:hAnsi="Times New Roman" w:cs="Times New Roman"/>
                <w:b/>
                <w:bCs/>
                <w:sz w:val="20"/>
                <w:szCs w:val="20"/>
              </w:rPr>
              <w:t xml:space="preserve">Výjimky a zvláštní režim pro koncerty/festivaly a jiné jednorázové akce – Rozšíření výjimek pro jednorázové akce </w:t>
            </w:r>
          </w:p>
          <w:p w14:paraId="2F8D4C03"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1EEBBE0B"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 xml:space="preserve">Stávající možnosti v návrhu </w:t>
            </w:r>
          </w:p>
          <w:p w14:paraId="54E65C19" w14:textId="0CAF2E73"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Návrh zákona obsahuje několik institutů, které částečně zohledňují specifické podmínky: </w:t>
            </w:r>
          </w:p>
          <w:p w14:paraId="3795A5DA"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44B2E7FC" w14:textId="77777777" w:rsidR="000B4BD4" w:rsidRPr="0035187E" w:rsidRDefault="000B4BD4" w:rsidP="0035187E">
            <w:pPr>
              <w:numPr>
                <w:ilvl w:val="1"/>
                <w:numId w:val="11"/>
              </w:numPr>
              <w:tabs>
                <w:tab w:val="left" w:pos="528"/>
              </w:tabs>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Přirážka zprošťující povinnosti (§ 12 odst. 3) </w:t>
            </w:r>
          </w:p>
          <w:p w14:paraId="24681C73" w14:textId="0C7862CF" w:rsidR="000B4BD4" w:rsidRPr="0035187E" w:rsidRDefault="000B4BD4" w:rsidP="0035187E">
            <w:pPr>
              <w:pStyle w:val="Odstavecseseznamem"/>
              <w:numPr>
                <w:ilvl w:val="0"/>
                <w:numId w:val="12"/>
              </w:numPr>
              <w:tabs>
                <w:tab w:val="left" w:pos="528"/>
              </w:tabs>
              <w:autoSpaceDE w:val="0"/>
              <w:autoSpaceDN w:val="0"/>
              <w:adjustRightInd w:val="0"/>
              <w:ind w:left="0" w:firstLine="245"/>
              <w:jc w:val="both"/>
              <w:rPr>
                <w:rFonts w:ascii="Times New Roman" w:hAnsi="Times New Roman"/>
                <w:sz w:val="20"/>
                <w:szCs w:val="20"/>
              </w:rPr>
            </w:pPr>
            <w:r w:rsidRPr="0035187E">
              <w:rPr>
                <w:rFonts w:ascii="Times New Roman" w:hAnsi="Times New Roman"/>
                <w:sz w:val="20"/>
                <w:szCs w:val="20"/>
              </w:rPr>
              <w:t xml:space="preserve">Poplatníci s příjmy do </w:t>
            </w:r>
            <w:r w:rsidRPr="0035187E">
              <w:rPr>
                <w:rFonts w:ascii="Times New Roman" w:hAnsi="Times New Roman"/>
                <w:b/>
                <w:bCs/>
                <w:sz w:val="20"/>
                <w:szCs w:val="20"/>
              </w:rPr>
              <w:t xml:space="preserve">1 mil. Kč </w:t>
            </w:r>
            <w:r w:rsidRPr="0035187E">
              <w:rPr>
                <w:rFonts w:ascii="Times New Roman" w:hAnsi="Times New Roman"/>
                <w:sz w:val="20"/>
                <w:szCs w:val="20"/>
              </w:rPr>
              <w:t xml:space="preserve">mohou být přihlášeni k přirážce zprošťující povinnosti evidovat tržby. Tato možnost je relevantní pro menší stánkaře, avšak nepokrývá pořadatele festivalů ani větší prodejce. </w:t>
            </w:r>
          </w:p>
          <w:p w14:paraId="4BA769AA" w14:textId="77777777" w:rsidR="000B4BD4" w:rsidRPr="0035187E" w:rsidRDefault="000B4BD4" w:rsidP="0035187E">
            <w:pPr>
              <w:numPr>
                <w:ilvl w:val="1"/>
                <w:numId w:val="11"/>
              </w:numPr>
              <w:tabs>
                <w:tab w:val="left" w:pos="528"/>
              </w:tabs>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Vynětí samoobslužných zařízení (§ 14 odst. 4) </w:t>
            </w:r>
          </w:p>
          <w:p w14:paraId="419487D7" w14:textId="3203D42E" w:rsidR="000B4BD4" w:rsidRPr="0035187E" w:rsidRDefault="000B4BD4" w:rsidP="0035187E">
            <w:pPr>
              <w:pStyle w:val="Odstavecseseznamem"/>
              <w:numPr>
                <w:ilvl w:val="1"/>
                <w:numId w:val="12"/>
              </w:numPr>
              <w:tabs>
                <w:tab w:val="left" w:pos="528"/>
              </w:tabs>
              <w:autoSpaceDE w:val="0"/>
              <w:autoSpaceDN w:val="0"/>
              <w:adjustRightInd w:val="0"/>
              <w:ind w:left="0" w:firstLine="245"/>
              <w:jc w:val="both"/>
              <w:rPr>
                <w:rFonts w:ascii="Times New Roman" w:hAnsi="Times New Roman"/>
                <w:sz w:val="20"/>
                <w:szCs w:val="20"/>
              </w:rPr>
            </w:pPr>
            <w:r w:rsidRPr="0035187E">
              <w:rPr>
                <w:rFonts w:ascii="Times New Roman" w:hAnsi="Times New Roman"/>
                <w:sz w:val="20"/>
                <w:szCs w:val="20"/>
              </w:rPr>
              <w:t xml:space="preserve">Tržby z prodejních automatů mimo provozovnu jsou vyňaty, pokud „okolnosti neumožňují nebo zásadně ztěžují evidenci tržeb“. Festivaly splňují tuto podmínku, jakkoliv stánkový prodej nespadá pod definici samoobslužného zařízení. </w:t>
            </w:r>
          </w:p>
          <w:p w14:paraId="500F8181" w14:textId="77777777" w:rsidR="000B4BD4" w:rsidRPr="0035187E" w:rsidRDefault="000B4BD4" w:rsidP="0035187E">
            <w:pPr>
              <w:numPr>
                <w:ilvl w:val="1"/>
                <w:numId w:val="11"/>
              </w:numPr>
              <w:tabs>
                <w:tab w:val="left" w:pos="528"/>
              </w:tabs>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Mezní doba odezvy a </w:t>
            </w:r>
            <w:proofErr w:type="spellStart"/>
            <w:r w:rsidRPr="0035187E">
              <w:rPr>
                <w:rFonts w:ascii="Times New Roman" w:hAnsi="Times New Roman" w:cs="Times New Roman"/>
                <w:sz w:val="20"/>
                <w:szCs w:val="20"/>
              </w:rPr>
              <w:t>offline</w:t>
            </w:r>
            <w:proofErr w:type="spellEnd"/>
            <w:r w:rsidRPr="0035187E">
              <w:rPr>
                <w:rFonts w:ascii="Times New Roman" w:hAnsi="Times New Roman" w:cs="Times New Roman"/>
                <w:sz w:val="20"/>
                <w:szCs w:val="20"/>
              </w:rPr>
              <w:t xml:space="preserve"> režim (§ 20–21) </w:t>
            </w:r>
          </w:p>
          <w:p w14:paraId="0803713D" w14:textId="5E9BBA4E" w:rsidR="000B4BD4" w:rsidRPr="0035187E" w:rsidRDefault="000B4BD4" w:rsidP="0035187E">
            <w:pPr>
              <w:pStyle w:val="Odstavecseseznamem"/>
              <w:numPr>
                <w:ilvl w:val="0"/>
                <w:numId w:val="13"/>
              </w:numPr>
              <w:tabs>
                <w:tab w:val="left" w:pos="528"/>
              </w:tabs>
              <w:autoSpaceDE w:val="0"/>
              <w:autoSpaceDN w:val="0"/>
              <w:adjustRightInd w:val="0"/>
              <w:ind w:left="0" w:firstLine="245"/>
              <w:jc w:val="both"/>
              <w:rPr>
                <w:rFonts w:ascii="Times New Roman" w:hAnsi="Times New Roman"/>
                <w:sz w:val="20"/>
                <w:szCs w:val="20"/>
              </w:rPr>
            </w:pPr>
            <w:r w:rsidRPr="0035187E">
              <w:rPr>
                <w:rFonts w:ascii="Times New Roman" w:hAnsi="Times New Roman"/>
                <w:sz w:val="20"/>
                <w:szCs w:val="20"/>
              </w:rPr>
              <w:lastRenderedPageBreak/>
              <w:t>Lhůta 48 hodin je pro běžné výpadky dostatečná, pro festivaly nikoli (viz připomínka</w:t>
            </w:r>
            <w:r w:rsidRPr="0035187E">
              <w:rPr>
                <w:rFonts w:ascii="Times New Roman" w:hAnsi="Times New Roman"/>
                <w:b/>
                <w:bCs/>
                <w:sz w:val="20"/>
                <w:szCs w:val="20"/>
              </w:rPr>
              <w:t xml:space="preserve">: Prodloužení lhůty pro stánkový prodej na akcích). </w:t>
            </w:r>
          </w:p>
          <w:p w14:paraId="1C001FA2" w14:textId="77777777" w:rsidR="000B4BD4" w:rsidRPr="0035187E" w:rsidRDefault="000B4BD4" w:rsidP="0035187E">
            <w:pPr>
              <w:autoSpaceDE w:val="0"/>
              <w:autoSpaceDN w:val="0"/>
              <w:adjustRightInd w:val="0"/>
              <w:jc w:val="both"/>
              <w:rPr>
                <w:rFonts w:ascii="Times New Roman" w:hAnsi="Times New Roman" w:cs="Times New Roman"/>
                <w:b/>
                <w:bCs/>
                <w:sz w:val="20"/>
                <w:szCs w:val="20"/>
              </w:rPr>
            </w:pPr>
          </w:p>
          <w:p w14:paraId="317DEC83" w14:textId="25F5FF5A" w:rsidR="000B4BD4" w:rsidRPr="0035187E" w:rsidRDefault="000B4BD4" w:rsidP="0035187E">
            <w:pPr>
              <w:autoSpaceDE w:val="0"/>
              <w:autoSpaceDN w:val="0"/>
              <w:adjustRightInd w:val="0"/>
              <w:jc w:val="both"/>
              <w:rPr>
                <w:rFonts w:ascii="Times New Roman" w:hAnsi="Times New Roman" w:cs="Times New Roman"/>
                <w:b/>
                <w:bCs/>
                <w:sz w:val="20"/>
                <w:szCs w:val="20"/>
              </w:rPr>
            </w:pPr>
            <w:r w:rsidRPr="0035187E">
              <w:rPr>
                <w:rFonts w:ascii="Times New Roman" w:hAnsi="Times New Roman" w:cs="Times New Roman"/>
                <w:b/>
                <w:bCs/>
                <w:sz w:val="20"/>
                <w:szCs w:val="20"/>
              </w:rPr>
              <w:t xml:space="preserve">Návrh řešení A – Rozšíření § 14 </w:t>
            </w:r>
          </w:p>
          <w:p w14:paraId="6951DEA2"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2BE12BAF" w14:textId="77777777" w:rsidR="000B4BD4" w:rsidRPr="0035187E" w:rsidRDefault="000B4BD4" w:rsidP="0035187E">
            <w:pPr>
              <w:pStyle w:val="Zkladntext21"/>
              <w:framePr w:hSpace="0" w:wrap="auto" w:vAnchor="margin" w:hAnchor="text" w:yAlign="inline"/>
              <w:tabs>
                <w:tab w:val="left" w:pos="0"/>
              </w:tabs>
              <w:rPr>
                <w:rFonts w:ascii="Times New Roman" w:hAnsi="Times New Roman"/>
                <w:b w:val="0"/>
                <w:sz w:val="20"/>
              </w:rPr>
            </w:pPr>
            <w:r w:rsidRPr="0035187E">
              <w:rPr>
                <w:rFonts w:ascii="Times New Roman" w:hAnsi="Times New Roman"/>
                <w:b w:val="0"/>
                <w:sz w:val="20"/>
              </w:rPr>
              <w:t>Navrhujeme doplnit do § 14 odst. 4 nový bod:</w:t>
            </w:r>
          </w:p>
          <w:p w14:paraId="09B8E90C" w14:textId="77777777" w:rsidR="000B4BD4" w:rsidRPr="0035187E" w:rsidRDefault="000B4BD4" w:rsidP="0035187E">
            <w:pPr>
              <w:pStyle w:val="Zkladntext21"/>
              <w:framePr w:hSpace="0" w:wrap="auto" w:vAnchor="margin" w:hAnchor="text" w:yAlign="inline"/>
              <w:tabs>
                <w:tab w:val="left" w:pos="0"/>
              </w:tabs>
              <w:rPr>
                <w:rFonts w:ascii="Times New Roman" w:hAnsi="Times New Roman"/>
                <w:b w:val="0"/>
                <w:sz w:val="20"/>
              </w:rPr>
            </w:pPr>
          </w:p>
          <w:p w14:paraId="21910479" w14:textId="77777777" w:rsidR="000B4BD4" w:rsidRPr="0035187E" w:rsidRDefault="000B4BD4" w:rsidP="0035187E">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 xml:space="preserve">Návrh textu § 14 odst. 4 písm. e) (nové): </w:t>
            </w:r>
          </w:p>
          <w:p w14:paraId="08973562" w14:textId="18EDE791" w:rsidR="000B4BD4" w:rsidRPr="0035187E" w:rsidRDefault="000B4BD4" w:rsidP="0035187E">
            <w:pPr>
              <w:pStyle w:val="Zkladntext21"/>
              <w:framePr w:hSpace="0" w:wrap="auto" w:vAnchor="margin" w:hAnchor="text" w:yAlign="inline"/>
              <w:pBdr>
                <w:top w:val="single" w:sz="4" w:space="1" w:color="auto"/>
                <w:left w:val="single" w:sz="4" w:space="4" w:color="auto"/>
                <w:bottom w:val="single" w:sz="4" w:space="1" w:color="auto"/>
                <w:right w:val="single" w:sz="4" w:space="4" w:color="auto"/>
              </w:pBdr>
              <w:tabs>
                <w:tab w:val="left" w:pos="0"/>
              </w:tabs>
              <w:rPr>
                <w:rFonts w:ascii="Times New Roman" w:hAnsi="Times New Roman"/>
                <w:b w:val="0"/>
                <w:sz w:val="20"/>
              </w:rPr>
            </w:pPr>
            <w:r w:rsidRPr="0035187E">
              <w:rPr>
                <w:rFonts w:ascii="Times New Roman" w:hAnsi="Times New Roman"/>
                <w:b w:val="0"/>
                <w:sz w:val="20"/>
              </w:rPr>
              <w:t>„Evidovanou tržbou nejsou také tržby z prodeje zboží a služeb na kulturních, sportovních a podobných jednorázových hromadných akcích konaných mimo stálé provozovny, pokud jsou tyto tržby evidovány prostřednictvím uzavřeného platebního systému, který zajišťuje úplný digitální záznam všech transakcí.“</w:t>
            </w:r>
          </w:p>
          <w:p w14:paraId="71B0B7DF" w14:textId="79D971BA" w:rsidR="000B4BD4" w:rsidRPr="0035187E" w:rsidRDefault="000B4BD4" w:rsidP="0035187E">
            <w:pPr>
              <w:pStyle w:val="Zkladntext21"/>
              <w:framePr w:hSpace="0" w:wrap="auto" w:vAnchor="margin" w:hAnchor="text" w:yAlign="inline"/>
              <w:tabs>
                <w:tab w:val="left" w:pos="0"/>
              </w:tabs>
              <w:rPr>
                <w:rFonts w:ascii="Times New Roman" w:hAnsi="Times New Roman"/>
                <w:b w:val="0"/>
                <w:sz w:val="20"/>
              </w:rPr>
            </w:pPr>
          </w:p>
          <w:p w14:paraId="40FB7D18"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 xml:space="preserve">Komentář </w:t>
            </w:r>
          </w:p>
          <w:p w14:paraId="0AFAD4F8"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Výjimka se vztahuje pouze na tržby evidované prostřednictvím </w:t>
            </w:r>
            <w:proofErr w:type="spellStart"/>
            <w:r w:rsidRPr="0035187E">
              <w:rPr>
                <w:rFonts w:ascii="Times New Roman" w:hAnsi="Times New Roman" w:cs="Times New Roman"/>
                <w:sz w:val="20"/>
                <w:szCs w:val="20"/>
              </w:rPr>
              <w:t>cashless</w:t>
            </w:r>
            <w:proofErr w:type="spellEnd"/>
            <w:r w:rsidRPr="0035187E">
              <w:rPr>
                <w:rFonts w:ascii="Times New Roman" w:hAnsi="Times New Roman" w:cs="Times New Roman"/>
                <w:sz w:val="20"/>
                <w:szCs w:val="20"/>
              </w:rPr>
              <w:t xml:space="preserve"> systému. Tím je zajištěna plná transparentnost a digitální auditní stopa – cíl zákona (efektivní ověřování daňových povinností dle § 1 odst. 2) je naplněn alternativním způsobem. </w:t>
            </w:r>
          </w:p>
          <w:p w14:paraId="50B0B3FE" w14:textId="77777777" w:rsidR="000B4BD4" w:rsidRPr="0035187E" w:rsidRDefault="000B4BD4" w:rsidP="0035187E">
            <w:pPr>
              <w:autoSpaceDE w:val="0"/>
              <w:autoSpaceDN w:val="0"/>
              <w:adjustRightInd w:val="0"/>
              <w:jc w:val="both"/>
              <w:rPr>
                <w:rFonts w:ascii="Times New Roman" w:hAnsi="Times New Roman" w:cs="Times New Roman"/>
                <w:b/>
                <w:bCs/>
                <w:sz w:val="20"/>
                <w:szCs w:val="20"/>
              </w:rPr>
            </w:pPr>
          </w:p>
          <w:p w14:paraId="53C8DA00" w14:textId="04D6DCE0" w:rsidR="000B4BD4" w:rsidRPr="0035187E" w:rsidRDefault="000B4BD4" w:rsidP="0035187E">
            <w:pPr>
              <w:autoSpaceDE w:val="0"/>
              <w:autoSpaceDN w:val="0"/>
              <w:adjustRightInd w:val="0"/>
              <w:jc w:val="both"/>
              <w:rPr>
                <w:rFonts w:ascii="Times New Roman" w:hAnsi="Times New Roman" w:cs="Times New Roman"/>
                <w:b/>
                <w:bCs/>
                <w:sz w:val="20"/>
                <w:szCs w:val="20"/>
              </w:rPr>
            </w:pPr>
            <w:r w:rsidRPr="0035187E">
              <w:rPr>
                <w:rFonts w:ascii="Times New Roman" w:hAnsi="Times New Roman" w:cs="Times New Roman"/>
                <w:b/>
                <w:bCs/>
                <w:sz w:val="20"/>
                <w:szCs w:val="20"/>
              </w:rPr>
              <w:t xml:space="preserve">Návrh řešení </w:t>
            </w:r>
            <w:proofErr w:type="gramStart"/>
            <w:r w:rsidRPr="0035187E">
              <w:rPr>
                <w:rFonts w:ascii="Times New Roman" w:hAnsi="Times New Roman" w:cs="Times New Roman"/>
                <w:b/>
                <w:bCs/>
                <w:sz w:val="20"/>
                <w:szCs w:val="20"/>
              </w:rPr>
              <w:t>B - Zvláštní</w:t>
            </w:r>
            <w:proofErr w:type="gramEnd"/>
            <w:r w:rsidRPr="0035187E">
              <w:rPr>
                <w:rFonts w:ascii="Times New Roman" w:hAnsi="Times New Roman" w:cs="Times New Roman"/>
                <w:b/>
                <w:bCs/>
                <w:sz w:val="20"/>
                <w:szCs w:val="20"/>
              </w:rPr>
              <w:t xml:space="preserve"> režim </w:t>
            </w:r>
          </w:p>
          <w:p w14:paraId="41E41FB1"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5B601CC5"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Pokud plné vynětí není akceptovatelné, navrhujeme alternativně stanovit zvláštní režim pro jednorázové akce kombinující: </w:t>
            </w:r>
          </w:p>
          <w:p w14:paraId="113CAB8E" w14:textId="77777777" w:rsidR="000B4BD4" w:rsidRPr="0035187E" w:rsidRDefault="000B4BD4" w:rsidP="0035187E">
            <w:pPr>
              <w:numPr>
                <w:ilvl w:val="0"/>
                <w:numId w:val="14"/>
              </w:numPr>
              <w:tabs>
                <w:tab w:val="left" w:pos="387"/>
              </w:tabs>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Prodlouženou lhůtu pro evidenci dle výše uvedené připomínky (4 pracovní dny po akci) </w:t>
            </w:r>
          </w:p>
          <w:p w14:paraId="5F8E0EF8" w14:textId="77777777" w:rsidR="000B4BD4" w:rsidRPr="0035187E" w:rsidRDefault="000B4BD4" w:rsidP="0035187E">
            <w:pPr>
              <w:numPr>
                <w:ilvl w:val="0"/>
                <w:numId w:val="14"/>
              </w:numPr>
              <w:tabs>
                <w:tab w:val="left" w:pos="387"/>
              </w:tabs>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Možnost hromadného využití pověření dle výše uvedené připomínky (centrální evidence skrze platformu) </w:t>
            </w:r>
          </w:p>
          <w:p w14:paraId="26CF28F3" w14:textId="3084A132" w:rsidR="000B4BD4" w:rsidRPr="0035187E" w:rsidRDefault="000B4BD4" w:rsidP="0035187E">
            <w:pPr>
              <w:numPr>
                <w:ilvl w:val="0"/>
                <w:numId w:val="14"/>
              </w:numPr>
              <w:tabs>
                <w:tab w:val="left" w:pos="0"/>
                <w:tab w:val="left" w:pos="387"/>
              </w:tabs>
              <w:autoSpaceDE w:val="0"/>
              <w:autoSpaceDN w:val="0"/>
              <w:adjustRightInd w:val="0"/>
              <w:jc w:val="both"/>
              <w:rPr>
                <w:rFonts w:ascii="Times New Roman" w:hAnsi="Times New Roman" w:cs="Times New Roman"/>
                <w:b/>
                <w:sz w:val="20"/>
                <w:szCs w:val="20"/>
              </w:rPr>
            </w:pPr>
            <w:r w:rsidRPr="0035187E">
              <w:rPr>
                <w:rFonts w:ascii="Times New Roman" w:hAnsi="Times New Roman" w:cs="Times New Roman"/>
                <w:sz w:val="20"/>
                <w:szCs w:val="20"/>
              </w:rPr>
              <w:t xml:space="preserve">Možnost hromadného odeslání transakcí v případě, že se prodejní stánky nacházejí mimo dosah internetového připojení po celou dobu konání akce. </w:t>
            </w:r>
          </w:p>
        </w:tc>
        <w:tc>
          <w:tcPr>
            <w:tcW w:w="1453" w:type="pct"/>
            <w:tcBorders>
              <w:top w:val="single" w:sz="4" w:space="0" w:color="auto"/>
              <w:left w:val="single" w:sz="4" w:space="0" w:color="auto"/>
              <w:right w:val="single" w:sz="4" w:space="0" w:color="auto"/>
            </w:tcBorders>
            <w:shd w:val="clear" w:color="auto" w:fill="auto"/>
          </w:tcPr>
          <w:p w14:paraId="3391887D" w14:textId="77777777" w:rsidR="00AA47A8" w:rsidRPr="0035187E" w:rsidRDefault="00AA47A8"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Nevyhověno / Vysvětleno.</w:t>
            </w:r>
          </w:p>
          <w:p w14:paraId="712E056A" w14:textId="77777777" w:rsidR="00AA47A8" w:rsidRPr="0035187E" w:rsidRDefault="00AA47A8" w:rsidP="0035187E">
            <w:pPr>
              <w:jc w:val="both"/>
              <w:rPr>
                <w:rFonts w:ascii="Times New Roman" w:hAnsi="Times New Roman" w:cs="Times New Roman"/>
                <w:sz w:val="20"/>
                <w:szCs w:val="20"/>
              </w:rPr>
            </w:pPr>
            <w:r w:rsidRPr="0035187E">
              <w:rPr>
                <w:rFonts w:ascii="Times New Roman" w:hAnsi="Times New Roman" w:cs="Times New Roman"/>
                <w:sz w:val="20"/>
                <w:szCs w:val="20"/>
              </w:rPr>
              <w:t>Návrhu na úplné vynětí nebylo vyhověno, nicméně nic nebrání hromadnému využití institutu pověření podle § 11 (v tomto duchu došlo k doplnění důvodové zprávy), který je zmiňován jako alternativní řešení.</w:t>
            </w:r>
          </w:p>
          <w:p w14:paraId="7462BDF4" w14:textId="455D9E5F" w:rsidR="00F4777B" w:rsidRPr="0035187E" w:rsidRDefault="00F4777B" w:rsidP="0035187E">
            <w:pPr>
              <w:jc w:val="both"/>
              <w:rPr>
                <w:rFonts w:ascii="Times New Roman" w:hAnsi="Times New Roman" w:cs="Times New Roman"/>
                <w:sz w:val="20"/>
                <w:szCs w:val="20"/>
              </w:rPr>
            </w:pPr>
          </w:p>
        </w:tc>
      </w:tr>
      <w:tr w:rsidR="0035187E" w:rsidRPr="0035187E" w14:paraId="3AF8E439"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B68D500" w14:textId="5B2FCFF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129.</w:t>
            </w:r>
          </w:p>
        </w:tc>
        <w:tc>
          <w:tcPr>
            <w:tcW w:w="583" w:type="pct"/>
            <w:tcBorders>
              <w:top w:val="single" w:sz="4" w:space="0" w:color="auto"/>
              <w:left w:val="single" w:sz="4" w:space="0" w:color="auto"/>
              <w:right w:val="single" w:sz="4" w:space="0" w:color="auto"/>
            </w:tcBorders>
            <w:shd w:val="clear" w:color="auto" w:fill="auto"/>
          </w:tcPr>
          <w:p w14:paraId="7FC05549" w14:textId="544AB24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FESTAS, festivalová asociace </w:t>
            </w:r>
            <w:proofErr w:type="spellStart"/>
            <w:r w:rsidRPr="0035187E">
              <w:rPr>
                <w:rFonts w:ascii="Times New Roman" w:hAnsi="Times New Roman" w:cs="Times New Roman"/>
                <w:sz w:val="20"/>
                <w:szCs w:val="20"/>
              </w:rPr>
              <w:t>z.s</w:t>
            </w:r>
            <w:proofErr w:type="spellEnd"/>
            <w:r w:rsidRPr="0035187E">
              <w:rPr>
                <w:rFonts w:ascii="Times New Roman" w:hAnsi="Times New Roman" w:cs="Times New Roman"/>
                <w:sz w:val="20"/>
                <w:szCs w:val="20"/>
              </w:rPr>
              <w:t>.</w:t>
            </w:r>
          </w:p>
        </w:tc>
        <w:tc>
          <w:tcPr>
            <w:tcW w:w="168" w:type="pct"/>
            <w:tcBorders>
              <w:top w:val="single" w:sz="4" w:space="0" w:color="auto"/>
              <w:left w:val="single" w:sz="4" w:space="0" w:color="auto"/>
              <w:right w:val="single" w:sz="4" w:space="0" w:color="auto"/>
            </w:tcBorders>
            <w:shd w:val="clear" w:color="auto" w:fill="auto"/>
          </w:tcPr>
          <w:p w14:paraId="1094CE21" w14:textId="09F2E8C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6.</w:t>
            </w:r>
          </w:p>
        </w:tc>
        <w:tc>
          <w:tcPr>
            <w:tcW w:w="169" w:type="pct"/>
            <w:tcBorders>
              <w:top w:val="single" w:sz="4" w:space="0" w:color="auto"/>
              <w:left w:val="single" w:sz="4" w:space="0" w:color="auto"/>
              <w:right w:val="single" w:sz="4" w:space="0" w:color="auto"/>
            </w:tcBorders>
            <w:shd w:val="clear" w:color="auto" w:fill="auto"/>
          </w:tcPr>
          <w:p w14:paraId="37B47E2A" w14:textId="46D82EB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BF23F61" w14:textId="3545CD0E" w:rsidR="000B4BD4" w:rsidRPr="0035187E" w:rsidRDefault="000B4BD4" w:rsidP="0035187E">
            <w:pPr>
              <w:autoSpaceDE w:val="0"/>
              <w:autoSpaceDN w:val="0"/>
              <w:adjustRightInd w:val="0"/>
              <w:jc w:val="both"/>
              <w:rPr>
                <w:rFonts w:ascii="Times New Roman" w:hAnsi="Times New Roman" w:cs="Times New Roman"/>
                <w:b/>
                <w:bCs/>
                <w:sz w:val="20"/>
                <w:szCs w:val="20"/>
              </w:rPr>
            </w:pPr>
            <w:r w:rsidRPr="0035187E">
              <w:rPr>
                <w:rFonts w:ascii="Times New Roman" w:hAnsi="Times New Roman" w:cs="Times New Roman"/>
                <w:b/>
                <w:bCs/>
                <w:sz w:val="20"/>
                <w:szCs w:val="20"/>
              </w:rPr>
              <w:t xml:space="preserve">5. </w:t>
            </w:r>
            <w:r w:rsidRPr="0035187E">
              <w:rPr>
                <w:rFonts w:ascii="Times New Roman" w:hAnsi="Times New Roman" w:cs="Times New Roman"/>
                <w:sz w:val="20"/>
                <w:szCs w:val="20"/>
              </w:rPr>
              <w:t>Připomínka</w:t>
            </w:r>
            <w:r w:rsidRPr="0035187E">
              <w:rPr>
                <w:rFonts w:ascii="Times New Roman" w:hAnsi="Times New Roman" w:cs="Times New Roman"/>
                <w:b/>
                <w:bCs/>
                <w:sz w:val="20"/>
                <w:szCs w:val="20"/>
              </w:rPr>
              <w:t xml:space="preserve">: Technické připomínky </w:t>
            </w:r>
          </w:p>
          <w:p w14:paraId="51D8701F"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27764ED9"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 xml:space="preserve">1. Dvoufázová evidence uzavřených platebních systémů </w:t>
            </w:r>
          </w:p>
          <w:p w14:paraId="00BB8FCF"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 5 odst. 2 návrhu správně rozlišuje dvě fáze evidence v uzavřených platebních systémech: (a) platbu určenou k následnému čerpání (nabití) a (b) následné čerpání (nákup). § 6 odst. 1 písm. e) potvrzuje, že platba prostřednictvím prostředků určených pouze k zaplacení zboží v prostorách vydavatele splňuje formální náležitosti. </w:t>
            </w:r>
          </w:p>
          <w:p w14:paraId="3688BBC9" w14:textId="06C3DAFD"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Navrhujeme, aby správce daně při zveřejnění datové struktury XML (§ 18) výslovně zohlednil specifika dvoufázové evidence a umožnil hromadné (</w:t>
            </w:r>
            <w:proofErr w:type="spellStart"/>
            <w:r w:rsidRPr="0035187E">
              <w:rPr>
                <w:rFonts w:ascii="Times New Roman" w:hAnsi="Times New Roman" w:cs="Times New Roman"/>
                <w:sz w:val="20"/>
                <w:szCs w:val="20"/>
              </w:rPr>
              <w:t>batch</w:t>
            </w:r>
            <w:proofErr w:type="spellEnd"/>
            <w:r w:rsidRPr="0035187E">
              <w:rPr>
                <w:rFonts w:ascii="Times New Roman" w:hAnsi="Times New Roman" w:cs="Times New Roman"/>
                <w:sz w:val="20"/>
                <w:szCs w:val="20"/>
              </w:rPr>
              <w:t xml:space="preserve">) odesílání transakcí z jedné akce v rámci jednoho datového souboru a zároveň jasně vymezil pravidla pro tuto situaci, kdy následné čerpání probíhá u různých prodejců. </w:t>
            </w:r>
          </w:p>
          <w:p w14:paraId="22B4C9B2"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3698E1B7"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2. </w:t>
            </w:r>
            <w:r w:rsidRPr="0035187E">
              <w:rPr>
                <w:rFonts w:ascii="Times New Roman" w:hAnsi="Times New Roman" w:cs="Times New Roman"/>
                <w:b/>
                <w:bCs/>
                <w:sz w:val="20"/>
                <w:szCs w:val="20"/>
              </w:rPr>
              <w:t xml:space="preserve">Ochrana osobních údajů </w:t>
            </w:r>
          </w:p>
          <w:p w14:paraId="22180AAA" w14:textId="0CAA6478"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lastRenderedPageBreak/>
              <w:t xml:space="preserve">Navrhujeme v důvodové zprávě k § 18 explicitně potvrdit, že datové zprávy o evidovaných tržbách neobsahují osobní údaje zákazníků (jména, čísla platebních karet, nákupní koše), čímž se zajistí soulad s nařízením GDPR a principem minimalizace dat. </w:t>
            </w:r>
          </w:p>
          <w:p w14:paraId="7FDD08E9"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0F5DE5CA"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3. </w:t>
            </w:r>
            <w:r w:rsidRPr="0035187E">
              <w:rPr>
                <w:rFonts w:ascii="Times New Roman" w:hAnsi="Times New Roman" w:cs="Times New Roman"/>
                <w:b/>
                <w:bCs/>
                <w:sz w:val="20"/>
                <w:szCs w:val="20"/>
              </w:rPr>
              <w:t xml:space="preserve">Kontrola stavu evidence v reálném čase ze strany prodejců </w:t>
            </w:r>
          </w:p>
          <w:p w14:paraId="2382837B" w14:textId="1CA688A4" w:rsidR="000B4BD4" w:rsidRPr="0035187E" w:rsidRDefault="000B4BD4" w:rsidP="0035187E">
            <w:pPr>
              <w:pStyle w:val="Zkladntext21"/>
              <w:framePr w:hSpace="0" w:wrap="auto" w:vAnchor="margin" w:hAnchor="text" w:yAlign="inline"/>
              <w:tabs>
                <w:tab w:val="left" w:pos="0"/>
              </w:tabs>
              <w:rPr>
                <w:rFonts w:ascii="Times New Roman" w:hAnsi="Times New Roman"/>
                <w:b w:val="0"/>
                <w:sz w:val="20"/>
              </w:rPr>
            </w:pPr>
            <w:r w:rsidRPr="0035187E">
              <w:rPr>
                <w:rFonts w:ascii="Times New Roman" w:hAnsi="Times New Roman"/>
                <w:b w:val="0"/>
                <w:sz w:val="20"/>
              </w:rPr>
              <w:t>Je nutné a více než žádoucí, aby prodejce měl možnost získat report ze systému finanční správy v reálném čase – zajištění kontroly správnosti odeslaných dat.</w:t>
            </w:r>
          </w:p>
          <w:p w14:paraId="3BD4A9F6" w14:textId="77777777" w:rsidR="000B4BD4" w:rsidRPr="0035187E" w:rsidRDefault="000B4BD4" w:rsidP="0035187E">
            <w:pPr>
              <w:pStyle w:val="Zkladntext21"/>
              <w:framePr w:hSpace="0" w:wrap="auto" w:vAnchor="margin" w:hAnchor="text" w:yAlign="inline"/>
              <w:tabs>
                <w:tab w:val="left" w:pos="0"/>
              </w:tabs>
              <w:rPr>
                <w:rFonts w:ascii="Times New Roman" w:hAnsi="Times New Roman"/>
                <w:b w:val="0"/>
                <w:sz w:val="20"/>
              </w:rPr>
            </w:pPr>
          </w:p>
          <w:p w14:paraId="01C1BADC"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4. </w:t>
            </w:r>
            <w:r w:rsidRPr="0035187E">
              <w:rPr>
                <w:rFonts w:ascii="Times New Roman" w:hAnsi="Times New Roman" w:cs="Times New Roman"/>
                <w:b/>
                <w:bCs/>
                <w:sz w:val="20"/>
                <w:szCs w:val="20"/>
              </w:rPr>
              <w:t xml:space="preserve">V případě technických nebo jiných problémů nastavení pokut přiměřených rozsahu prodeje na vybrané akci </w:t>
            </w:r>
          </w:p>
          <w:p w14:paraId="002A328A" w14:textId="6889068D"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V případě chyb na straně prodejce během prodeje na jednorázové akci by kontrola měla přistoupit k jasnému zhodnocení situace, proč k chybě došlo a jestli vznikla situací na akci (zmíněná konektivita, přetížení systému apod.) nebo přímo z rozhodnutí prodejce. </w:t>
            </w:r>
          </w:p>
          <w:p w14:paraId="6BCD344C"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6DE1767B"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5. Pilotní režim pro festivaly </w:t>
            </w:r>
          </w:p>
          <w:p w14:paraId="7D8B2CCF" w14:textId="3A5C4916"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Návrh stanoví obecnou účinnost k 1. 1. 2027 s prvním měsícem dobrovolným. Pro festivaly a jednorázové akce navrhujeme prodloužit pilotní režim na celou sezónu 2027 (</w:t>
            </w:r>
            <w:r w:rsidRPr="0035187E">
              <w:rPr>
                <w:rFonts w:ascii="Times New Roman" w:hAnsi="Times New Roman" w:cs="Times New Roman"/>
                <w:b/>
                <w:bCs/>
                <w:sz w:val="20"/>
                <w:szCs w:val="20"/>
              </w:rPr>
              <w:t>do 31. 12. 2027</w:t>
            </w:r>
            <w:r w:rsidRPr="0035187E">
              <w:rPr>
                <w:rFonts w:ascii="Times New Roman" w:hAnsi="Times New Roman" w:cs="Times New Roman"/>
                <w:sz w:val="20"/>
                <w:szCs w:val="20"/>
              </w:rPr>
              <w:t xml:space="preserve">), a to z důvodů: </w:t>
            </w:r>
          </w:p>
          <w:p w14:paraId="016CA60A"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5F42F304" w14:textId="77777777" w:rsidR="000B4BD4" w:rsidRPr="0035187E" w:rsidRDefault="000B4BD4" w:rsidP="0035187E">
            <w:pPr>
              <w:numPr>
                <w:ilvl w:val="0"/>
                <w:numId w:val="15"/>
              </w:numPr>
              <w:tabs>
                <w:tab w:val="left" w:pos="387"/>
              </w:tabs>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Festivalová sezóna probíhá od května do září – jednoměsíční pilotní režim (leden) je pro testování v reálných podmínkách nepoužitelný. </w:t>
            </w:r>
          </w:p>
          <w:p w14:paraId="2671B6FF" w14:textId="77777777" w:rsidR="000B4BD4" w:rsidRPr="0035187E" w:rsidRDefault="000B4BD4" w:rsidP="0035187E">
            <w:pPr>
              <w:numPr>
                <w:ilvl w:val="0"/>
                <w:numId w:val="15"/>
              </w:numPr>
              <w:tabs>
                <w:tab w:val="left" w:pos="387"/>
              </w:tabs>
              <w:autoSpaceDE w:val="0"/>
              <w:autoSpaceDN w:val="0"/>
              <w:adjustRightInd w:val="0"/>
              <w:jc w:val="both"/>
              <w:rPr>
                <w:rFonts w:ascii="Times New Roman" w:hAnsi="Times New Roman" w:cs="Times New Roman"/>
                <w:sz w:val="20"/>
                <w:szCs w:val="20"/>
              </w:rPr>
            </w:pPr>
            <w:proofErr w:type="spellStart"/>
            <w:r w:rsidRPr="0035187E">
              <w:rPr>
                <w:rFonts w:ascii="Times New Roman" w:hAnsi="Times New Roman" w:cs="Times New Roman"/>
                <w:sz w:val="20"/>
                <w:szCs w:val="20"/>
              </w:rPr>
              <w:t>Jednorázovost</w:t>
            </w:r>
            <w:proofErr w:type="spellEnd"/>
            <w:r w:rsidRPr="0035187E">
              <w:rPr>
                <w:rFonts w:ascii="Times New Roman" w:hAnsi="Times New Roman" w:cs="Times New Roman"/>
                <w:sz w:val="20"/>
                <w:szCs w:val="20"/>
              </w:rPr>
              <w:t xml:space="preserve"> akce – festival nelze „zopakovat“, pokud se při první akci v novém režimu vyskytnou problémy. </w:t>
            </w:r>
          </w:p>
          <w:p w14:paraId="2258D140" w14:textId="650BCED0" w:rsidR="000B4BD4" w:rsidRPr="0035187E" w:rsidRDefault="000B4BD4" w:rsidP="0035187E">
            <w:pPr>
              <w:numPr>
                <w:ilvl w:val="0"/>
                <w:numId w:val="15"/>
              </w:numPr>
              <w:tabs>
                <w:tab w:val="left" w:pos="0"/>
                <w:tab w:val="left" w:pos="387"/>
              </w:tabs>
              <w:autoSpaceDE w:val="0"/>
              <w:autoSpaceDN w:val="0"/>
              <w:adjustRightInd w:val="0"/>
              <w:jc w:val="both"/>
              <w:rPr>
                <w:rFonts w:ascii="Times New Roman" w:hAnsi="Times New Roman" w:cs="Times New Roman"/>
                <w:b/>
                <w:sz w:val="20"/>
                <w:szCs w:val="20"/>
              </w:rPr>
            </w:pPr>
            <w:r w:rsidRPr="0035187E">
              <w:rPr>
                <w:rFonts w:ascii="Times New Roman" w:hAnsi="Times New Roman" w:cs="Times New Roman"/>
                <w:sz w:val="20"/>
                <w:szCs w:val="20"/>
              </w:rPr>
              <w:t>Nutnost úpravy softwarových platforem (</w:t>
            </w:r>
            <w:proofErr w:type="spellStart"/>
            <w:r w:rsidRPr="0035187E">
              <w:rPr>
                <w:rFonts w:ascii="Times New Roman" w:hAnsi="Times New Roman" w:cs="Times New Roman"/>
                <w:sz w:val="20"/>
                <w:szCs w:val="20"/>
              </w:rPr>
              <w:t>NFCtron</w:t>
            </w:r>
            <w:proofErr w:type="spellEnd"/>
            <w:r w:rsidRPr="0035187E">
              <w:rPr>
                <w:rFonts w:ascii="Times New Roman" w:hAnsi="Times New Roman" w:cs="Times New Roman"/>
                <w:sz w:val="20"/>
                <w:szCs w:val="20"/>
              </w:rPr>
              <w:t xml:space="preserve"> a další) pro nový režim evidence. </w:t>
            </w:r>
          </w:p>
        </w:tc>
        <w:tc>
          <w:tcPr>
            <w:tcW w:w="1453" w:type="pct"/>
            <w:tcBorders>
              <w:top w:val="single" w:sz="4" w:space="0" w:color="auto"/>
              <w:left w:val="single" w:sz="4" w:space="0" w:color="auto"/>
              <w:right w:val="single" w:sz="4" w:space="0" w:color="auto"/>
            </w:tcBorders>
            <w:shd w:val="clear" w:color="auto" w:fill="auto"/>
          </w:tcPr>
          <w:p w14:paraId="52E12267" w14:textId="77777777" w:rsidR="00AA47A8" w:rsidRPr="0035187E" w:rsidRDefault="00AA47A8"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Nevyhověno.</w:t>
            </w:r>
          </w:p>
          <w:p w14:paraId="21F1B637" w14:textId="77777777" w:rsidR="00AA47A8" w:rsidRPr="0035187E" w:rsidRDefault="00AA47A8" w:rsidP="0035187E">
            <w:pPr>
              <w:jc w:val="both"/>
              <w:rPr>
                <w:rFonts w:ascii="Times New Roman" w:hAnsi="Times New Roman" w:cs="Times New Roman"/>
                <w:sz w:val="20"/>
                <w:szCs w:val="20"/>
              </w:rPr>
            </w:pPr>
            <w:r w:rsidRPr="0035187E">
              <w:rPr>
                <w:rFonts w:ascii="Times New Roman" w:hAnsi="Times New Roman" w:cs="Times New Roman"/>
                <w:sz w:val="20"/>
                <w:szCs w:val="20"/>
              </w:rPr>
              <w:t>Hromadné zasílání transakcí (rozuměj zaslání souhrnných informací) není z pohledu navržené regulace žádoucí a nepředpokládá se jeho připuštění.</w:t>
            </w:r>
          </w:p>
          <w:p w14:paraId="50E82BEE" w14:textId="2C76C035" w:rsidR="00AA47A8" w:rsidRPr="0035187E" w:rsidRDefault="00AA47A8" w:rsidP="0035187E">
            <w:pPr>
              <w:rPr>
                <w:rFonts w:ascii="Times New Roman" w:hAnsi="Times New Roman" w:cs="Times New Roman"/>
                <w:sz w:val="20"/>
                <w:szCs w:val="20"/>
              </w:rPr>
            </w:pPr>
            <w:r w:rsidRPr="0035187E">
              <w:rPr>
                <w:rFonts w:ascii="Times New Roman" w:hAnsi="Times New Roman" w:cs="Times New Roman"/>
                <w:sz w:val="20"/>
                <w:szCs w:val="20"/>
              </w:rPr>
              <w:t>Současně platí, že podrobnosti k jednotlivým tématům budou metodicky upraveny a zveřejněny ze strany Generálního finančního ředitelství.</w:t>
            </w:r>
          </w:p>
          <w:p w14:paraId="62B87E94" w14:textId="56EF9CEE" w:rsidR="007F0113" w:rsidRPr="0035187E" w:rsidRDefault="007F0113" w:rsidP="0035187E">
            <w:pPr>
              <w:rPr>
                <w:rFonts w:ascii="Times New Roman" w:hAnsi="Times New Roman" w:cs="Times New Roman"/>
                <w:sz w:val="20"/>
                <w:szCs w:val="20"/>
              </w:rPr>
            </w:pPr>
          </w:p>
          <w:p w14:paraId="41643ED6" w14:textId="1FD00998" w:rsidR="007F0113" w:rsidRPr="0035187E" w:rsidRDefault="007F0113" w:rsidP="0035187E">
            <w:pPr>
              <w:rPr>
                <w:rFonts w:ascii="Times New Roman" w:hAnsi="Times New Roman" w:cs="Times New Roman"/>
                <w:sz w:val="20"/>
                <w:szCs w:val="20"/>
              </w:rPr>
            </w:pPr>
          </w:p>
          <w:p w14:paraId="0B0CCD43" w14:textId="5A163327" w:rsidR="007F0113" w:rsidRPr="0035187E" w:rsidRDefault="007F0113" w:rsidP="0035187E">
            <w:pPr>
              <w:rPr>
                <w:rFonts w:ascii="Times New Roman" w:hAnsi="Times New Roman" w:cs="Times New Roman"/>
                <w:sz w:val="20"/>
                <w:szCs w:val="20"/>
              </w:rPr>
            </w:pPr>
          </w:p>
          <w:p w14:paraId="20B547C5" w14:textId="5A17D6BA" w:rsidR="007F0113" w:rsidRPr="0035187E" w:rsidRDefault="007F0113" w:rsidP="0035187E">
            <w:pPr>
              <w:rPr>
                <w:rFonts w:ascii="Times New Roman" w:hAnsi="Times New Roman" w:cs="Times New Roman"/>
                <w:sz w:val="20"/>
                <w:szCs w:val="20"/>
              </w:rPr>
            </w:pPr>
          </w:p>
          <w:p w14:paraId="5F9583FF" w14:textId="28AB6E6A" w:rsidR="007F0113" w:rsidRPr="0035187E" w:rsidRDefault="007F0113" w:rsidP="0035187E">
            <w:pPr>
              <w:rPr>
                <w:rFonts w:ascii="Times New Roman" w:hAnsi="Times New Roman" w:cs="Times New Roman"/>
                <w:sz w:val="20"/>
                <w:szCs w:val="20"/>
              </w:rPr>
            </w:pPr>
          </w:p>
          <w:p w14:paraId="16D1EEA1" w14:textId="77777777" w:rsidR="007F0113" w:rsidRPr="0035187E" w:rsidRDefault="007F0113" w:rsidP="0035187E">
            <w:pPr>
              <w:jc w:val="both"/>
              <w:rPr>
                <w:rFonts w:ascii="Times New Roman" w:hAnsi="Times New Roman" w:cs="Times New Roman"/>
                <w:b/>
                <w:sz w:val="20"/>
                <w:szCs w:val="20"/>
              </w:rPr>
            </w:pPr>
            <w:r w:rsidRPr="0035187E">
              <w:rPr>
                <w:rFonts w:ascii="Times New Roman" w:hAnsi="Times New Roman" w:cs="Times New Roman"/>
                <w:b/>
                <w:sz w:val="20"/>
                <w:szCs w:val="20"/>
              </w:rPr>
              <w:t>Vyhověno.</w:t>
            </w:r>
          </w:p>
          <w:p w14:paraId="53B79B1E" w14:textId="2121E67F" w:rsidR="007F0113" w:rsidRPr="0035187E" w:rsidRDefault="007F0113" w:rsidP="0035187E">
            <w:pPr>
              <w:rPr>
                <w:rFonts w:ascii="Times New Roman" w:hAnsi="Times New Roman" w:cs="Times New Roman"/>
                <w:sz w:val="20"/>
                <w:szCs w:val="20"/>
              </w:rPr>
            </w:pPr>
            <w:r w:rsidRPr="0035187E">
              <w:rPr>
                <w:rFonts w:ascii="Times New Roman" w:hAnsi="Times New Roman" w:cs="Times New Roman"/>
                <w:sz w:val="20"/>
                <w:szCs w:val="20"/>
              </w:rPr>
              <w:t>Materiál byl upraven.</w:t>
            </w:r>
          </w:p>
          <w:p w14:paraId="2C94602B" w14:textId="63395125" w:rsidR="007F0113" w:rsidRPr="0035187E" w:rsidRDefault="007F0113" w:rsidP="0035187E">
            <w:pPr>
              <w:rPr>
                <w:rFonts w:ascii="Times New Roman" w:hAnsi="Times New Roman" w:cs="Times New Roman"/>
                <w:sz w:val="20"/>
                <w:szCs w:val="20"/>
              </w:rPr>
            </w:pPr>
          </w:p>
          <w:p w14:paraId="28EAE35E" w14:textId="0E215CE2" w:rsidR="007F0113" w:rsidRPr="0035187E" w:rsidRDefault="007F0113" w:rsidP="0035187E">
            <w:pPr>
              <w:rPr>
                <w:rFonts w:ascii="Times New Roman" w:hAnsi="Times New Roman" w:cs="Times New Roman"/>
                <w:sz w:val="20"/>
                <w:szCs w:val="20"/>
              </w:rPr>
            </w:pPr>
          </w:p>
          <w:p w14:paraId="30F4F3FD" w14:textId="71F2B449" w:rsidR="007F0113" w:rsidRPr="0035187E" w:rsidRDefault="007F0113" w:rsidP="0035187E">
            <w:pPr>
              <w:rPr>
                <w:rFonts w:ascii="Times New Roman" w:hAnsi="Times New Roman" w:cs="Times New Roman"/>
                <w:sz w:val="20"/>
                <w:szCs w:val="20"/>
              </w:rPr>
            </w:pPr>
          </w:p>
          <w:p w14:paraId="26A2472E" w14:textId="77777777" w:rsidR="007F0113" w:rsidRPr="0035187E" w:rsidRDefault="007F0113"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06FB38C7" w14:textId="7975FA3C" w:rsidR="007F0113" w:rsidRPr="0035187E" w:rsidRDefault="007F0113" w:rsidP="0035187E">
            <w:pPr>
              <w:rPr>
                <w:rFonts w:ascii="Times New Roman" w:hAnsi="Times New Roman" w:cs="Times New Roman"/>
                <w:sz w:val="20"/>
                <w:szCs w:val="20"/>
              </w:rPr>
            </w:pPr>
            <w:r w:rsidRPr="0035187E">
              <w:rPr>
                <w:rFonts w:ascii="Times New Roman" w:hAnsi="Times New Roman" w:cs="Times New Roman"/>
                <w:sz w:val="20"/>
                <w:szCs w:val="20"/>
              </w:rPr>
              <w:t>S implementací uvedeného se počítá.</w:t>
            </w:r>
          </w:p>
          <w:p w14:paraId="3E0DC908" w14:textId="26108066" w:rsidR="007F0113" w:rsidRPr="0035187E" w:rsidRDefault="007F0113" w:rsidP="0035187E">
            <w:pPr>
              <w:rPr>
                <w:rFonts w:ascii="Times New Roman" w:hAnsi="Times New Roman" w:cs="Times New Roman"/>
                <w:sz w:val="20"/>
                <w:szCs w:val="20"/>
              </w:rPr>
            </w:pPr>
          </w:p>
          <w:p w14:paraId="621A915C" w14:textId="23C4BF53" w:rsidR="007F0113" w:rsidRPr="0035187E" w:rsidRDefault="007F0113" w:rsidP="0035187E">
            <w:pPr>
              <w:rPr>
                <w:rFonts w:ascii="Times New Roman" w:hAnsi="Times New Roman" w:cs="Times New Roman"/>
                <w:sz w:val="20"/>
                <w:szCs w:val="20"/>
              </w:rPr>
            </w:pPr>
          </w:p>
          <w:p w14:paraId="4DECA233" w14:textId="26F7D9C0" w:rsidR="007F0113" w:rsidRPr="0035187E" w:rsidRDefault="007F0113" w:rsidP="0035187E">
            <w:pPr>
              <w:rPr>
                <w:rFonts w:ascii="Times New Roman" w:hAnsi="Times New Roman" w:cs="Times New Roman"/>
                <w:b/>
                <w:sz w:val="20"/>
                <w:szCs w:val="20"/>
              </w:rPr>
            </w:pPr>
            <w:r w:rsidRPr="0035187E">
              <w:rPr>
                <w:rFonts w:ascii="Times New Roman" w:hAnsi="Times New Roman" w:cs="Times New Roman"/>
                <w:b/>
                <w:sz w:val="20"/>
                <w:szCs w:val="20"/>
              </w:rPr>
              <w:t>Vysvětleno.</w:t>
            </w:r>
          </w:p>
          <w:p w14:paraId="37070700" w14:textId="0FDC62D7" w:rsidR="007F0113" w:rsidRPr="0035187E" w:rsidRDefault="007F0113" w:rsidP="0035187E">
            <w:pPr>
              <w:rPr>
                <w:rFonts w:ascii="Times New Roman" w:hAnsi="Times New Roman" w:cs="Times New Roman"/>
                <w:sz w:val="20"/>
                <w:szCs w:val="20"/>
              </w:rPr>
            </w:pPr>
            <w:r w:rsidRPr="0035187E">
              <w:rPr>
                <w:rFonts w:ascii="Times New Roman" w:hAnsi="Times New Roman" w:cs="Times New Roman"/>
                <w:sz w:val="20"/>
                <w:szCs w:val="20"/>
              </w:rPr>
              <w:t>Popsané skutečnosti jsou nepochybně relevantní pro aplikaci diskreční pravomoci v rámci posouzení, zda došlo k naplnění skutkové podstaty přestupku, jakož i při určení vhodného následku (např. domluva) či správního trestu (pokuta v určité výši / napomenutí).</w:t>
            </w:r>
          </w:p>
          <w:p w14:paraId="075F7AA0" w14:textId="77777777" w:rsidR="00F4777B" w:rsidRPr="0035187E" w:rsidRDefault="00F4777B" w:rsidP="0035187E">
            <w:pPr>
              <w:jc w:val="both"/>
              <w:rPr>
                <w:rFonts w:ascii="Times New Roman" w:hAnsi="Times New Roman" w:cs="Times New Roman"/>
                <w:sz w:val="20"/>
                <w:szCs w:val="20"/>
              </w:rPr>
            </w:pPr>
          </w:p>
          <w:p w14:paraId="312751B0" w14:textId="77777777" w:rsidR="00097C5E" w:rsidRPr="0035187E" w:rsidRDefault="00097C5E"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44603C5F" w14:textId="4C759E16" w:rsidR="00097C5E" w:rsidRPr="0035187E" w:rsidRDefault="00097C5E" w:rsidP="0035187E">
            <w:pPr>
              <w:jc w:val="both"/>
              <w:rPr>
                <w:rFonts w:ascii="Times New Roman" w:hAnsi="Times New Roman" w:cs="Times New Roman"/>
                <w:sz w:val="20"/>
                <w:szCs w:val="20"/>
              </w:rPr>
            </w:pPr>
            <w:r w:rsidRPr="0035187E">
              <w:rPr>
                <w:rFonts w:ascii="Times New Roman" w:hAnsi="Times New Roman" w:cs="Times New Roman"/>
                <w:sz w:val="20"/>
                <w:szCs w:val="20"/>
              </w:rPr>
              <w:t>je třeba uvést na pravou míru, že návrh zákona nestanovuje „první měsíc dobrovolný“, jak uvádí text připomínky. Účinnost zákona je navržena jednotně od 1. ledna 2027.</w:t>
            </w:r>
          </w:p>
        </w:tc>
      </w:tr>
      <w:tr w:rsidR="0035187E" w:rsidRPr="0035187E" w14:paraId="7700F679" w14:textId="77777777" w:rsidTr="0035187E">
        <w:trPr>
          <w:trHeight w:val="46"/>
        </w:trPr>
        <w:tc>
          <w:tcPr>
            <w:tcW w:w="227" w:type="pct"/>
            <w:tcBorders>
              <w:top w:val="single" w:sz="4" w:space="0" w:color="auto"/>
              <w:left w:val="single" w:sz="4" w:space="0" w:color="auto"/>
              <w:right w:val="single" w:sz="4" w:space="0" w:color="auto"/>
            </w:tcBorders>
            <w:shd w:val="clear" w:color="auto" w:fill="auto"/>
          </w:tcPr>
          <w:p w14:paraId="79584521" w14:textId="50A5ABA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129.</w:t>
            </w:r>
          </w:p>
        </w:tc>
        <w:tc>
          <w:tcPr>
            <w:tcW w:w="583" w:type="pct"/>
            <w:tcBorders>
              <w:top w:val="single" w:sz="4" w:space="0" w:color="auto"/>
              <w:left w:val="single" w:sz="4" w:space="0" w:color="auto"/>
              <w:right w:val="single" w:sz="4" w:space="0" w:color="auto"/>
            </w:tcBorders>
            <w:shd w:val="clear" w:color="auto" w:fill="auto"/>
          </w:tcPr>
          <w:p w14:paraId="4A610ECE" w14:textId="7EB5F98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FESTAS, festivalová asociace </w:t>
            </w:r>
            <w:proofErr w:type="spellStart"/>
            <w:r w:rsidRPr="0035187E">
              <w:rPr>
                <w:rFonts w:ascii="Times New Roman" w:hAnsi="Times New Roman" w:cs="Times New Roman"/>
                <w:sz w:val="20"/>
                <w:szCs w:val="20"/>
              </w:rPr>
              <w:t>z.s</w:t>
            </w:r>
            <w:proofErr w:type="spellEnd"/>
            <w:r w:rsidRPr="0035187E">
              <w:rPr>
                <w:rFonts w:ascii="Times New Roman" w:hAnsi="Times New Roman" w:cs="Times New Roman"/>
                <w:sz w:val="20"/>
                <w:szCs w:val="20"/>
              </w:rPr>
              <w:t>.</w:t>
            </w:r>
          </w:p>
        </w:tc>
        <w:tc>
          <w:tcPr>
            <w:tcW w:w="168" w:type="pct"/>
            <w:tcBorders>
              <w:top w:val="single" w:sz="4" w:space="0" w:color="auto"/>
              <w:left w:val="single" w:sz="4" w:space="0" w:color="auto"/>
              <w:right w:val="single" w:sz="4" w:space="0" w:color="auto"/>
            </w:tcBorders>
            <w:shd w:val="clear" w:color="auto" w:fill="auto"/>
          </w:tcPr>
          <w:p w14:paraId="0881CC95" w14:textId="630367A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7.</w:t>
            </w:r>
          </w:p>
        </w:tc>
        <w:tc>
          <w:tcPr>
            <w:tcW w:w="169" w:type="pct"/>
            <w:tcBorders>
              <w:top w:val="single" w:sz="4" w:space="0" w:color="auto"/>
              <w:left w:val="single" w:sz="4" w:space="0" w:color="auto"/>
              <w:right w:val="single" w:sz="4" w:space="0" w:color="auto"/>
            </w:tcBorders>
            <w:shd w:val="clear" w:color="auto" w:fill="auto"/>
          </w:tcPr>
          <w:p w14:paraId="76921823" w14:textId="14AD0A2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33EB79AF"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 xml:space="preserve">DOPORUČUJÍCÍ PŘIPOMÍNKY </w:t>
            </w:r>
          </w:p>
          <w:p w14:paraId="25BCBA2F"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 xml:space="preserve">1. Doporučující připomínka: Minimální standard digitálního dokladu </w:t>
            </w:r>
          </w:p>
          <w:p w14:paraId="543F739E"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Pro zajištění právní jistoty navrhujeme stanovit minimální požadavky na digitální doklad: </w:t>
            </w:r>
          </w:p>
          <w:p w14:paraId="2143465F" w14:textId="77777777" w:rsidR="000B4BD4" w:rsidRPr="0035187E" w:rsidRDefault="000B4BD4" w:rsidP="0035187E">
            <w:pPr>
              <w:numPr>
                <w:ilvl w:val="0"/>
                <w:numId w:val="16"/>
              </w:numPr>
              <w:tabs>
                <w:tab w:val="left" w:pos="387"/>
              </w:tabs>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 xml:space="preserve">Obsahové náležitosti: </w:t>
            </w:r>
            <w:r w:rsidRPr="0035187E">
              <w:rPr>
                <w:rFonts w:ascii="Times New Roman" w:hAnsi="Times New Roman" w:cs="Times New Roman"/>
                <w:sz w:val="20"/>
                <w:szCs w:val="20"/>
              </w:rPr>
              <w:t xml:space="preserve">Shodné s požadavky § 16 zákona o ochraně spotřebitele (identifikace prodejce, datum, popis zboží/služby, cena). </w:t>
            </w:r>
          </w:p>
          <w:p w14:paraId="2CEF796A" w14:textId="77777777" w:rsidR="000B4BD4" w:rsidRPr="0035187E" w:rsidRDefault="000B4BD4" w:rsidP="0035187E">
            <w:pPr>
              <w:numPr>
                <w:ilvl w:val="0"/>
                <w:numId w:val="16"/>
              </w:numPr>
              <w:tabs>
                <w:tab w:val="left" w:pos="387"/>
              </w:tabs>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 xml:space="preserve">Doba dostupnosti: </w:t>
            </w:r>
            <w:r w:rsidRPr="0035187E">
              <w:rPr>
                <w:rFonts w:ascii="Times New Roman" w:hAnsi="Times New Roman" w:cs="Times New Roman"/>
                <w:sz w:val="20"/>
                <w:szCs w:val="20"/>
              </w:rPr>
              <w:t xml:space="preserve">Minimálně 12 měsíců od vytvoření objednávky/ po dobu záruční doby, možnost stažení v dále zpracovatelném formátu pro potřeba zákazníka. </w:t>
            </w:r>
          </w:p>
          <w:p w14:paraId="5DB4F6C4" w14:textId="7D3219D5" w:rsidR="000B4BD4" w:rsidRPr="0035187E" w:rsidRDefault="000B4BD4" w:rsidP="0035187E">
            <w:pPr>
              <w:numPr>
                <w:ilvl w:val="0"/>
                <w:numId w:val="16"/>
              </w:numPr>
              <w:tabs>
                <w:tab w:val="left" w:pos="387"/>
              </w:tabs>
              <w:autoSpaceDE w:val="0"/>
              <w:autoSpaceDN w:val="0"/>
              <w:adjustRightInd w:val="0"/>
              <w:jc w:val="both"/>
              <w:rPr>
                <w:rFonts w:ascii="Times New Roman" w:hAnsi="Times New Roman" w:cs="Times New Roman"/>
                <w:b/>
                <w:sz w:val="20"/>
                <w:szCs w:val="20"/>
              </w:rPr>
            </w:pPr>
            <w:r w:rsidRPr="0035187E">
              <w:rPr>
                <w:rFonts w:ascii="Times New Roman" w:hAnsi="Times New Roman" w:cs="Times New Roman"/>
                <w:b/>
                <w:bCs/>
                <w:sz w:val="20"/>
                <w:szCs w:val="20"/>
              </w:rPr>
              <w:t xml:space="preserve">Formát: </w:t>
            </w:r>
            <w:r w:rsidRPr="0035187E">
              <w:rPr>
                <w:rFonts w:ascii="Times New Roman" w:hAnsi="Times New Roman" w:cs="Times New Roman"/>
                <w:sz w:val="20"/>
                <w:szCs w:val="20"/>
              </w:rPr>
              <w:t>PDF/JPEG</w:t>
            </w:r>
            <w:r w:rsidRPr="0035187E">
              <w:rPr>
                <w:rFonts w:ascii="Times New Roman" w:hAnsi="Times New Roman" w:cs="Times New Roman"/>
                <w:b/>
                <w:bCs/>
                <w:sz w:val="20"/>
                <w:szCs w:val="20"/>
              </w:rPr>
              <w:t xml:space="preserve">, </w:t>
            </w:r>
            <w:r w:rsidRPr="0035187E">
              <w:rPr>
                <w:rFonts w:ascii="Times New Roman" w:hAnsi="Times New Roman" w:cs="Times New Roman"/>
                <w:sz w:val="20"/>
                <w:szCs w:val="20"/>
              </w:rPr>
              <w:t xml:space="preserve">záznam na webu nebo v aplikaci, jiný běžně čitelný formát </w:t>
            </w:r>
          </w:p>
        </w:tc>
        <w:tc>
          <w:tcPr>
            <w:tcW w:w="1453" w:type="pct"/>
            <w:tcBorders>
              <w:top w:val="single" w:sz="4" w:space="0" w:color="auto"/>
              <w:left w:val="single" w:sz="4" w:space="0" w:color="auto"/>
              <w:right w:val="single" w:sz="4" w:space="0" w:color="auto"/>
            </w:tcBorders>
            <w:shd w:val="clear" w:color="auto" w:fill="auto"/>
          </w:tcPr>
          <w:p w14:paraId="0A01D0E8" w14:textId="77777777" w:rsidR="007F798C" w:rsidRPr="0035187E" w:rsidRDefault="007F798C" w:rsidP="0035187E">
            <w:pPr>
              <w:jc w:val="both"/>
              <w:rPr>
                <w:rFonts w:ascii="Times New Roman" w:hAnsi="Times New Roman" w:cs="Times New Roman"/>
                <w:b/>
                <w:sz w:val="20"/>
                <w:szCs w:val="20"/>
              </w:rPr>
            </w:pPr>
            <w:r w:rsidRPr="0035187E">
              <w:rPr>
                <w:rFonts w:ascii="Times New Roman" w:hAnsi="Times New Roman" w:cs="Times New Roman"/>
                <w:b/>
                <w:sz w:val="20"/>
                <w:szCs w:val="20"/>
              </w:rPr>
              <w:t>Nevyhověno.</w:t>
            </w:r>
          </w:p>
          <w:p w14:paraId="026BA761" w14:textId="7F95CB2C" w:rsidR="00F4777B" w:rsidRPr="0035187E" w:rsidRDefault="007F798C" w:rsidP="0035187E">
            <w:pPr>
              <w:jc w:val="both"/>
              <w:rPr>
                <w:rFonts w:ascii="Times New Roman" w:hAnsi="Times New Roman" w:cs="Times New Roman"/>
                <w:sz w:val="20"/>
                <w:szCs w:val="20"/>
              </w:rPr>
            </w:pPr>
            <w:r w:rsidRPr="0035187E">
              <w:rPr>
                <w:rFonts w:ascii="Times New Roman" w:hAnsi="Times New Roman" w:cs="Times New Roman"/>
                <w:sz w:val="20"/>
                <w:szCs w:val="20"/>
              </w:rPr>
              <w:t>Požadavek se netýká navrhované úpravy a nemůže být touto úpravou řešen. Podnět je proto třeba směřovat do právních předpisů, které vystavení příslušného dokladu normují. Ministerstvo financí není gestorem těchto právních předpisů a nemůže se tedy relevantně vyjádřit k tomu, jak je v aplikační praxi právní úprava v této oblasti vykládána.</w:t>
            </w:r>
          </w:p>
        </w:tc>
      </w:tr>
      <w:tr w:rsidR="0035187E" w:rsidRPr="0035187E" w14:paraId="2B5AADCA"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AFC6FAD" w14:textId="2633B40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129.</w:t>
            </w:r>
          </w:p>
        </w:tc>
        <w:tc>
          <w:tcPr>
            <w:tcW w:w="583" w:type="pct"/>
            <w:tcBorders>
              <w:top w:val="single" w:sz="4" w:space="0" w:color="auto"/>
              <w:left w:val="single" w:sz="4" w:space="0" w:color="auto"/>
              <w:right w:val="single" w:sz="4" w:space="0" w:color="auto"/>
            </w:tcBorders>
            <w:shd w:val="clear" w:color="auto" w:fill="auto"/>
          </w:tcPr>
          <w:p w14:paraId="41552A05" w14:textId="288E125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FESTAS, festivalová asociace </w:t>
            </w:r>
            <w:proofErr w:type="spellStart"/>
            <w:r w:rsidRPr="0035187E">
              <w:rPr>
                <w:rFonts w:ascii="Times New Roman" w:hAnsi="Times New Roman" w:cs="Times New Roman"/>
                <w:sz w:val="20"/>
                <w:szCs w:val="20"/>
              </w:rPr>
              <w:t>z.s</w:t>
            </w:r>
            <w:proofErr w:type="spellEnd"/>
            <w:r w:rsidRPr="0035187E">
              <w:rPr>
                <w:rFonts w:ascii="Times New Roman" w:hAnsi="Times New Roman" w:cs="Times New Roman"/>
                <w:sz w:val="20"/>
                <w:szCs w:val="20"/>
              </w:rPr>
              <w:t>.</w:t>
            </w:r>
          </w:p>
        </w:tc>
        <w:tc>
          <w:tcPr>
            <w:tcW w:w="168" w:type="pct"/>
            <w:tcBorders>
              <w:top w:val="single" w:sz="4" w:space="0" w:color="auto"/>
              <w:left w:val="single" w:sz="4" w:space="0" w:color="auto"/>
              <w:right w:val="single" w:sz="4" w:space="0" w:color="auto"/>
            </w:tcBorders>
            <w:shd w:val="clear" w:color="auto" w:fill="auto"/>
          </w:tcPr>
          <w:p w14:paraId="7B39EA7D" w14:textId="009519C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8.</w:t>
            </w:r>
          </w:p>
        </w:tc>
        <w:tc>
          <w:tcPr>
            <w:tcW w:w="169" w:type="pct"/>
            <w:tcBorders>
              <w:top w:val="single" w:sz="4" w:space="0" w:color="auto"/>
              <w:left w:val="single" w:sz="4" w:space="0" w:color="auto"/>
              <w:right w:val="single" w:sz="4" w:space="0" w:color="auto"/>
            </w:tcBorders>
            <w:shd w:val="clear" w:color="auto" w:fill="auto"/>
          </w:tcPr>
          <w:p w14:paraId="77E5B418" w14:textId="730B48F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BFB47DB"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 xml:space="preserve">2. Doporučující připomínka: Definice stánkového prodeje na jednorázové akci </w:t>
            </w:r>
          </w:p>
          <w:p w14:paraId="42F878A3" w14:textId="5204C664" w:rsidR="000B4BD4" w:rsidRPr="0035187E" w:rsidRDefault="000B4BD4" w:rsidP="0035187E">
            <w:pPr>
              <w:pStyle w:val="Zkladntext21"/>
              <w:framePr w:hSpace="0" w:wrap="auto" w:vAnchor="margin" w:hAnchor="text" w:yAlign="inline"/>
              <w:tabs>
                <w:tab w:val="left" w:pos="0"/>
              </w:tabs>
              <w:rPr>
                <w:rFonts w:ascii="Times New Roman" w:hAnsi="Times New Roman"/>
                <w:b w:val="0"/>
                <w:sz w:val="20"/>
              </w:rPr>
            </w:pPr>
            <w:r w:rsidRPr="0035187E">
              <w:rPr>
                <w:rFonts w:ascii="Times New Roman" w:hAnsi="Times New Roman"/>
                <w:b w:val="0"/>
                <w:sz w:val="20"/>
              </w:rPr>
              <w:t>Stánkový prodej na akcích často probíhá v modelu, kdy pořadatele akce je za část prodejů přímo odpovědný a jím nepokrytou nabídku doplňuje externími prodejci. Pro právní jistotu navrhuje doplnit do §4 definici:</w:t>
            </w:r>
          </w:p>
          <w:p w14:paraId="1C3BBF39" w14:textId="77777777" w:rsidR="000B4BD4" w:rsidRPr="0035187E" w:rsidRDefault="000B4BD4" w:rsidP="0035187E">
            <w:pPr>
              <w:pStyle w:val="Zkladntext21"/>
              <w:framePr w:hSpace="0" w:wrap="auto" w:vAnchor="margin" w:hAnchor="text" w:yAlign="inline"/>
              <w:tabs>
                <w:tab w:val="left" w:pos="0"/>
              </w:tabs>
              <w:rPr>
                <w:rFonts w:ascii="Times New Roman" w:hAnsi="Times New Roman"/>
                <w:b w:val="0"/>
                <w:sz w:val="20"/>
              </w:rPr>
            </w:pPr>
          </w:p>
          <w:p w14:paraId="60752F3F" w14:textId="77777777" w:rsidR="000B4BD4" w:rsidRPr="0035187E" w:rsidRDefault="000B4BD4" w:rsidP="0035187E">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b/>
                <w:bCs/>
                <w:sz w:val="20"/>
                <w:szCs w:val="20"/>
              </w:rPr>
              <w:t xml:space="preserve">Návrh definice: </w:t>
            </w:r>
          </w:p>
          <w:p w14:paraId="423AF222" w14:textId="3B23BFD4" w:rsidR="000B4BD4" w:rsidRPr="0035187E" w:rsidRDefault="000B4BD4" w:rsidP="0035187E">
            <w:pPr>
              <w:pStyle w:val="Zkladntext21"/>
              <w:framePr w:hSpace="0" w:wrap="auto" w:vAnchor="margin" w:hAnchor="text" w:yAlign="inline"/>
              <w:pBdr>
                <w:top w:val="single" w:sz="4" w:space="1" w:color="auto"/>
                <w:left w:val="single" w:sz="4" w:space="4" w:color="auto"/>
                <w:bottom w:val="single" w:sz="4" w:space="1" w:color="auto"/>
                <w:right w:val="single" w:sz="4" w:space="4" w:color="auto"/>
              </w:pBdr>
              <w:tabs>
                <w:tab w:val="left" w:pos="0"/>
              </w:tabs>
              <w:rPr>
                <w:rFonts w:ascii="Times New Roman" w:hAnsi="Times New Roman"/>
                <w:b w:val="0"/>
                <w:sz w:val="20"/>
              </w:rPr>
            </w:pPr>
            <w:r w:rsidRPr="0035187E">
              <w:rPr>
                <w:rFonts w:ascii="Times New Roman" w:hAnsi="Times New Roman"/>
                <w:b w:val="0"/>
                <w:sz w:val="20"/>
              </w:rPr>
              <w:t>„Stánkovým prodejem na jednorázové akci se rozumí prodej zboží nebo služeb z dočasného prodejního místa zřízeného na dobu nejvýše 14 dnů v rámci kulturní, sportovní, vzdělávací nebo komerční akce konané mimo stálou provozovnu.“</w:t>
            </w:r>
          </w:p>
        </w:tc>
        <w:tc>
          <w:tcPr>
            <w:tcW w:w="1453" w:type="pct"/>
            <w:tcBorders>
              <w:top w:val="single" w:sz="4" w:space="0" w:color="auto"/>
              <w:left w:val="single" w:sz="4" w:space="0" w:color="auto"/>
              <w:right w:val="single" w:sz="4" w:space="0" w:color="auto"/>
            </w:tcBorders>
            <w:shd w:val="clear" w:color="auto" w:fill="auto"/>
          </w:tcPr>
          <w:p w14:paraId="58D4F04C" w14:textId="77777777" w:rsidR="007F798C" w:rsidRPr="0035187E" w:rsidRDefault="007F798C" w:rsidP="0035187E">
            <w:pPr>
              <w:jc w:val="both"/>
              <w:rPr>
                <w:rFonts w:ascii="Times New Roman" w:hAnsi="Times New Roman" w:cs="Times New Roman"/>
                <w:b/>
                <w:sz w:val="20"/>
                <w:szCs w:val="20"/>
              </w:rPr>
            </w:pPr>
            <w:r w:rsidRPr="0035187E">
              <w:rPr>
                <w:rFonts w:ascii="Times New Roman" w:hAnsi="Times New Roman" w:cs="Times New Roman"/>
                <w:b/>
                <w:sz w:val="20"/>
                <w:szCs w:val="20"/>
              </w:rPr>
              <w:t>Nevyhověno.</w:t>
            </w:r>
          </w:p>
          <w:p w14:paraId="6A67CE1A" w14:textId="7C136E45" w:rsidR="00FD289F" w:rsidRPr="0035187E" w:rsidRDefault="007F798C" w:rsidP="0035187E">
            <w:pPr>
              <w:jc w:val="both"/>
              <w:rPr>
                <w:rFonts w:ascii="Times New Roman" w:hAnsi="Times New Roman" w:cs="Times New Roman"/>
                <w:sz w:val="20"/>
                <w:szCs w:val="20"/>
              </w:rPr>
            </w:pPr>
            <w:r w:rsidRPr="0035187E">
              <w:rPr>
                <w:rFonts w:ascii="Times New Roman" w:hAnsi="Times New Roman" w:cs="Times New Roman"/>
                <w:sz w:val="20"/>
                <w:szCs w:val="20"/>
              </w:rPr>
              <w:t>Účelem navrženého zákona není definovat stánkový prodej. Pro potřeby § 4 je dostačující pojem provozovna podle živnostenského zákona.</w:t>
            </w:r>
          </w:p>
        </w:tc>
      </w:tr>
      <w:tr w:rsidR="0035187E" w:rsidRPr="0035187E" w14:paraId="12F5D541"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0C9D8E7" w14:textId="6D62440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129.</w:t>
            </w:r>
          </w:p>
        </w:tc>
        <w:tc>
          <w:tcPr>
            <w:tcW w:w="583" w:type="pct"/>
            <w:tcBorders>
              <w:top w:val="single" w:sz="4" w:space="0" w:color="auto"/>
              <w:left w:val="single" w:sz="4" w:space="0" w:color="auto"/>
              <w:right w:val="single" w:sz="4" w:space="0" w:color="auto"/>
            </w:tcBorders>
            <w:shd w:val="clear" w:color="auto" w:fill="auto"/>
          </w:tcPr>
          <w:p w14:paraId="6A92EA6F" w14:textId="6DD7E79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FESTAS, festivalová asociace </w:t>
            </w:r>
            <w:proofErr w:type="spellStart"/>
            <w:r w:rsidRPr="0035187E">
              <w:rPr>
                <w:rFonts w:ascii="Times New Roman" w:hAnsi="Times New Roman" w:cs="Times New Roman"/>
                <w:sz w:val="20"/>
                <w:szCs w:val="20"/>
              </w:rPr>
              <w:t>z.s</w:t>
            </w:r>
            <w:proofErr w:type="spellEnd"/>
            <w:r w:rsidRPr="0035187E">
              <w:rPr>
                <w:rFonts w:ascii="Times New Roman" w:hAnsi="Times New Roman" w:cs="Times New Roman"/>
                <w:sz w:val="20"/>
                <w:szCs w:val="20"/>
              </w:rPr>
              <w:t>.</w:t>
            </w:r>
          </w:p>
        </w:tc>
        <w:tc>
          <w:tcPr>
            <w:tcW w:w="168" w:type="pct"/>
            <w:tcBorders>
              <w:top w:val="single" w:sz="4" w:space="0" w:color="auto"/>
              <w:left w:val="single" w:sz="4" w:space="0" w:color="auto"/>
              <w:right w:val="single" w:sz="4" w:space="0" w:color="auto"/>
            </w:tcBorders>
            <w:shd w:val="clear" w:color="auto" w:fill="auto"/>
          </w:tcPr>
          <w:p w14:paraId="2138A055" w14:textId="54E641F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9.</w:t>
            </w:r>
          </w:p>
        </w:tc>
        <w:tc>
          <w:tcPr>
            <w:tcW w:w="169" w:type="pct"/>
            <w:tcBorders>
              <w:top w:val="single" w:sz="4" w:space="0" w:color="auto"/>
              <w:left w:val="single" w:sz="4" w:space="0" w:color="auto"/>
              <w:right w:val="single" w:sz="4" w:space="0" w:color="auto"/>
            </w:tcBorders>
            <w:shd w:val="clear" w:color="auto" w:fill="auto"/>
          </w:tcPr>
          <w:p w14:paraId="146BA7F6" w14:textId="207D1CD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40717D17" w14:textId="41D71242" w:rsidR="000B4BD4" w:rsidRPr="0035187E" w:rsidRDefault="000B4BD4" w:rsidP="0035187E">
            <w:pPr>
              <w:autoSpaceDE w:val="0"/>
              <w:autoSpaceDN w:val="0"/>
              <w:adjustRightInd w:val="0"/>
              <w:jc w:val="both"/>
              <w:rPr>
                <w:rFonts w:ascii="Times New Roman" w:hAnsi="Times New Roman" w:cs="Times New Roman"/>
                <w:b/>
                <w:bCs/>
                <w:sz w:val="20"/>
                <w:szCs w:val="20"/>
              </w:rPr>
            </w:pPr>
            <w:r w:rsidRPr="0035187E">
              <w:rPr>
                <w:rFonts w:ascii="Times New Roman" w:hAnsi="Times New Roman" w:cs="Times New Roman"/>
                <w:b/>
                <w:bCs/>
                <w:sz w:val="20"/>
                <w:szCs w:val="20"/>
              </w:rPr>
              <w:t xml:space="preserve">3. Doporučující připomínka: Upřesnění odpovědnosti při pověření </w:t>
            </w:r>
          </w:p>
          <w:p w14:paraId="72E4384E"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5CD8A588"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Navrhujeme v důvodové zprávě k § 11 odst. 4 upřesnit rozdělení odpovědnosti: </w:t>
            </w:r>
          </w:p>
          <w:p w14:paraId="7E534BDD" w14:textId="77777777" w:rsidR="000B4BD4" w:rsidRPr="0035187E" w:rsidRDefault="000B4BD4" w:rsidP="0035187E">
            <w:pPr>
              <w:numPr>
                <w:ilvl w:val="0"/>
                <w:numId w:val="17"/>
              </w:num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u w:val="single"/>
              </w:rPr>
              <w:t>Pověřený (platforma)</w:t>
            </w:r>
            <w:r w:rsidRPr="0035187E">
              <w:rPr>
                <w:rFonts w:ascii="Times New Roman" w:hAnsi="Times New Roman" w:cs="Times New Roman"/>
                <w:sz w:val="20"/>
                <w:szCs w:val="20"/>
              </w:rPr>
              <w:t xml:space="preserve">: odpovídá za technické provedení evidence, tj. včasné a správné odeslání údajů správci daně v rozsahu dat, které mu prodejce předá prostřednictvím platebního systému. </w:t>
            </w:r>
          </w:p>
          <w:p w14:paraId="5C9247FB" w14:textId="77777777" w:rsidR="000B4BD4" w:rsidRPr="0035187E" w:rsidRDefault="000B4BD4" w:rsidP="0035187E">
            <w:pPr>
              <w:numPr>
                <w:ilvl w:val="0"/>
                <w:numId w:val="17"/>
              </w:num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u w:val="single"/>
              </w:rPr>
              <w:t>Pověřující (prodejce)</w:t>
            </w:r>
            <w:r w:rsidRPr="0035187E">
              <w:rPr>
                <w:rFonts w:ascii="Times New Roman" w:hAnsi="Times New Roman" w:cs="Times New Roman"/>
                <w:sz w:val="20"/>
                <w:szCs w:val="20"/>
              </w:rPr>
              <w:t xml:space="preserve">: odpovídá za správnost a úplnost hlášených tržeb, tj. že veškeré tržby jsou realizovány prostřednictvím platebního systému a nejsou prováděny mimo něj. </w:t>
            </w:r>
          </w:p>
          <w:p w14:paraId="72E05B32"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01173BFF" w14:textId="24178666" w:rsidR="000B4BD4" w:rsidRPr="0035187E" w:rsidRDefault="000B4BD4" w:rsidP="0035187E">
            <w:pPr>
              <w:pStyle w:val="Zkladntext21"/>
              <w:framePr w:hSpace="0" w:wrap="auto" w:vAnchor="margin" w:hAnchor="text" w:yAlign="inline"/>
              <w:tabs>
                <w:tab w:val="left" w:pos="0"/>
              </w:tabs>
              <w:rPr>
                <w:rFonts w:ascii="Times New Roman" w:hAnsi="Times New Roman"/>
                <w:b w:val="0"/>
                <w:sz w:val="20"/>
              </w:rPr>
            </w:pPr>
            <w:r w:rsidRPr="0035187E">
              <w:rPr>
                <w:rFonts w:ascii="Times New Roman" w:hAnsi="Times New Roman"/>
                <w:b w:val="0"/>
                <w:sz w:val="20"/>
              </w:rPr>
              <w:t>Toto upřesnění je nezbytné pro spravedlivé rozdělení rizik, aby platformy nenesly odpovědnost za případné neevidované postupy jednotlivých prodejců realizované mimo platební systém.</w:t>
            </w:r>
          </w:p>
        </w:tc>
        <w:tc>
          <w:tcPr>
            <w:tcW w:w="1453" w:type="pct"/>
            <w:tcBorders>
              <w:top w:val="single" w:sz="4" w:space="0" w:color="auto"/>
              <w:left w:val="single" w:sz="4" w:space="0" w:color="auto"/>
              <w:right w:val="single" w:sz="4" w:space="0" w:color="auto"/>
            </w:tcBorders>
            <w:shd w:val="clear" w:color="auto" w:fill="auto"/>
          </w:tcPr>
          <w:p w14:paraId="23AACBF3" w14:textId="77777777" w:rsidR="007F798C" w:rsidRPr="0035187E" w:rsidRDefault="007F798C" w:rsidP="0035187E">
            <w:pPr>
              <w:jc w:val="both"/>
              <w:rPr>
                <w:rFonts w:ascii="Times New Roman" w:hAnsi="Times New Roman" w:cs="Times New Roman"/>
                <w:b/>
                <w:sz w:val="20"/>
                <w:szCs w:val="20"/>
              </w:rPr>
            </w:pPr>
            <w:r w:rsidRPr="0035187E">
              <w:rPr>
                <w:rFonts w:ascii="Times New Roman" w:hAnsi="Times New Roman" w:cs="Times New Roman"/>
                <w:b/>
                <w:sz w:val="20"/>
                <w:szCs w:val="20"/>
              </w:rPr>
              <w:t>Vyhověno.</w:t>
            </w:r>
          </w:p>
          <w:p w14:paraId="73655EE1" w14:textId="6A5EDF39" w:rsidR="00FD289F" w:rsidRPr="0035187E" w:rsidRDefault="007F798C"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tc>
      </w:tr>
      <w:tr w:rsidR="0035187E" w:rsidRPr="0035187E" w14:paraId="20E8B7ED"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B8EBE09" w14:textId="0EDCE7E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129.</w:t>
            </w:r>
          </w:p>
        </w:tc>
        <w:tc>
          <w:tcPr>
            <w:tcW w:w="583" w:type="pct"/>
            <w:tcBorders>
              <w:top w:val="single" w:sz="4" w:space="0" w:color="auto"/>
              <w:left w:val="single" w:sz="4" w:space="0" w:color="auto"/>
              <w:right w:val="single" w:sz="4" w:space="0" w:color="auto"/>
            </w:tcBorders>
            <w:shd w:val="clear" w:color="auto" w:fill="auto"/>
          </w:tcPr>
          <w:p w14:paraId="0E1D4387" w14:textId="4BBA0EA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FESTAS, festivalová asociace </w:t>
            </w:r>
            <w:proofErr w:type="spellStart"/>
            <w:r w:rsidRPr="0035187E">
              <w:rPr>
                <w:rFonts w:ascii="Times New Roman" w:hAnsi="Times New Roman" w:cs="Times New Roman"/>
                <w:sz w:val="20"/>
                <w:szCs w:val="20"/>
              </w:rPr>
              <w:t>z.s</w:t>
            </w:r>
            <w:proofErr w:type="spellEnd"/>
            <w:r w:rsidRPr="0035187E">
              <w:rPr>
                <w:rFonts w:ascii="Times New Roman" w:hAnsi="Times New Roman" w:cs="Times New Roman"/>
                <w:sz w:val="20"/>
                <w:szCs w:val="20"/>
              </w:rPr>
              <w:t>.</w:t>
            </w:r>
          </w:p>
        </w:tc>
        <w:tc>
          <w:tcPr>
            <w:tcW w:w="168" w:type="pct"/>
            <w:tcBorders>
              <w:top w:val="single" w:sz="4" w:space="0" w:color="auto"/>
              <w:left w:val="single" w:sz="4" w:space="0" w:color="auto"/>
              <w:right w:val="single" w:sz="4" w:space="0" w:color="auto"/>
            </w:tcBorders>
            <w:shd w:val="clear" w:color="auto" w:fill="auto"/>
          </w:tcPr>
          <w:p w14:paraId="13B446DF" w14:textId="40CCC2F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10.</w:t>
            </w:r>
          </w:p>
        </w:tc>
        <w:tc>
          <w:tcPr>
            <w:tcW w:w="169" w:type="pct"/>
            <w:tcBorders>
              <w:top w:val="single" w:sz="4" w:space="0" w:color="auto"/>
              <w:left w:val="single" w:sz="4" w:space="0" w:color="auto"/>
              <w:right w:val="single" w:sz="4" w:space="0" w:color="auto"/>
            </w:tcBorders>
            <w:shd w:val="clear" w:color="auto" w:fill="auto"/>
          </w:tcPr>
          <w:p w14:paraId="060F8EAA" w14:textId="0A5F6B0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right w:val="single" w:sz="4" w:space="0" w:color="auto"/>
            </w:tcBorders>
            <w:shd w:val="clear" w:color="auto" w:fill="auto"/>
          </w:tcPr>
          <w:p w14:paraId="5A9E6FD3" w14:textId="1D4B3F0E" w:rsidR="000B4BD4" w:rsidRPr="0035187E" w:rsidRDefault="000B4BD4" w:rsidP="0035187E">
            <w:pPr>
              <w:autoSpaceDE w:val="0"/>
              <w:autoSpaceDN w:val="0"/>
              <w:adjustRightInd w:val="0"/>
              <w:jc w:val="both"/>
              <w:rPr>
                <w:rFonts w:ascii="Times New Roman" w:hAnsi="Times New Roman" w:cs="Times New Roman"/>
                <w:b/>
                <w:bCs/>
                <w:sz w:val="20"/>
                <w:szCs w:val="20"/>
              </w:rPr>
            </w:pPr>
            <w:r w:rsidRPr="0035187E">
              <w:rPr>
                <w:rFonts w:ascii="Times New Roman" w:hAnsi="Times New Roman" w:cs="Times New Roman"/>
                <w:b/>
                <w:bCs/>
                <w:sz w:val="20"/>
                <w:szCs w:val="20"/>
              </w:rPr>
              <w:t xml:space="preserve">4. Doporučující připomínka: Připomínka: Vládní nařízení pro festivaly </w:t>
            </w:r>
          </w:p>
          <w:p w14:paraId="6ABEBE18"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1DE0C555" w14:textId="7AC98479" w:rsidR="000B4BD4" w:rsidRPr="0035187E" w:rsidRDefault="000B4BD4" w:rsidP="0035187E">
            <w:pPr>
              <w:pStyle w:val="Zkladntext21"/>
              <w:framePr w:hSpace="0" w:wrap="auto" w:vAnchor="margin" w:hAnchor="text" w:yAlign="inline"/>
              <w:tabs>
                <w:tab w:val="left" w:pos="0"/>
              </w:tabs>
              <w:rPr>
                <w:rFonts w:ascii="Times New Roman" w:hAnsi="Times New Roman"/>
                <w:b w:val="0"/>
                <w:sz w:val="20"/>
              </w:rPr>
            </w:pPr>
            <w:r w:rsidRPr="0035187E">
              <w:rPr>
                <w:rFonts w:ascii="Times New Roman" w:hAnsi="Times New Roman"/>
                <w:b w:val="0"/>
                <w:sz w:val="20"/>
              </w:rPr>
              <w:t>Navrhujeme doplnit do přechodných ustanovení závazek vlády nařízení specifikující režim evidence tržeb pro jednorázové kulturní a sportovní akce, a to do 6 měsíců od účinnosti zákona. Tímto se předejde opakování situace z původního EET, kdy festivalový sektor zůstal v právní nejistotě.</w:t>
            </w:r>
          </w:p>
        </w:tc>
        <w:tc>
          <w:tcPr>
            <w:tcW w:w="1453" w:type="pct"/>
            <w:tcBorders>
              <w:top w:val="single" w:sz="4" w:space="0" w:color="auto"/>
              <w:left w:val="single" w:sz="4" w:space="0" w:color="auto"/>
              <w:right w:val="single" w:sz="4" w:space="0" w:color="auto"/>
            </w:tcBorders>
            <w:shd w:val="clear" w:color="auto" w:fill="auto"/>
          </w:tcPr>
          <w:p w14:paraId="6744F9E7" w14:textId="77777777" w:rsidR="007F798C" w:rsidRPr="0035187E" w:rsidRDefault="007F798C" w:rsidP="0035187E">
            <w:pPr>
              <w:jc w:val="both"/>
              <w:rPr>
                <w:rFonts w:ascii="Times New Roman" w:hAnsi="Times New Roman" w:cs="Times New Roman"/>
                <w:b/>
                <w:sz w:val="20"/>
                <w:szCs w:val="20"/>
              </w:rPr>
            </w:pPr>
            <w:r w:rsidRPr="0035187E">
              <w:rPr>
                <w:rFonts w:ascii="Times New Roman" w:hAnsi="Times New Roman" w:cs="Times New Roman"/>
                <w:b/>
                <w:sz w:val="20"/>
                <w:szCs w:val="20"/>
              </w:rPr>
              <w:t>Nevyhověno.</w:t>
            </w:r>
          </w:p>
          <w:p w14:paraId="52FF22D9" w14:textId="5C33FB4B" w:rsidR="00FD289F" w:rsidRPr="0035187E" w:rsidRDefault="007F798C" w:rsidP="0035187E">
            <w:pPr>
              <w:jc w:val="both"/>
              <w:rPr>
                <w:rFonts w:ascii="Times New Roman" w:hAnsi="Times New Roman" w:cs="Times New Roman"/>
                <w:sz w:val="20"/>
                <w:szCs w:val="20"/>
              </w:rPr>
            </w:pPr>
            <w:r w:rsidRPr="0035187E">
              <w:rPr>
                <w:rFonts w:ascii="Times New Roman" w:hAnsi="Times New Roman" w:cs="Times New Roman"/>
                <w:sz w:val="20"/>
                <w:szCs w:val="20"/>
              </w:rPr>
              <w:t>Vydání prováděcího předpisu se nepředpokládá.</w:t>
            </w:r>
          </w:p>
        </w:tc>
      </w:tr>
      <w:tr w:rsidR="0035187E" w:rsidRPr="0035187E" w14:paraId="31C5699D"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C4AC3E8" w14:textId="5DCD7E9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133.</w:t>
            </w:r>
          </w:p>
        </w:tc>
        <w:tc>
          <w:tcPr>
            <w:tcW w:w="583" w:type="pct"/>
            <w:tcBorders>
              <w:top w:val="single" w:sz="4" w:space="0" w:color="auto"/>
              <w:left w:val="single" w:sz="4" w:space="0" w:color="auto"/>
              <w:right w:val="single" w:sz="4" w:space="0" w:color="auto"/>
            </w:tcBorders>
            <w:shd w:val="clear" w:color="auto" w:fill="auto"/>
          </w:tcPr>
          <w:p w14:paraId="3B4A7532" w14:textId="144FDE8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Národní rada osob se zdravotním postižením </w:t>
            </w:r>
          </w:p>
        </w:tc>
        <w:tc>
          <w:tcPr>
            <w:tcW w:w="168" w:type="pct"/>
            <w:tcBorders>
              <w:top w:val="single" w:sz="4" w:space="0" w:color="auto"/>
              <w:left w:val="single" w:sz="4" w:space="0" w:color="auto"/>
              <w:right w:val="single" w:sz="4" w:space="0" w:color="auto"/>
            </w:tcBorders>
            <w:shd w:val="clear" w:color="auto" w:fill="auto"/>
          </w:tcPr>
          <w:p w14:paraId="327ED7CE" w14:textId="0D79F33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4729CF1B" w14:textId="1A74619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C293546" w14:textId="437A7CE6" w:rsidR="000B4BD4" w:rsidRPr="0035187E" w:rsidRDefault="000B4BD4" w:rsidP="0035187E">
            <w:pPr>
              <w:jc w:val="both"/>
              <w:rPr>
                <w:rFonts w:ascii="Times New Roman" w:eastAsia="Calibri" w:hAnsi="Times New Roman" w:cs="Times New Roman"/>
                <w:b/>
                <w:bCs/>
                <w:kern w:val="2"/>
                <w:sz w:val="20"/>
                <w:szCs w:val="20"/>
                <w:u w:val="single"/>
                <w:lang w:eastAsia="en-US"/>
                <w14:ligatures w14:val="standardContextual"/>
              </w:rPr>
            </w:pPr>
            <w:r w:rsidRPr="0035187E">
              <w:rPr>
                <w:rFonts w:ascii="Times New Roman" w:eastAsia="Calibri" w:hAnsi="Times New Roman" w:cs="Times New Roman"/>
                <w:b/>
                <w:bCs/>
                <w:kern w:val="2"/>
                <w:sz w:val="20"/>
                <w:szCs w:val="20"/>
                <w:u w:val="single"/>
                <w:lang w:eastAsia="en-US"/>
                <w14:ligatures w14:val="standardContextual"/>
              </w:rPr>
              <w:t>Obecné připomínky:</w:t>
            </w:r>
          </w:p>
          <w:p w14:paraId="4D1658AC" w14:textId="77777777" w:rsidR="000B4BD4" w:rsidRPr="0035187E" w:rsidRDefault="000B4BD4" w:rsidP="0035187E">
            <w:pPr>
              <w:jc w:val="both"/>
              <w:rPr>
                <w:rFonts w:ascii="Times New Roman" w:eastAsia="Calibri" w:hAnsi="Times New Roman" w:cs="Times New Roman"/>
                <w:b/>
                <w:bCs/>
                <w:kern w:val="2"/>
                <w:sz w:val="20"/>
                <w:szCs w:val="20"/>
                <w:u w:val="single"/>
                <w:lang w:eastAsia="en-US"/>
                <w14:ligatures w14:val="standardContextual"/>
              </w:rPr>
            </w:pPr>
          </w:p>
          <w:p w14:paraId="73ED7354" w14:textId="77777777" w:rsidR="000B4BD4" w:rsidRPr="0035187E" w:rsidRDefault="000B4BD4" w:rsidP="0035187E">
            <w:pPr>
              <w:jc w:val="both"/>
              <w:rPr>
                <w:rFonts w:ascii="Times New Roman" w:eastAsia="Calibri" w:hAnsi="Times New Roman" w:cs="Times New Roman"/>
                <w:kern w:val="2"/>
                <w:sz w:val="20"/>
                <w:szCs w:val="20"/>
                <w:lang w:eastAsia="en-US"/>
                <w14:ligatures w14:val="standardContextual"/>
              </w:rPr>
            </w:pPr>
            <w:r w:rsidRPr="0035187E">
              <w:rPr>
                <w:rFonts w:ascii="Times New Roman" w:eastAsia="Calibri" w:hAnsi="Times New Roman" w:cs="Times New Roman"/>
                <w:kern w:val="2"/>
                <w:sz w:val="20"/>
                <w:szCs w:val="20"/>
                <w:lang w:eastAsia="en-US"/>
                <w14:ligatures w14:val="standardContextual"/>
              </w:rPr>
              <w:t>Návrh zákona a na něj navazující prováděcí a metodické předpisy by měly výslovně a důsledně garantovat plnou přístupnost veškerých souvisejících informačních systémů, platforem a podpůrných materiálů pro osoby se zdravotním postižením, a to v souladu se zákonem č. 424/2023 Sb., o požadavcích na přístupnost některých výrobků a služeb. Z tohoto důvodu se nám jeví jako nezbytné zajištění následujících opatření:</w:t>
            </w:r>
          </w:p>
          <w:p w14:paraId="29FB0D69" w14:textId="0EAA7A81" w:rsidR="000B4BD4" w:rsidRPr="0035187E" w:rsidRDefault="000B4BD4" w:rsidP="0035187E">
            <w:pPr>
              <w:jc w:val="both"/>
              <w:rPr>
                <w:rFonts w:ascii="Times New Roman" w:hAnsi="Times New Roman" w:cs="Times New Roman"/>
                <w:b/>
                <w:sz w:val="20"/>
                <w:szCs w:val="20"/>
              </w:rPr>
            </w:pPr>
            <w:r w:rsidRPr="0035187E">
              <w:rPr>
                <w:rFonts w:ascii="Times New Roman" w:eastAsia="Calibri" w:hAnsi="Times New Roman" w:cs="Times New Roman"/>
                <w:kern w:val="2"/>
                <w:sz w:val="20"/>
                <w:szCs w:val="20"/>
                <w:lang w:eastAsia="en-US"/>
                <w14:ligatures w14:val="standardContextual"/>
              </w:rPr>
              <w:t>1. Plná přístupnost digitálního prostředí: Veškerý digitální obsah spojený s plněním povinností dle zákona o EET (oficiální webové stránky, mobilní i webové aplikace, elektronické formuláře, manuály a návody) musí bez výjimky splňovat požadavky a standardy přístupnosti podle zákona č. 99/2019 Sb., o požadavcích na přístupnost internetových stránek a mobilních aplikací.</w:t>
            </w:r>
          </w:p>
        </w:tc>
        <w:tc>
          <w:tcPr>
            <w:tcW w:w="1453" w:type="pct"/>
            <w:tcBorders>
              <w:top w:val="single" w:sz="4" w:space="0" w:color="auto"/>
              <w:left w:val="single" w:sz="4" w:space="0" w:color="auto"/>
              <w:right w:val="single" w:sz="4" w:space="0" w:color="auto"/>
            </w:tcBorders>
            <w:shd w:val="clear" w:color="auto" w:fill="auto"/>
          </w:tcPr>
          <w:p w14:paraId="6E4EF7A6" w14:textId="4355C5AF" w:rsidR="008F0164" w:rsidRPr="0035187E" w:rsidRDefault="008F0164" w:rsidP="0035187E">
            <w:pPr>
              <w:jc w:val="both"/>
              <w:rPr>
                <w:rFonts w:ascii="Times New Roman" w:hAnsi="Times New Roman" w:cs="Times New Roman"/>
                <w:b/>
                <w:sz w:val="20"/>
                <w:szCs w:val="20"/>
              </w:rPr>
            </w:pPr>
            <w:r w:rsidRPr="0035187E">
              <w:rPr>
                <w:rFonts w:ascii="Times New Roman" w:hAnsi="Times New Roman" w:cs="Times New Roman"/>
                <w:b/>
                <w:sz w:val="20"/>
                <w:szCs w:val="20"/>
              </w:rPr>
              <w:t>Bere se na vědomí.</w:t>
            </w:r>
          </w:p>
          <w:p w14:paraId="1F3E3D61" w14:textId="1038CBCA" w:rsidR="000B4BD4" w:rsidRPr="0035187E" w:rsidRDefault="008F0164" w:rsidP="0035187E">
            <w:pPr>
              <w:jc w:val="both"/>
              <w:rPr>
                <w:rFonts w:ascii="Times New Roman" w:hAnsi="Times New Roman" w:cs="Times New Roman"/>
                <w:sz w:val="20"/>
                <w:szCs w:val="20"/>
              </w:rPr>
            </w:pPr>
            <w:r w:rsidRPr="0035187E">
              <w:rPr>
                <w:rFonts w:ascii="Times New Roman" w:hAnsi="Times New Roman" w:cs="Times New Roman"/>
                <w:sz w:val="20"/>
                <w:szCs w:val="20"/>
              </w:rPr>
              <w:t>S plnou přístupností dotčených systémů se samozřejmě počítá. Generální finanční ředitelství spolupracuje s dotčenými subjekty. Daná povinnost vyplývá, jak zmiňuje připomínkové místo, z jiných právních předpisů, a proto není nutné ji zakotvovat přímo v návrhu zákona.</w:t>
            </w:r>
          </w:p>
        </w:tc>
      </w:tr>
      <w:tr w:rsidR="0035187E" w:rsidRPr="0035187E" w14:paraId="546E40AC"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F0E3943" w14:textId="37E5DA4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133.</w:t>
            </w:r>
          </w:p>
        </w:tc>
        <w:tc>
          <w:tcPr>
            <w:tcW w:w="583" w:type="pct"/>
            <w:tcBorders>
              <w:top w:val="single" w:sz="4" w:space="0" w:color="auto"/>
              <w:left w:val="single" w:sz="4" w:space="0" w:color="auto"/>
              <w:right w:val="single" w:sz="4" w:space="0" w:color="auto"/>
            </w:tcBorders>
            <w:shd w:val="clear" w:color="auto" w:fill="auto"/>
          </w:tcPr>
          <w:p w14:paraId="1FB7A120" w14:textId="07F3E48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Národní rada osob se zdravotním postižením </w:t>
            </w:r>
          </w:p>
        </w:tc>
        <w:tc>
          <w:tcPr>
            <w:tcW w:w="168" w:type="pct"/>
            <w:tcBorders>
              <w:top w:val="single" w:sz="4" w:space="0" w:color="auto"/>
              <w:left w:val="single" w:sz="4" w:space="0" w:color="auto"/>
              <w:right w:val="single" w:sz="4" w:space="0" w:color="auto"/>
            </w:tcBorders>
            <w:shd w:val="clear" w:color="auto" w:fill="auto"/>
          </w:tcPr>
          <w:p w14:paraId="62ACFDAC" w14:textId="4E0F57B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w:t>
            </w:r>
          </w:p>
        </w:tc>
        <w:tc>
          <w:tcPr>
            <w:tcW w:w="169" w:type="pct"/>
            <w:tcBorders>
              <w:top w:val="single" w:sz="4" w:space="0" w:color="auto"/>
              <w:left w:val="single" w:sz="4" w:space="0" w:color="auto"/>
              <w:right w:val="single" w:sz="4" w:space="0" w:color="auto"/>
            </w:tcBorders>
            <w:shd w:val="clear" w:color="auto" w:fill="auto"/>
          </w:tcPr>
          <w:p w14:paraId="218CA067" w14:textId="74DBBAD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AF25EFE" w14:textId="3BD2D230" w:rsidR="000B4BD4" w:rsidRPr="0035187E" w:rsidRDefault="000B4BD4" w:rsidP="0035187E">
            <w:pPr>
              <w:jc w:val="both"/>
              <w:rPr>
                <w:rFonts w:ascii="Times New Roman" w:eastAsia="Calibri" w:hAnsi="Times New Roman" w:cs="Times New Roman"/>
                <w:kern w:val="2"/>
                <w:sz w:val="20"/>
                <w:szCs w:val="20"/>
                <w:lang w:eastAsia="en-US"/>
                <w14:ligatures w14:val="standardContextual"/>
              </w:rPr>
            </w:pPr>
            <w:r w:rsidRPr="0035187E">
              <w:rPr>
                <w:rFonts w:ascii="Times New Roman" w:eastAsia="Calibri" w:hAnsi="Times New Roman" w:cs="Times New Roman"/>
                <w:kern w:val="2"/>
                <w:sz w:val="20"/>
                <w:szCs w:val="20"/>
                <w:lang w:eastAsia="en-US"/>
                <w14:ligatures w14:val="standardContextual"/>
              </w:rPr>
              <w:t>2. Přístupnost veškerých instruktážních materiálů pro osoby se sluchovým postižením: Požadujeme, aby byla veškerá případná instruktážní a informační videa určená pro OSVČ a podnikatele standardně opatřena nejen titulky, ale rovněž překladem do českého znakového jazyka, překlad do českého znakového jazyka požadujeme i u manuálů v psané podobě (pro uživatele českého znakového jazyka je psaná čeština cizím jazykem).</w:t>
            </w:r>
          </w:p>
        </w:tc>
        <w:tc>
          <w:tcPr>
            <w:tcW w:w="1453" w:type="pct"/>
            <w:tcBorders>
              <w:top w:val="single" w:sz="4" w:space="0" w:color="auto"/>
              <w:left w:val="single" w:sz="4" w:space="0" w:color="auto"/>
              <w:right w:val="single" w:sz="4" w:space="0" w:color="auto"/>
            </w:tcBorders>
            <w:shd w:val="clear" w:color="auto" w:fill="auto"/>
          </w:tcPr>
          <w:p w14:paraId="4E2B4D38" w14:textId="77777777" w:rsidR="00F70958" w:rsidRPr="0035187E" w:rsidRDefault="00F70958" w:rsidP="0035187E">
            <w:pPr>
              <w:jc w:val="both"/>
              <w:rPr>
                <w:rFonts w:ascii="Times New Roman" w:hAnsi="Times New Roman" w:cs="Times New Roman"/>
                <w:b/>
                <w:sz w:val="20"/>
                <w:szCs w:val="20"/>
              </w:rPr>
            </w:pPr>
            <w:r w:rsidRPr="0035187E">
              <w:rPr>
                <w:rFonts w:ascii="Times New Roman" w:hAnsi="Times New Roman" w:cs="Times New Roman"/>
                <w:b/>
                <w:sz w:val="20"/>
                <w:szCs w:val="20"/>
              </w:rPr>
              <w:t>Bere se na vědomí.</w:t>
            </w:r>
          </w:p>
          <w:p w14:paraId="2F330C5E" w14:textId="14E2F619" w:rsidR="008F0164" w:rsidRPr="0035187E" w:rsidRDefault="00F70958"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Požadavek se netýká navrhovaného normativního textu a nelze jej tedy považovat za připomínku k návrhu zákona. To neznamená, že se dotčené orgány veřejné moci (zejména orgány Finanční správy ČR) v rámci svých možností nesnaží o zajištění maximální dostupnosti jimi </w:t>
            </w:r>
            <w:proofErr w:type="gramStart"/>
            <w:r w:rsidRPr="0035187E">
              <w:rPr>
                <w:rFonts w:ascii="Times New Roman" w:hAnsi="Times New Roman" w:cs="Times New Roman"/>
                <w:sz w:val="20"/>
                <w:szCs w:val="20"/>
              </w:rPr>
              <w:t>zveřejňovaným informací</w:t>
            </w:r>
            <w:proofErr w:type="gramEnd"/>
          </w:p>
        </w:tc>
      </w:tr>
      <w:tr w:rsidR="0035187E" w:rsidRPr="0035187E" w14:paraId="24CF63BC"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DB07CC6" w14:textId="3293103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133.</w:t>
            </w:r>
          </w:p>
        </w:tc>
        <w:tc>
          <w:tcPr>
            <w:tcW w:w="583" w:type="pct"/>
            <w:tcBorders>
              <w:top w:val="single" w:sz="4" w:space="0" w:color="auto"/>
              <w:left w:val="single" w:sz="4" w:space="0" w:color="auto"/>
              <w:right w:val="single" w:sz="4" w:space="0" w:color="auto"/>
            </w:tcBorders>
            <w:shd w:val="clear" w:color="auto" w:fill="auto"/>
          </w:tcPr>
          <w:p w14:paraId="46AF7B11" w14:textId="4EE213E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Národní rada osob se zdravotním postižením </w:t>
            </w:r>
          </w:p>
        </w:tc>
        <w:tc>
          <w:tcPr>
            <w:tcW w:w="168" w:type="pct"/>
            <w:tcBorders>
              <w:top w:val="single" w:sz="4" w:space="0" w:color="auto"/>
              <w:left w:val="single" w:sz="4" w:space="0" w:color="auto"/>
              <w:right w:val="single" w:sz="4" w:space="0" w:color="auto"/>
            </w:tcBorders>
            <w:shd w:val="clear" w:color="auto" w:fill="auto"/>
          </w:tcPr>
          <w:p w14:paraId="55110B6C" w14:textId="7401168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3.</w:t>
            </w:r>
          </w:p>
        </w:tc>
        <w:tc>
          <w:tcPr>
            <w:tcW w:w="169" w:type="pct"/>
            <w:tcBorders>
              <w:top w:val="single" w:sz="4" w:space="0" w:color="auto"/>
              <w:left w:val="single" w:sz="4" w:space="0" w:color="auto"/>
              <w:right w:val="single" w:sz="4" w:space="0" w:color="auto"/>
            </w:tcBorders>
            <w:shd w:val="clear" w:color="auto" w:fill="auto"/>
          </w:tcPr>
          <w:p w14:paraId="09F01CAF" w14:textId="68CA74B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3E759A62" w14:textId="77777777" w:rsidR="000B4BD4" w:rsidRPr="0035187E" w:rsidRDefault="000B4BD4" w:rsidP="0035187E">
            <w:pPr>
              <w:jc w:val="both"/>
              <w:rPr>
                <w:rFonts w:ascii="Times New Roman" w:eastAsia="Calibri" w:hAnsi="Times New Roman" w:cs="Times New Roman"/>
                <w:kern w:val="2"/>
                <w:sz w:val="20"/>
                <w:szCs w:val="20"/>
                <w:lang w:eastAsia="en-US"/>
                <w14:ligatures w14:val="standardContextual"/>
              </w:rPr>
            </w:pPr>
            <w:r w:rsidRPr="0035187E">
              <w:rPr>
                <w:rFonts w:ascii="Times New Roman" w:eastAsia="Calibri" w:hAnsi="Times New Roman" w:cs="Times New Roman"/>
                <w:kern w:val="2"/>
                <w:sz w:val="20"/>
                <w:szCs w:val="20"/>
                <w:lang w:eastAsia="en-US"/>
                <w14:ligatures w14:val="standardContextual"/>
              </w:rPr>
              <w:t xml:space="preserve">3. Upozorňujeme na skutečnost, že limit vlastních příjmů manžela ve výši 68.000, - Kč nebyl od roku 2008 navýšen, což podstatně zužuje okruh osob, které by jej mohli využít.  </w:t>
            </w:r>
          </w:p>
          <w:p w14:paraId="40B0669C" w14:textId="77777777" w:rsidR="000B4BD4" w:rsidRPr="0035187E" w:rsidRDefault="000B4BD4" w:rsidP="0035187E">
            <w:pPr>
              <w:jc w:val="both"/>
              <w:rPr>
                <w:rFonts w:ascii="Times New Roman" w:eastAsia="Calibri" w:hAnsi="Times New Roman" w:cs="Times New Roman"/>
                <w:kern w:val="2"/>
                <w:sz w:val="20"/>
                <w:szCs w:val="20"/>
                <w:lang w:eastAsia="en-US"/>
                <w14:ligatures w14:val="standardContextual"/>
              </w:rPr>
            </w:pPr>
            <w:r w:rsidRPr="0035187E">
              <w:rPr>
                <w:rFonts w:ascii="Times New Roman" w:eastAsia="Calibri" w:hAnsi="Times New Roman" w:cs="Times New Roman"/>
                <w:kern w:val="2"/>
                <w:sz w:val="20"/>
                <w:szCs w:val="20"/>
                <w:lang w:eastAsia="en-US"/>
                <w14:ligatures w14:val="standardContextual"/>
              </w:rPr>
              <w:t xml:space="preserve">Považujeme za žádoucí zvýšení limitu vlastních příjmů manžela nebo manželky pro uplatnění slevy na manžela/manželku, který je v současnosti stanoven na částku 68 000 Kč </w:t>
            </w:r>
            <w:r w:rsidRPr="0035187E">
              <w:rPr>
                <w:rFonts w:ascii="Times New Roman" w:eastAsia="Calibri" w:hAnsi="Times New Roman" w:cs="Times New Roman"/>
                <w:kern w:val="2"/>
                <w:sz w:val="20"/>
                <w:szCs w:val="20"/>
                <w:lang w:eastAsia="en-US"/>
                <w14:ligatures w14:val="standardContextual"/>
              </w:rPr>
              <w:lastRenderedPageBreak/>
              <w:t xml:space="preserve">ročně, neboť, tak jak výše uvádíme, nebyl limit valorizován od roku 2008, přestože od té doby došlo k výraznému růstu mezd i životních nákladů. </w:t>
            </w:r>
          </w:p>
          <w:p w14:paraId="4A5D53AD" w14:textId="77777777" w:rsidR="000B4BD4" w:rsidRPr="0035187E" w:rsidRDefault="000B4BD4" w:rsidP="0035187E">
            <w:pPr>
              <w:jc w:val="both"/>
              <w:rPr>
                <w:rFonts w:ascii="Times New Roman" w:eastAsia="Calibri" w:hAnsi="Times New Roman" w:cs="Times New Roman"/>
                <w:kern w:val="2"/>
                <w:sz w:val="20"/>
                <w:szCs w:val="20"/>
                <w:lang w:eastAsia="en-US"/>
                <w14:ligatures w14:val="standardContextual"/>
              </w:rPr>
            </w:pPr>
            <w:r w:rsidRPr="0035187E">
              <w:rPr>
                <w:rFonts w:ascii="Times New Roman" w:eastAsia="Calibri" w:hAnsi="Times New Roman" w:cs="Times New Roman"/>
                <w:kern w:val="2"/>
                <w:sz w:val="20"/>
                <w:szCs w:val="20"/>
                <w:lang w:eastAsia="en-US"/>
                <w14:ligatures w14:val="standardContextual"/>
              </w:rPr>
              <w:t>Kumulovaná inflace v tomto období přesáhla desítky procent, čímž se reálná hodnota této částky výrazně snížila a limit již neodpovídá současným ekonomickým podmínkám. V praxi to vede k situacím, kdy i velmi nízké nebo krátkodobé příjmy druhého z manželů vedou ke ztrátě nároku na slevu, což neodpovídá původnímu účelu tohoto daňového nástroje, kterým je podpora domácností s jedním převážně ekonomicky aktivním členem. Navýšení limitu by proto představovalo logickou valorizaci dlouhodobě neměněné částky a přispělo by k obnovení její reálné funkce v daňovém systému.</w:t>
            </w:r>
          </w:p>
          <w:p w14:paraId="795FE7FD" w14:textId="77777777" w:rsidR="000B4BD4" w:rsidRPr="0035187E" w:rsidRDefault="000B4BD4" w:rsidP="0035187E">
            <w:pPr>
              <w:jc w:val="both"/>
              <w:rPr>
                <w:rFonts w:ascii="Times New Roman" w:eastAsia="Calibri" w:hAnsi="Times New Roman" w:cs="Times New Roman"/>
                <w:kern w:val="2"/>
                <w:sz w:val="20"/>
                <w:szCs w:val="20"/>
                <w:u w:val="single"/>
                <w:lang w:eastAsia="en-US"/>
                <w14:ligatures w14:val="standardContextual"/>
              </w:rPr>
            </w:pPr>
          </w:p>
          <w:p w14:paraId="6F53D470" w14:textId="77777777" w:rsidR="000B4BD4" w:rsidRPr="0035187E" w:rsidRDefault="000B4BD4" w:rsidP="0035187E">
            <w:pPr>
              <w:jc w:val="both"/>
              <w:rPr>
                <w:rFonts w:ascii="Times New Roman" w:eastAsia="Calibri" w:hAnsi="Times New Roman" w:cs="Times New Roman"/>
                <w:kern w:val="2"/>
                <w:sz w:val="20"/>
                <w:szCs w:val="20"/>
                <w:u w:val="single"/>
                <w:lang w:eastAsia="en-US"/>
                <w14:ligatures w14:val="standardContextual"/>
              </w:rPr>
            </w:pPr>
            <w:r w:rsidRPr="0035187E">
              <w:rPr>
                <w:rFonts w:ascii="Times New Roman" w:eastAsia="Calibri" w:hAnsi="Times New Roman" w:cs="Times New Roman"/>
                <w:kern w:val="2"/>
                <w:sz w:val="20"/>
                <w:szCs w:val="20"/>
                <w:u w:val="single"/>
                <w:lang w:eastAsia="en-US"/>
                <w14:ligatures w14:val="standardContextual"/>
              </w:rPr>
              <w:t>Odůvodnění:</w:t>
            </w:r>
          </w:p>
          <w:p w14:paraId="7E09AC84" w14:textId="77777777" w:rsidR="000B4BD4" w:rsidRPr="0035187E" w:rsidRDefault="000B4BD4" w:rsidP="0035187E">
            <w:pPr>
              <w:jc w:val="both"/>
              <w:rPr>
                <w:rFonts w:ascii="Times New Roman" w:eastAsia="Calibri" w:hAnsi="Times New Roman" w:cs="Times New Roman"/>
                <w:kern w:val="2"/>
                <w:sz w:val="20"/>
                <w:szCs w:val="20"/>
                <w:lang w:eastAsia="en-US"/>
                <w14:ligatures w14:val="standardContextual"/>
              </w:rPr>
            </w:pPr>
            <w:r w:rsidRPr="0035187E">
              <w:rPr>
                <w:rFonts w:ascii="Times New Roman" w:eastAsia="Calibri" w:hAnsi="Times New Roman" w:cs="Times New Roman"/>
                <w:kern w:val="2"/>
                <w:sz w:val="20"/>
                <w:szCs w:val="20"/>
                <w:lang w:eastAsia="en-US"/>
                <w14:ligatures w14:val="standardContextual"/>
              </w:rPr>
              <w:t>Mezi osobami samostatně výdělečně činnými (OSVČ) a dalšími subjekty, na které se bude zákon o evidenci tržeb vztahovat, se nachází osoby s různými formami zdravotního postižení, včetně osob s těžkým zrakovým nebo sluchovým postižením.</w:t>
            </w:r>
          </w:p>
          <w:p w14:paraId="542C5071" w14:textId="77777777" w:rsidR="000B4BD4" w:rsidRPr="0035187E" w:rsidRDefault="000B4BD4" w:rsidP="0035187E">
            <w:pPr>
              <w:jc w:val="both"/>
              <w:rPr>
                <w:rFonts w:ascii="Times New Roman" w:eastAsia="Calibri" w:hAnsi="Times New Roman" w:cs="Times New Roman"/>
                <w:kern w:val="2"/>
                <w:sz w:val="20"/>
                <w:szCs w:val="20"/>
                <w:lang w:eastAsia="en-US"/>
                <w14:ligatures w14:val="standardContextual"/>
              </w:rPr>
            </w:pPr>
            <w:r w:rsidRPr="0035187E">
              <w:rPr>
                <w:rFonts w:ascii="Times New Roman" w:eastAsia="Calibri" w:hAnsi="Times New Roman" w:cs="Times New Roman"/>
                <w:kern w:val="2"/>
                <w:sz w:val="20"/>
                <w:szCs w:val="20"/>
                <w:lang w:eastAsia="en-US"/>
                <w14:ligatures w14:val="standardContextual"/>
              </w:rPr>
              <w:t>Zavedení plošné povinnosti ze strany státu nesmí těmto občanům klást do cesty nepřiměřené a neřešitelné překážky. Je nezbytné mít absolutní jistotu, že tito podnikatelé budou mít rovný a bezbariérový přístup ke všem informacím, návodům a technickým nástrojům (webům, aplikacím), které ke splnění své zákonné povinnosti potřebují.</w:t>
            </w:r>
          </w:p>
          <w:p w14:paraId="5B890F02" w14:textId="774F9634" w:rsidR="000B4BD4" w:rsidRPr="0035187E" w:rsidRDefault="000B4BD4" w:rsidP="0035187E">
            <w:pPr>
              <w:jc w:val="both"/>
              <w:rPr>
                <w:rFonts w:ascii="Times New Roman" w:hAnsi="Times New Roman" w:cs="Times New Roman"/>
                <w:b/>
                <w:sz w:val="20"/>
                <w:szCs w:val="20"/>
              </w:rPr>
            </w:pPr>
            <w:r w:rsidRPr="0035187E">
              <w:rPr>
                <w:rFonts w:ascii="Times New Roman" w:eastAsia="Calibri" w:hAnsi="Times New Roman" w:cs="Times New Roman"/>
                <w:kern w:val="2"/>
                <w:sz w:val="20"/>
                <w:szCs w:val="20"/>
                <w:lang w:eastAsia="en-US"/>
                <w14:ligatures w14:val="standardContextual"/>
              </w:rPr>
              <w:t xml:space="preserve">Pokud by státní správa nevytvořila plně přístupné prostředí, došlo by k faktické diskriminaci těchto osob. Odepření srozumitelných informací (např. chybějící překlad do znakového jazyka) a nekompatibilita aplikací s </w:t>
            </w:r>
            <w:proofErr w:type="spellStart"/>
            <w:r w:rsidRPr="0035187E">
              <w:rPr>
                <w:rFonts w:ascii="Times New Roman" w:eastAsia="Calibri" w:hAnsi="Times New Roman" w:cs="Times New Roman"/>
                <w:kern w:val="2"/>
                <w:sz w:val="20"/>
                <w:szCs w:val="20"/>
                <w:lang w:eastAsia="en-US"/>
                <w14:ligatures w14:val="standardContextual"/>
              </w:rPr>
              <w:t>asistivními</w:t>
            </w:r>
            <w:proofErr w:type="spellEnd"/>
            <w:r w:rsidRPr="0035187E">
              <w:rPr>
                <w:rFonts w:ascii="Times New Roman" w:eastAsia="Calibri" w:hAnsi="Times New Roman" w:cs="Times New Roman"/>
                <w:kern w:val="2"/>
                <w:sz w:val="20"/>
                <w:szCs w:val="20"/>
                <w:lang w:eastAsia="en-US"/>
                <w14:ligatures w14:val="standardContextual"/>
              </w:rPr>
              <w:t xml:space="preserve"> technologiemi (např. odečítači obrazovky pro nevidomé) by pro mnoho z nich znamenala fatální ztížení nebo úplné znemožnění výkonu jejich podnikatelské činnosti.</w:t>
            </w:r>
          </w:p>
        </w:tc>
        <w:tc>
          <w:tcPr>
            <w:tcW w:w="1453" w:type="pct"/>
            <w:tcBorders>
              <w:top w:val="single" w:sz="4" w:space="0" w:color="auto"/>
              <w:left w:val="single" w:sz="4" w:space="0" w:color="auto"/>
              <w:right w:val="single" w:sz="4" w:space="0" w:color="auto"/>
            </w:tcBorders>
            <w:shd w:val="clear" w:color="auto" w:fill="auto"/>
          </w:tcPr>
          <w:p w14:paraId="360F8753" w14:textId="77777777" w:rsidR="00D167F0" w:rsidRPr="0035187E" w:rsidRDefault="00D167F0"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Nevyhověno.</w:t>
            </w:r>
          </w:p>
          <w:p w14:paraId="0CC73ED1" w14:textId="77777777" w:rsidR="00D167F0" w:rsidRPr="0035187E" w:rsidRDefault="00D167F0" w:rsidP="0035187E">
            <w:pPr>
              <w:jc w:val="both"/>
              <w:rPr>
                <w:rFonts w:ascii="Times New Roman" w:hAnsi="Times New Roman" w:cs="Times New Roman"/>
                <w:sz w:val="20"/>
                <w:szCs w:val="20"/>
              </w:rPr>
            </w:pPr>
            <w:r w:rsidRPr="0035187E">
              <w:rPr>
                <w:rFonts w:ascii="Times New Roman" w:hAnsi="Times New Roman" w:cs="Times New Roman"/>
                <w:sz w:val="20"/>
                <w:szCs w:val="20"/>
              </w:rPr>
              <w:t>Podnět přesahuje rámec navrhované úpravy zákona o evidenci tržeb.</w:t>
            </w:r>
          </w:p>
          <w:p w14:paraId="52C18C3A" w14:textId="77777777" w:rsidR="00D167F0" w:rsidRPr="0035187E" w:rsidRDefault="00D167F0" w:rsidP="0035187E">
            <w:pPr>
              <w:jc w:val="both"/>
              <w:rPr>
                <w:rFonts w:ascii="Times New Roman" w:hAnsi="Times New Roman" w:cs="Times New Roman"/>
                <w:sz w:val="20"/>
                <w:szCs w:val="20"/>
              </w:rPr>
            </w:pPr>
            <w:r w:rsidRPr="0035187E">
              <w:rPr>
                <w:rFonts w:ascii="Times New Roman" w:hAnsi="Times New Roman" w:cs="Times New Roman"/>
                <w:sz w:val="20"/>
                <w:szCs w:val="20"/>
              </w:rPr>
              <w:lastRenderedPageBreak/>
              <w:t>Navrhovaná valorizace roční částky 68 000 Kč pro uplatnění slevy na manžela vyvolává několik zásadních výhrad.</w:t>
            </w:r>
          </w:p>
          <w:p w14:paraId="662D5EAA" w14:textId="77777777" w:rsidR="00D167F0" w:rsidRPr="0035187E" w:rsidRDefault="00D167F0" w:rsidP="0035187E">
            <w:pPr>
              <w:jc w:val="both"/>
              <w:rPr>
                <w:rFonts w:ascii="Times New Roman" w:hAnsi="Times New Roman" w:cs="Times New Roman"/>
                <w:sz w:val="20"/>
                <w:szCs w:val="20"/>
              </w:rPr>
            </w:pPr>
            <w:r w:rsidRPr="0035187E">
              <w:rPr>
                <w:rFonts w:ascii="Times New Roman" w:hAnsi="Times New Roman" w:cs="Times New Roman"/>
                <w:sz w:val="20"/>
                <w:szCs w:val="20"/>
              </w:rPr>
              <w:t>Za prvé, původní hranice byla konstruována primárně jako nástroj reflektující ekonomickou závislost jednoho z manželů na příjmech druhého. Sleva má kompenzovat situace, kdy domácnost fakticky funguje na jednom hlavním příjmu a druhý z manželů nedosahuje vlastních relevantních výdělků. Zvýšení této hranice by vedlo k oslabení tohoto principu, protože by umožnilo uplatnění slevy i v případech, kdy druhý z manželů již vykazuje částečnou ekonomickou samostatnost. Tím by se oslabila vazba slevy na skutečnou ekonomickou závislost v rámci domácnosti a nástroj by se posunul od cílené kompenzace k obecnějšímu daňovému zvýhodnění.</w:t>
            </w:r>
          </w:p>
          <w:p w14:paraId="3411AABA" w14:textId="7595988A" w:rsidR="000B4BD4" w:rsidRPr="0035187E" w:rsidRDefault="00D167F0" w:rsidP="0035187E">
            <w:pPr>
              <w:jc w:val="both"/>
              <w:rPr>
                <w:rFonts w:ascii="Times New Roman" w:hAnsi="Times New Roman" w:cs="Times New Roman"/>
                <w:sz w:val="20"/>
                <w:szCs w:val="20"/>
              </w:rPr>
            </w:pPr>
            <w:r w:rsidRPr="0035187E">
              <w:rPr>
                <w:rFonts w:ascii="Times New Roman" w:hAnsi="Times New Roman" w:cs="Times New Roman"/>
                <w:sz w:val="20"/>
                <w:szCs w:val="20"/>
              </w:rPr>
              <w:t>Za druhé, valorizace hranice by znamenala výrazné zvýšení nákladů státního rozpočtu. Rozšíření okruhu poplatníků, kteří mohou slevu uplatnit, povede k vyšším daňovým úlevám, aniž by byla návrhem navržena odpovídající kompenzace v jiných oblastech. Tento dopad by mohl být významný a může negativně ovlivnit finanční stabilitu státního rozpočtu.</w:t>
            </w:r>
          </w:p>
        </w:tc>
      </w:tr>
      <w:tr w:rsidR="0035187E" w:rsidRPr="0035187E" w14:paraId="44370023"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4331E5AF" w14:textId="522168E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133.</w:t>
            </w:r>
          </w:p>
        </w:tc>
        <w:tc>
          <w:tcPr>
            <w:tcW w:w="583" w:type="pct"/>
            <w:tcBorders>
              <w:top w:val="single" w:sz="4" w:space="0" w:color="auto"/>
              <w:left w:val="single" w:sz="4" w:space="0" w:color="auto"/>
              <w:right w:val="single" w:sz="4" w:space="0" w:color="auto"/>
            </w:tcBorders>
            <w:shd w:val="clear" w:color="auto" w:fill="auto"/>
          </w:tcPr>
          <w:p w14:paraId="6C4541DD" w14:textId="66C2D27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Národní rada osob se zdravotním postižením </w:t>
            </w:r>
          </w:p>
        </w:tc>
        <w:tc>
          <w:tcPr>
            <w:tcW w:w="168" w:type="pct"/>
            <w:tcBorders>
              <w:top w:val="single" w:sz="4" w:space="0" w:color="auto"/>
              <w:left w:val="single" w:sz="4" w:space="0" w:color="auto"/>
              <w:right w:val="single" w:sz="4" w:space="0" w:color="auto"/>
            </w:tcBorders>
            <w:shd w:val="clear" w:color="auto" w:fill="auto"/>
          </w:tcPr>
          <w:p w14:paraId="37FCAC94" w14:textId="60474F6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w:t>
            </w:r>
          </w:p>
        </w:tc>
        <w:tc>
          <w:tcPr>
            <w:tcW w:w="169" w:type="pct"/>
            <w:tcBorders>
              <w:top w:val="single" w:sz="4" w:space="0" w:color="auto"/>
              <w:left w:val="single" w:sz="4" w:space="0" w:color="auto"/>
              <w:right w:val="single" w:sz="4" w:space="0" w:color="auto"/>
            </w:tcBorders>
            <w:shd w:val="clear" w:color="auto" w:fill="auto"/>
          </w:tcPr>
          <w:p w14:paraId="737575D1" w14:textId="2ABDBCB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FCB7600" w14:textId="77777777" w:rsidR="000B4BD4" w:rsidRPr="0035187E" w:rsidRDefault="000B4BD4" w:rsidP="0035187E">
            <w:pPr>
              <w:jc w:val="both"/>
              <w:rPr>
                <w:rFonts w:ascii="Times New Roman" w:eastAsia="Calibri" w:hAnsi="Times New Roman" w:cs="Times New Roman"/>
                <w:b/>
                <w:bCs/>
                <w:kern w:val="2"/>
                <w:sz w:val="20"/>
                <w:szCs w:val="20"/>
                <w:u w:val="single"/>
                <w:lang w:eastAsia="en-US"/>
                <w14:ligatures w14:val="standardContextual"/>
              </w:rPr>
            </w:pPr>
            <w:r w:rsidRPr="0035187E">
              <w:rPr>
                <w:rFonts w:ascii="Times New Roman" w:eastAsia="Calibri" w:hAnsi="Times New Roman" w:cs="Times New Roman"/>
                <w:b/>
                <w:bCs/>
                <w:kern w:val="2"/>
                <w:sz w:val="20"/>
                <w:szCs w:val="20"/>
                <w:u w:val="single"/>
                <w:lang w:eastAsia="en-US"/>
                <w14:ligatures w14:val="standardContextual"/>
              </w:rPr>
              <w:t>Konkrétní připomínky:</w:t>
            </w:r>
          </w:p>
          <w:p w14:paraId="6B7AD402" w14:textId="77777777" w:rsidR="000B4BD4" w:rsidRPr="0035187E" w:rsidRDefault="000B4BD4" w:rsidP="0035187E">
            <w:pPr>
              <w:jc w:val="both"/>
              <w:rPr>
                <w:rFonts w:ascii="Times New Roman" w:eastAsia="Calibri" w:hAnsi="Times New Roman" w:cs="Times New Roman"/>
                <w:b/>
                <w:bCs/>
                <w:kern w:val="2"/>
                <w:sz w:val="20"/>
                <w:szCs w:val="20"/>
                <w:u w:val="single"/>
                <w:lang w:eastAsia="en-US"/>
                <w14:ligatures w14:val="standardContextual"/>
              </w:rPr>
            </w:pPr>
          </w:p>
          <w:p w14:paraId="62245439" w14:textId="2907DD9E" w:rsidR="000B4BD4" w:rsidRPr="0035187E" w:rsidRDefault="000B4BD4" w:rsidP="0035187E">
            <w:pPr>
              <w:numPr>
                <w:ilvl w:val="0"/>
                <w:numId w:val="3"/>
              </w:numPr>
              <w:ind w:left="0" w:firstLine="0"/>
              <w:contextualSpacing/>
              <w:jc w:val="both"/>
              <w:rPr>
                <w:rFonts w:ascii="Times New Roman" w:eastAsia="Calibri" w:hAnsi="Times New Roman" w:cs="Times New Roman"/>
                <w:kern w:val="2"/>
                <w:sz w:val="20"/>
                <w:szCs w:val="20"/>
                <w:lang w:eastAsia="en-US"/>
                <w14:ligatures w14:val="standardContextual"/>
              </w:rPr>
            </w:pPr>
            <w:r w:rsidRPr="0035187E">
              <w:rPr>
                <w:rFonts w:ascii="Times New Roman" w:eastAsia="Calibri" w:hAnsi="Times New Roman" w:cs="Times New Roman"/>
                <w:b/>
                <w:bCs/>
                <w:kern w:val="2"/>
                <w:sz w:val="20"/>
                <w:szCs w:val="20"/>
                <w:lang w:eastAsia="en-US"/>
                <w14:ligatures w14:val="standardContextual"/>
              </w:rPr>
              <w:t xml:space="preserve">Díl 3, § 12, odst. 4, písmeno a): za slova „kterému je přiznán nárok na průkaz“ se vkládají slova ZTP z důvodu oboustranné těžké ztráty zraku nebo kombinovaného postižení sluchu a zraku (hluchoslepota)“ a dále text pokračuje slovy a ZTP/P z důvodu úplné nebo praktické nevidomosti nebo těžké hluchoslepoty. </w:t>
            </w:r>
          </w:p>
          <w:p w14:paraId="2DCDCA9F" w14:textId="77777777" w:rsidR="000B4BD4" w:rsidRPr="0035187E" w:rsidRDefault="000B4BD4" w:rsidP="0035187E">
            <w:pPr>
              <w:contextualSpacing/>
              <w:jc w:val="both"/>
              <w:rPr>
                <w:rFonts w:ascii="Times New Roman" w:eastAsia="Calibri" w:hAnsi="Times New Roman" w:cs="Times New Roman"/>
                <w:kern w:val="2"/>
                <w:sz w:val="20"/>
                <w:szCs w:val="20"/>
                <w:lang w:eastAsia="en-US"/>
                <w14:ligatures w14:val="standardContextual"/>
              </w:rPr>
            </w:pPr>
          </w:p>
          <w:p w14:paraId="26C00685" w14:textId="4AE2EF88" w:rsidR="000B4BD4" w:rsidRPr="0035187E" w:rsidRDefault="000B4BD4" w:rsidP="0035187E">
            <w:pPr>
              <w:jc w:val="both"/>
              <w:rPr>
                <w:rFonts w:ascii="Times New Roman" w:eastAsia="Calibri" w:hAnsi="Times New Roman" w:cs="Times New Roman"/>
                <w:kern w:val="2"/>
                <w:sz w:val="20"/>
                <w:szCs w:val="20"/>
                <w:u w:val="single"/>
                <w:lang w:eastAsia="en-US"/>
                <w14:ligatures w14:val="standardContextual"/>
              </w:rPr>
            </w:pPr>
            <w:r w:rsidRPr="0035187E">
              <w:rPr>
                <w:rFonts w:ascii="Times New Roman" w:eastAsia="Calibri" w:hAnsi="Times New Roman" w:cs="Times New Roman"/>
                <w:kern w:val="2"/>
                <w:sz w:val="20"/>
                <w:szCs w:val="20"/>
                <w:u w:val="single"/>
                <w:lang w:eastAsia="en-US"/>
                <w14:ligatures w14:val="standardContextual"/>
              </w:rPr>
              <w:t>Odůvodnění:</w:t>
            </w:r>
          </w:p>
          <w:p w14:paraId="7F0C0FF7" w14:textId="77777777" w:rsidR="000B4BD4" w:rsidRPr="0035187E" w:rsidRDefault="000B4BD4" w:rsidP="0035187E">
            <w:pPr>
              <w:jc w:val="both"/>
              <w:rPr>
                <w:rFonts w:ascii="Times New Roman" w:eastAsia="Calibri" w:hAnsi="Times New Roman" w:cs="Times New Roman"/>
                <w:kern w:val="2"/>
                <w:sz w:val="20"/>
                <w:szCs w:val="20"/>
                <w:u w:val="single"/>
                <w:lang w:eastAsia="en-US"/>
                <w14:ligatures w14:val="standardContextual"/>
              </w:rPr>
            </w:pPr>
          </w:p>
          <w:p w14:paraId="2FC6E0CD" w14:textId="77777777" w:rsidR="000B4BD4" w:rsidRPr="0035187E" w:rsidRDefault="000B4BD4" w:rsidP="0035187E">
            <w:pPr>
              <w:jc w:val="both"/>
              <w:rPr>
                <w:rFonts w:ascii="Times New Roman" w:eastAsia="Calibri" w:hAnsi="Times New Roman" w:cs="Times New Roman"/>
                <w:kern w:val="2"/>
                <w:sz w:val="20"/>
                <w:szCs w:val="20"/>
                <w:u w:val="single"/>
                <w:lang w:eastAsia="en-US"/>
                <w14:ligatures w14:val="standardContextual"/>
              </w:rPr>
            </w:pPr>
            <w:r w:rsidRPr="0035187E">
              <w:rPr>
                <w:rFonts w:ascii="Times New Roman" w:eastAsia="Calibri" w:hAnsi="Times New Roman" w:cs="Times New Roman"/>
                <w:kern w:val="2"/>
                <w:sz w:val="20"/>
                <w:szCs w:val="20"/>
                <w:u w:val="single"/>
                <w:lang w:eastAsia="en-US"/>
                <w14:ligatures w14:val="standardContextual"/>
              </w:rPr>
              <w:t>K § 12 odst. 4:</w:t>
            </w:r>
          </w:p>
          <w:p w14:paraId="7BAAF30F" w14:textId="0CCD7596" w:rsidR="000B4BD4" w:rsidRPr="0035187E" w:rsidRDefault="000B4BD4" w:rsidP="0035187E">
            <w:pPr>
              <w:ind w:firstLine="245"/>
              <w:jc w:val="both"/>
              <w:rPr>
                <w:rFonts w:ascii="Times New Roman" w:eastAsia="Calibri" w:hAnsi="Times New Roman" w:cs="Times New Roman"/>
                <w:kern w:val="2"/>
                <w:sz w:val="20"/>
                <w:szCs w:val="20"/>
                <w:lang w:eastAsia="en-US"/>
                <w14:ligatures w14:val="standardContextual"/>
              </w:rPr>
            </w:pPr>
            <w:r w:rsidRPr="0035187E">
              <w:rPr>
                <w:rFonts w:ascii="Times New Roman" w:eastAsia="Calibri" w:hAnsi="Times New Roman" w:cs="Times New Roman"/>
                <w:kern w:val="2"/>
                <w:sz w:val="20"/>
                <w:szCs w:val="20"/>
                <w:lang w:eastAsia="en-US"/>
                <w14:ligatures w14:val="standardContextual"/>
              </w:rPr>
              <w:t>Ustanovení § 12 stanoví výčet tržeb,</w:t>
            </w:r>
            <w:r w:rsidRPr="0035187E">
              <w:rPr>
                <w:rFonts w:ascii="Times New Roman" w:eastAsia="Calibri" w:hAnsi="Times New Roman" w:cs="Times New Roman"/>
                <w:kern w:val="2"/>
                <w:sz w:val="20"/>
                <w:szCs w:val="20"/>
                <w14:ligatures w14:val="standardContextual"/>
              </w:rPr>
              <w:t xml:space="preserve"> které jsou z evidence tržeb vyňaty. Mezi tyto výjimky je v odst. 4 písm. a) zahrnut i poplatník daně z příjmů fyzických osob, kterému byl </w:t>
            </w:r>
            <w:r w:rsidRPr="0035187E">
              <w:rPr>
                <w:rFonts w:ascii="Times New Roman" w:eastAsia="Calibri" w:hAnsi="Times New Roman" w:cs="Times New Roman"/>
                <w:kern w:val="2"/>
                <w:sz w:val="20"/>
                <w:szCs w:val="20"/>
                <w:lang w:eastAsia="en-US"/>
                <w14:ligatures w14:val="standardContextual"/>
              </w:rPr>
              <w:t xml:space="preserve">přiznán nárok na průkaz ZTP/P z důvodu úplné nebo praktické nevidomosti nebo těžké hluchoslepoty.  </w:t>
            </w:r>
          </w:p>
          <w:p w14:paraId="4124C2E6" w14:textId="77777777" w:rsidR="000B4BD4" w:rsidRPr="0035187E" w:rsidRDefault="000B4BD4" w:rsidP="0035187E">
            <w:pPr>
              <w:ind w:firstLine="708"/>
              <w:jc w:val="both"/>
              <w:rPr>
                <w:rFonts w:ascii="Times New Roman" w:eastAsia="Calibri" w:hAnsi="Times New Roman" w:cs="Times New Roman"/>
                <w:kern w:val="2"/>
                <w:sz w:val="20"/>
                <w:szCs w:val="20"/>
                <w:lang w:eastAsia="en-US"/>
                <w14:ligatures w14:val="standardContextual"/>
              </w:rPr>
            </w:pPr>
          </w:p>
          <w:p w14:paraId="683B7770" w14:textId="0849BC62" w:rsidR="000B4BD4" w:rsidRPr="0035187E" w:rsidRDefault="000B4BD4" w:rsidP="0035187E">
            <w:pPr>
              <w:ind w:firstLine="245"/>
              <w:jc w:val="both"/>
              <w:rPr>
                <w:rFonts w:ascii="Times New Roman" w:eastAsia="Calibri" w:hAnsi="Times New Roman" w:cs="Times New Roman"/>
                <w:kern w:val="2"/>
                <w:sz w:val="20"/>
                <w:szCs w:val="20"/>
                <w:lang w:eastAsia="en-US"/>
                <w14:ligatures w14:val="standardContextual"/>
              </w:rPr>
            </w:pPr>
            <w:r w:rsidRPr="0035187E">
              <w:rPr>
                <w:rFonts w:ascii="Times New Roman" w:eastAsia="Calibri" w:hAnsi="Times New Roman" w:cs="Times New Roman"/>
                <w:kern w:val="2"/>
                <w:sz w:val="20"/>
                <w:szCs w:val="20"/>
                <w:lang w:eastAsia="en-US"/>
                <w14:ligatures w14:val="standardContextual"/>
              </w:rPr>
              <w:t xml:space="preserve">Povinnost elektronické evidence tržeb představuje pro tuto skupinu podnikatelů nepřiměřenou administrativní, technickou a finanční zátěž. Evidence tržeb je založena na práci s digitálními technologiemi, pokladními systémy a internetovým připojením v reálném čase. Přestože existují </w:t>
            </w:r>
            <w:proofErr w:type="spellStart"/>
            <w:r w:rsidRPr="0035187E">
              <w:rPr>
                <w:rFonts w:ascii="Times New Roman" w:eastAsia="Calibri" w:hAnsi="Times New Roman" w:cs="Times New Roman"/>
                <w:kern w:val="2"/>
                <w:sz w:val="20"/>
                <w:szCs w:val="20"/>
                <w:lang w:eastAsia="en-US"/>
                <w14:ligatures w14:val="standardContextual"/>
              </w:rPr>
              <w:t>asistivní</w:t>
            </w:r>
            <w:proofErr w:type="spellEnd"/>
            <w:r w:rsidRPr="0035187E">
              <w:rPr>
                <w:rFonts w:ascii="Times New Roman" w:eastAsia="Calibri" w:hAnsi="Times New Roman" w:cs="Times New Roman"/>
                <w:kern w:val="2"/>
                <w:sz w:val="20"/>
                <w:szCs w:val="20"/>
                <w:lang w:eastAsia="en-US"/>
                <w14:ligatures w14:val="standardContextual"/>
              </w:rPr>
              <w:t xml:space="preserve"> technologie, jejich dostupnost a kompatibilita není vždy dostatečná, problémem je často i cenová náročnost, takže, nezbytnost jejich používání </w:t>
            </w:r>
            <w:r w:rsidRPr="0035187E">
              <w:rPr>
                <w:rFonts w:ascii="Times New Roman" w:eastAsia="Calibri" w:hAnsi="Times New Roman" w:cs="Times New Roman"/>
                <w:kern w:val="2"/>
                <w:sz w:val="20"/>
                <w:szCs w:val="20"/>
                <w:lang w:eastAsia="en-US"/>
                <w14:ligatures w14:val="standardContextual"/>
              </w:rPr>
              <w:lastRenderedPageBreak/>
              <w:t>může podnikání významně komplikovat. Zakotvení výjimky je tedy zcela opodstatněné, neboť vede k odstranění nepřiměřené zátěže dopadající na osoby se zrakovým postižením, k podpoře jejich pracovní a podnikatelské aktivity, přispívá k naplnění zásady rovného zacházení prostřednictvím přiměřeného zvýhodnění zranitelné skupiny, a současně zachovává proporcionalitu mezi veřejným zájmem na výběru daní a ochranou práv osob se zdravotním postižením. Tato výjimka tedy nemá za cíl narušit systém daňové kontroly, ale reflektovat specifické podmínky velmi omezené skupiny podnikatelů. Tato</w:t>
            </w:r>
            <w:r w:rsidRPr="0035187E">
              <w:rPr>
                <w:rFonts w:ascii="Times New Roman" w:eastAsia="Calibri" w:hAnsi="Times New Roman" w:cs="Times New Roman"/>
                <w:kern w:val="2"/>
                <w:sz w:val="20"/>
                <w:szCs w:val="20"/>
                <w14:ligatures w14:val="standardContextual"/>
              </w:rPr>
              <w:t xml:space="preserve"> úprava má navíc pozitivní sociální dopady, neboť podporuje ekonomickou soběstačnost osob se zdravotním postižením,</w:t>
            </w:r>
            <w:r w:rsidRPr="0035187E">
              <w:rPr>
                <w:rFonts w:ascii="Times New Roman" w:eastAsia="Calibri" w:hAnsi="Times New Roman" w:cs="Times New Roman"/>
                <w:kern w:val="2"/>
                <w:sz w:val="20"/>
                <w:szCs w:val="20"/>
                <w:lang w:eastAsia="en-US"/>
                <w14:ligatures w14:val="standardContextual"/>
              </w:rPr>
              <w:t xml:space="preserve"> </w:t>
            </w:r>
            <w:r w:rsidRPr="0035187E">
              <w:rPr>
                <w:rFonts w:ascii="Times New Roman" w:eastAsia="Calibri" w:hAnsi="Times New Roman" w:cs="Times New Roman"/>
                <w:kern w:val="2"/>
                <w:sz w:val="20"/>
                <w:szCs w:val="20"/>
                <w14:ligatures w14:val="standardContextual"/>
              </w:rPr>
              <w:t>přispívá k jejich integraci do pracovního trhu a napomáhá prevenci sociálního vyloučení.</w:t>
            </w:r>
            <w:r w:rsidRPr="0035187E">
              <w:rPr>
                <w:rFonts w:ascii="Times New Roman" w:eastAsia="Calibri" w:hAnsi="Times New Roman" w:cs="Times New Roman"/>
                <w:kern w:val="2"/>
                <w:sz w:val="20"/>
                <w:szCs w:val="20"/>
                <w:lang w:eastAsia="en-US"/>
                <w14:ligatures w14:val="standardContextual"/>
              </w:rPr>
              <w:t xml:space="preserve"> </w:t>
            </w:r>
          </w:p>
          <w:p w14:paraId="0FCCB753" w14:textId="77777777" w:rsidR="000B4BD4" w:rsidRPr="0035187E" w:rsidRDefault="000B4BD4" w:rsidP="0035187E">
            <w:pPr>
              <w:ind w:firstLine="708"/>
              <w:jc w:val="both"/>
              <w:rPr>
                <w:rFonts w:ascii="Times New Roman" w:eastAsia="Calibri" w:hAnsi="Times New Roman" w:cs="Times New Roman"/>
                <w:kern w:val="2"/>
                <w:sz w:val="20"/>
                <w:szCs w:val="20"/>
                <w:lang w:eastAsia="en-US"/>
                <w14:ligatures w14:val="standardContextual"/>
              </w:rPr>
            </w:pPr>
          </w:p>
          <w:p w14:paraId="4C620098" w14:textId="3BA195B6" w:rsidR="000B4BD4" w:rsidRPr="0035187E" w:rsidRDefault="000B4BD4" w:rsidP="0035187E">
            <w:pPr>
              <w:ind w:firstLine="245"/>
              <w:jc w:val="both"/>
              <w:rPr>
                <w:rFonts w:ascii="Times New Roman" w:eastAsia="Calibri" w:hAnsi="Times New Roman" w:cs="Times New Roman"/>
                <w:kern w:val="2"/>
                <w:sz w:val="20"/>
                <w:szCs w:val="20"/>
                <w:lang w:eastAsia="en-US"/>
                <w14:ligatures w14:val="standardContextual"/>
              </w:rPr>
            </w:pPr>
            <w:r w:rsidRPr="0035187E">
              <w:rPr>
                <w:rFonts w:ascii="Times New Roman" w:eastAsia="Calibri" w:hAnsi="Times New Roman" w:cs="Times New Roman"/>
                <w:kern w:val="2"/>
                <w:sz w:val="20"/>
                <w:szCs w:val="20"/>
                <w:lang w:eastAsia="en-US"/>
                <w14:ligatures w14:val="standardContextual"/>
              </w:rPr>
              <w:t>Výjimka</w:t>
            </w:r>
            <w:r w:rsidRPr="0035187E">
              <w:rPr>
                <w:rFonts w:ascii="Times New Roman" w:eastAsia="Calibri" w:hAnsi="Times New Roman" w:cs="Times New Roman"/>
                <w:kern w:val="2"/>
                <w:sz w:val="20"/>
                <w:szCs w:val="20"/>
                <w14:ligatures w14:val="standardContextual"/>
              </w:rPr>
              <w:t xml:space="preserve"> však zahrnuje pouze osoby, kterým </w:t>
            </w:r>
            <w:r w:rsidRPr="0035187E">
              <w:rPr>
                <w:rFonts w:ascii="Times New Roman" w:eastAsia="Calibri" w:hAnsi="Times New Roman" w:cs="Times New Roman"/>
                <w:kern w:val="2"/>
                <w:sz w:val="20"/>
                <w:szCs w:val="20"/>
                <w:lang w:eastAsia="en-US"/>
                <w14:ligatures w14:val="standardContextual"/>
              </w:rPr>
              <w:t xml:space="preserve">je přiznán nárok na průkaz ZTP/P, avšak osoby se zrakovým postižením, kterým byl přiznán nárok na průkaz ZTP, jsou prakticky ve srovnatelné situaci, neboť k práci s digitálními technologiemi taktéž nezbytně potřebují </w:t>
            </w:r>
            <w:proofErr w:type="spellStart"/>
            <w:r w:rsidRPr="0035187E">
              <w:rPr>
                <w:rFonts w:ascii="Times New Roman" w:eastAsia="Calibri" w:hAnsi="Times New Roman" w:cs="Times New Roman"/>
                <w:kern w:val="2"/>
                <w:sz w:val="20"/>
                <w:szCs w:val="20"/>
                <w:lang w:eastAsia="en-US"/>
                <w14:ligatures w14:val="standardContextual"/>
              </w:rPr>
              <w:t>asistivní</w:t>
            </w:r>
            <w:proofErr w:type="spellEnd"/>
            <w:r w:rsidRPr="0035187E">
              <w:rPr>
                <w:rFonts w:ascii="Times New Roman" w:eastAsia="Calibri" w:hAnsi="Times New Roman" w:cs="Times New Roman"/>
                <w:kern w:val="2"/>
                <w:sz w:val="20"/>
                <w:szCs w:val="20"/>
                <w:lang w:eastAsia="en-US"/>
                <w14:ligatures w14:val="standardContextual"/>
              </w:rPr>
              <w:t xml:space="preserve"> technologie. </w:t>
            </w:r>
            <w:r w:rsidRPr="0035187E">
              <w:rPr>
                <w:rFonts w:ascii="Times New Roman" w:eastAsia="Calibri" w:hAnsi="Times New Roman" w:cs="Times New Roman"/>
                <w:kern w:val="2"/>
                <w:sz w:val="20"/>
                <w:szCs w:val="20"/>
                <w14:ligatures w14:val="standardContextual"/>
              </w:rPr>
              <w:t xml:space="preserve">Průkaz s označením ZTP/P je podle § 34 odst. 4 zákona č. 329/2011 Sb., o poskytování dávek osobám se zdravotním postižením (dále jen „zákon o poskytování dávek osobám se zdravotním postižením“), vydáván osobám se zvlášť těžkým funkčním postižením nebo úplným postižením pohyblivosti nebo orientace s potřebou průvodce, přičemž zdravotní stavy spadající do této kategorie jsou uvedeny v příloze č. 4 vyhlášky č. 388/2011 Sb., o provedení některých ustanovení zákona o poskytování dávek osobám se zdravotním postižením. Takovým zdravotním stavem je mimo jiné neúplná (praktická) nevidomost obou očí, úplná nevidomost obou očí a kombinované těžké postižení sluchu a zraku (těžká hluchoslepota). </w:t>
            </w:r>
            <w:r w:rsidRPr="0035187E">
              <w:rPr>
                <w:rFonts w:ascii="Times New Roman" w:eastAsia="Calibri" w:hAnsi="Times New Roman" w:cs="Times New Roman"/>
                <w:kern w:val="2"/>
                <w:sz w:val="20"/>
                <w:szCs w:val="20"/>
                <w:lang w:eastAsia="en-US"/>
                <w14:ligatures w14:val="standardContextual"/>
              </w:rPr>
              <w:t xml:space="preserve">Průkaz označený ZTP je podle § 34 odst. 3 zákona o poskytování dávek osobám se zdravotním postižením, vydáván osobám s těžkým funkčním postižením pohyblivosti nebo orientace, včetně osob s poruchou autistického spektra. Podle výše citované prováděcí vyhlášky lze za podstatné omezení schopnosti pohyblivosti a orientace na úrovni těžkého funkčního postižení orientace považovat dle písm. l) oboustrannou těžkou ztrátu zraku a písm.  k) kombinované postižení sluchu a zraku (hluchoslepota) funkčně v rozsahu oboustranné středně těžké nedoslýchavosti a oboustranné silné slabozrakosti. Z těchto zákonných vymezení je tedy patrné, že i zrakové postižení osob s nárokem na průkaz ZTP je natolik závažné, že se bez použití </w:t>
            </w:r>
            <w:proofErr w:type="spellStart"/>
            <w:r w:rsidRPr="0035187E">
              <w:rPr>
                <w:rFonts w:ascii="Times New Roman" w:eastAsia="Calibri" w:hAnsi="Times New Roman" w:cs="Times New Roman"/>
                <w:kern w:val="2"/>
                <w:sz w:val="20"/>
                <w:szCs w:val="20"/>
                <w:lang w:eastAsia="en-US"/>
                <w14:ligatures w14:val="standardContextual"/>
              </w:rPr>
              <w:t>asistivních</w:t>
            </w:r>
            <w:proofErr w:type="spellEnd"/>
            <w:r w:rsidRPr="0035187E">
              <w:rPr>
                <w:rFonts w:ascii="Times New Roman" w:eastAsia="Calibri" w:hAnsi="Times New Roman" w:cs="Times New Roman"/>
                <w:kern w:val="2"/>
                <w:sz w:val="20"/>
                <w:szCs w:val="20"/>
                <w:lang w:eastAsia="en-US"/>
                <w14:ligatures w14:val="standardContextual"/>
              </w:rPr>
              <w:t xml:space="preserve"> technologií neobejde. V tomto případě tedy neexistuje logický důvod, proč tyto osoby se zrakovým postižením dělit do dvou skupin s odlišným přístupem. </w:t>
            </w:r>
          </w:p>
          <w:p w14:paraId="40F9478D" w14:textId="77777777" w:rsidR="000B4BD4" w:rsidRPr="0035187E" w:rsidRDefault="000B4BD4" w:rsidP="0035187E">
            <w:pPr>
              <w:ind w:firstLine="708"/>
              <w:jc w:val="both"/>
              <w:rPr>
                <w:rFonts w:ascii="Times New Roman" w:eastAsia="Calibri" w:hAnsi="Times New Roman" w:cs="Times New Roman"/>
                <w:kern w:val="2"/>
                <w:sz w:val="20"/>
                <w:szCs w:val="20"/>
                <w:lang w:eastAsia="en-US"/>
                <w14:ligatures w14:val="standardContextual"/>
              </w:rPr>
            </w:pPr>
          </w:p>
          <w:p w14:paraId="7C35BAC6" w14:textId="7B41BDDE" w:rsidR="000B4BD4" w:rsidRPr="0035187E" w:rsidRDefault="000B4BD4" w:rsidP="0035187E">
            <w:pPr>
              <w:ind w:firstLine="245"/>
              <w:jc w:val="both"/>
              <w:rPr>
                <w:rFonts w:ascii="Times New Roman" w:hAnsi="Times New Roman" w:cs="Times New Roman"/>
                <w:b/>
                <w:sz w:val="20"/>
                <w:szCs w:val="20"/>
              </w:rPr>
            </w:pPr>
            <w:r w:rsidRPr="0035187E">
              <w:rPr>
                <w:rFonts w:ascii="Times New Roman" w:eastAsia="Calibri" w:hAnsi="Times New Roman" w:cs="Times New Roman"/>
                <w:kern w:val="2"/>
                <w:sz w:val="20"/>
                <w:szCs w:val="20"/>
                <w:lang w:eastAsia="en-US"/>
                <w14:ligatures w14:val="standardContextual"/>
              </w:rPr>
              <w:t>Počet osob se zrakovým postižením podnikajících jako osoby samostatně výdělečně činné je relativně nízký. Jejich podnikání je zpravidla malého rozsahu a generuje nízké až střední obraty. Očekávaný dopad na veřejné rozpočty je tedy minimální. Potenciální výpadek z titulu nižší kontrolní kapacity je zanedbatelný a může být kompenzován snížením administrativních nákladů na straně státu. Naopak lze předpokládat pozitivní nepřímé dopady jako jsou vyšší motivace k legálnímu podnikání, snížení rizika ekonomické neaktivity a nižší závislost na sociálních dávkách.</w:t>
            </w:r>
          </w:p>
        </w:tc>
        <w:tc>
          <w:tcPr>
            <w:tcW w:w="1453" w:type="pct"/>
            <w:tcBorders>
              <w:top w:val="single" w:sz="4" w:space="0" w:color="auto"/>
              <w:left w:val="single" w:sz="4" w:space="0" w:color="auto"/>
              <w:right w:val="single" w:sz="4" w:space="0" w:color="auto"/>
            </w:tcBorders>
            <w:shd w:val="clear" w:color="auto" w:fill="auto"/>
          </w:tcPr>
          <w:p w14:paraId="149C7B54" w14:textId="77777777" w:rsidR="000B4BD4" w:rsidRPr="0035187E" w:rsidRDefault="00264F16"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Vyhověno.</w:t>
            </w:r>
          </w:p>
          <w:p w14:paraId="344B34D8" w14:textId="1562EC47" w:rsidR="00264F16" w:rsidRPr="0035187E" w:rsidRDefault="00264F16"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 v požadovaném duchu (rozšíření na ZTP).</w:t>
            </w:r>
          </w:p>
        </w:tc>
      </w:tr>
      <w:tr w:rsidR="0035187E" w:rsidRPr="0035187E" w14:paraId="45FE01E4"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3ABE5E1" w14:textId="5B1109E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133.</w:t>
            </w:r>
          </w:p>
        </w:tc>
        <w:tc>
          <w:tcPr>
            <w:tcW w:w="583" w:type="pct"/>
            <w:tcBorders>
              <w:top w:val="single" w:sz="4" w:space="0" w:color="auto"/>
              <w:left w:val="single" w:sz="4" w:space="0" w:color="auto"/>
              <w:right w:val="single" w:sz="4" w:space="0" w:color="auto"/>
            </w:tcBorders>
            <w:shd w:val="clear" w:color="auto" w:fill="auto"/>
          </w:tcPr>
          <w:p w14:paraId="749E9611" w14:textId="37B6BC1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Národní rada osob se zdravotním postižením </w:t>
            </w:r>
          </w:p>
        </w:tc>
        <w:tc>
          <w:tcPr>
            <w:tcW w:w="168" w:type="pct"/>
            <w:tcBorders>
              <w:top w:val="single" w:sz="4" w:space="0" w:color="auto"/>
              <w:left w:val="single" w:sz="4" w:space="0" w:color="auto"/>
              <w:right w:val="single" w:sz="4" w:space="0" w:color="auto"/>
            </w:tcBorders>
            <w:shd w:val="clear" w:color="auto" w:fill="auto"/>
          </w:tcPr>
          <w:p w14:paraId="02F00643" w14:textId="5E3B936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5.</w:t>
            </w:r>
          </w:p>
        </w:tc>
        <w:tc>
          <w:tcPr>
            <w:tcW w:w="169" w:type="pct"/>
            <w:tcBorders>
              <w:top w:val="single" w:sz="4" w:space="0" w:color="auto"/>
              <w:left w:val="single" w:sz="4" w:space="0" w:color="auto"/>
              <w:right w:val="single" w:sz="4" w:space="0" w:color="auto"/>
            </w:tcBorders>
            <w:shd w:val="clear" w:color="auto" w:fill="auto"/>
          </w:tcPr>
          <w:p w14:paraId="4D2CE406" w14:textId="2E930CF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E02CC91" w14:textId="77777777" w:rsidR="000B4BD4" w:rsidRPr="0035187E" w:rsidRDefault="000B4BD4" w:rsidP="0035187E">
            <w:pPr>
              <w:numPr>
                <w:ilvl w:val="0"/>
                <w:numId w:val="3"/>
              </w:numPr>
              <w:tabs>
                <w:tab w:val="left" w:pos="851"/>
              </w:tabs>
              <w:ind w:left="0" w:firstLine="0"/>
              <w:contextualSpacing/>
              <w:jc w:val="both"/>
              <w:rPr>
                <w:rFonts w:ascii="Times New Roman" w:hAnsi="Times New Roman" w:cs="Times New Roman"/>
                <w:bCs/>
                <w:noProof/>
                <w:sz w:val="20"/>
                <w:szCs w:val="20"/>
              </w:rPr>
            </w:pPr>
            <w:r w:rsidRPr="0035187E">
              <w:rPr>
                <w:rFonts w:ascii="Times New Roman" w:eastAsia="Aptos" w:hAnsi="Times New Roman" w:cs="Times New Roman"/>
                <w:b/>
                <w:bCs/>
                <w:sz w:val="20"/>
                <w:szCs w:val="20"/>
                <w:lang w:eastAsia="en-US"/>
              </w:rPr>
              <w:t xml:space="preserve">V paragrafu 35bb odst. 1) věta druhá se na konci nahrazuje tečka čárkou a doplňují se slova: </w:t>
            </w:r>
            <w:r w:rsidRPr="0035187E">
              <w:rPr>
                <w:rFonts w:ascii="Times New Roman" w:hAnsi="Times New Roman" w:cs="Times New Roman"/>
                <w:bCs/>
                <w:noProof/>
                <w:sz w:val="20"/>
                <w:szCs w:val="20"/>
              </w:rPr>
              <w:t xml:space="preserve">„nebo </w:t>
            </w:r>
            <w:r w:rsidRPr="0035187E">
              <w:rPr>
                <w:rFonts w:ascii="Times New Roman" w:hAnsi="Times New Roman" w:cs="Times New Roman"/>
                <w:b/>
                <w:noProof/>
                <w:sz w:val="20"/>
                <w:szCs w:val="20"/>
              </w:rPr>
              <w:t>manžel poplatníka je osoba pečující osobně o osobu, která je závislá na pomoci jiné osoby ve stupni III (těžká závislost) anebo ve stupni IV (úplná závislost)</w:t>
            </w:r>
            <w:r w:rsidRPr="0035187E">
              <w:rPr>
                <w:rFonts w:ascii="Times New Roman" w:hAnsi="Times New Roman" w:cs="Times New Roman"/>
                <w:bCs/>
                <w:noProof/>
                <w:sz w:val="20"/>
                <w:szCs w:val="20"/>
              </w:rPr>
              <w:t>.“</w:t>
            </w:r>
          </w:p>
          <w:p w14:paraId="6C0F718A" w14:textId="77777777" w:rsidR="000B4BD4" w:rsidRPr="0035187E" w:rsidRDefault="000B4BD4" w:rsidP="0035187E">
            <w:pPr>
              <w:jc w:val="both"/>
              <w:rPr>
                <w:rFonts w:ascii="Times New Roman" w:eastAsia="Aptos" w:hAnsi="Times New Roman" w:cs="Times New Roman"/>
                <w:sz w:val="20"/>
                <w:szCs w:val="20"/>
                <w:lang w:eastAsia="en-US"/>
              </w:rPr>
            </w:pPr>
          </w:p>
          <w:p w14:paraId="1C6E7E04" w14:textId="634BBFF1" w:rsidR="000B4BD4" w:rsidRPr="0035187E" w:rsidRDefault="000B4BD4" w:rsidP="0035187E">
            <w:pPr>
              <w:jc w:val="both"/>
              <w:rPr>
                <w:rFonts w:ascii="Times New Roman" w:eastAsia="Aptos" w:hAnsi="Times New Roman" w:cs="Times New Roman"/>
                <w:sz w:val="20"/>
                <w:szCs w:val="20"/>
                <w:lang w:eastAsia="en-US"/>
              </w:rPr>
            </w:pPr>
            <w:r w:rsidRPr="0035187E">
              <w:rPr>
                <w:rFonts w:ascii="Times New Roman" w:eastAsia="Aptos" w:hAnsi="Times New Roman" w:cs="Times New Roman"/>
                <w:sz w:val="20"/>
                <w:szCs w:val="20"/>
                <w:lang w:eastAsia="en-US"/>
              </w:rPr>
              <w:t>V paragrafu 35bb odst. 2) nově zní:</w:t>
            </w:r>
          </w:p>
          <w:p w14:paraId="55E520CA" w14:textId="77777777" w:rsidR="000B4BD4" w:rsidRPr="0035187E" w:rsidRDefault="000B4BD4" w:rsidP="0035187E">
            <w:pPr>
              <w:tabs>
                <w:tab w:val="left" w:pos="851"/>
              </w:tabs>
              <w:ind w:firstLine="425"/>
              <w:jc w:val="both"/>
              <w:rPr>
                <w:rFonts w:ascii="Times New Roman" w:hAnsi="Times New Roman" w:cs="Times New Roman"/>
                <w:bCs/>
                <w:sz w:val="20"/>
                <w:szCs w:val="20"/>
              </w:rPr>
            </w:pPr>
            <w:r w:rsidRPr="0035187E">
              <w:rPr>
                <w:rFonts w:ascii="Times New Roman" w:hAnsi="Times New Roman" w:cs="Times New Roman"/>
                <w:bCs/>
                <w:sz w:val="20"/>
                <w:szCs w:val="20"/>
              </w:rPr>
              <w:t>„(2)</w:t>
            </w:r>
            <w:r w:rsidRPr="0035187E">
              <w:rPr>
                <w:rFonts w:ascii="Times New Roman" w:hAnsi="Times New Roman" w:cs="Times New Roman"/>
                <w:bCs/>
                <w:sz w:val="20"/>
                <w:szCs w:val="20"/>
              </w:rPr>
              <w:tab/>
              <w:t>Slevu na manžela lze uplatnit pouze tehdy, pokud</w:t>
            </w:r>
          </w:p>
          <w:p w14:paraId="5227CE35" w14:textId="77777777" w:rsidR="000B4BD4" w:rsidRPr="0035187E" w:rsidRDefault="000B4BD4" w:rsidP="0035187E">
            <w:pPr>
              <w:jc w:val="both"/>
              <w:outlineLvl w:val="7"/>
              <w:rPr>
                <w:rFonts w:ascii="Times New Roman" w:hAnsi="Times New Roman" w:cs="Times New Roman"/>
                <w:bCs/>
                <w:sz w:val="20"/>
                <w:szCs w:val="20"/>
              </w:rPr>
            </w:pPr>
            <w:r w:rsidRPr="0035187E">
              <w:rPr>
                <w:rFonts w:ascii="Times New Roman" w:hAnsi="Times New Roman" w:cs="Times New Roman"/>
                <w:bCs/>
                <w:sz w:val="20"/>
                <w:szCs w:val="20"/>
              </w:rPr>
              <w:t>a)</w:t>
            </w:r>
            <w:r w:rsidRPr="0035187E">
              <w:rPr>
                <w:rFonts w:ascii="Times New Roman" w:hAnsi="Times New Roman" w:cs="Times New Roman"/>
                <w:bCs/>
                <w:sz w:val="20"/>
                <w:szCs w:val="20"/>
              </w:rPr>
              <w:tab/>
              <w:t>poplatník žije ve společně hospodařící domácnosti s manželem a vyživovaným dítětem poplatníka, které nedovršilo věku 3 let, a manžel poplatníka nemá vlastní příjem přesahující za zdaňovací období 68 000 Kč</w:t>
            </w:r>
            <w:r w:rsidRPr="0035187E">
              <w:rPr>
                <w:rFonts w:ascii="Times New Roman" w:hAnsi="Times New Roman" w:cs="Times New Roman"/>
                <w:b/>
                <w:sz w:val="20"/>
                <w:szCs w:val="20"/>
              </w:rPr>
              <w:t>, nebo</w:t>
            </w:r>
          </w:p>
          <w:p w14:paraId="5C1EA583" w14:textId="77777777" w:rsidR="000B4BD4" w:rsidRPr="0035187E" w:rsidRDefault="000B4BD4" w:rsidP="0035187E">
            <w:pPr>
              <w:jc w:val="both"/>
              <w:outlineLvl w:val="7"/>
              <w:rPr>
                <w:rFonts w:ascii="Times New Roman" w:hAnsi="Times New Roman" w:cs="Times New Roman"/>
                <w:b/>
                <w:sz w:val="20"/>
                <w:szCs w:val="20"/>
              </w:rPr>
            </w:pPr>
            <w:r w:rsidRPr="0035187E">
              <w:rPr>
                <w:rFonts w:ascii="Times New Roman" w:hAnsi="Times New Roman" w:cs="Times New Roman"/>
                <w:b/>
                <w:sz w:val="20"/>
                <w:szCs w:val="20"/>
              </w:rPr>
              <w:t>b) poplatník žije ve společně hospodařící domácnosti s manželem, kterému je přiznán nárok na průkaz ZTP/P a tento manžel poplatníka nemá vlastní příjem přesahující za zdaňovací období 68 000 Kč, nebo</w:t>
            </w:r>
          </w:p>
          <w:p w14:paraId="1EC07FC3" w14:textId="77777777" w:rsidR="000B4BD4" w:rsidRPr="0035187E" w:rsidRDefault="000B4BD4" w:rsidP="0035187E">
            <w:pPr>
              <w:jc w:val="both"/>
              <w:outlineLvl w:val="7"/>
              <w:rPr>
                <w:rFonts w:ascii="Times New Roman" w:hAnsi="Times New Roman" w:cs="Times New Roman"/>
                <w:bCs/>
                <w:sz w:val="20"/>
                <w:szCs w:val="20"/>
              </w:rPr>
            </w:pPr>
            <w:r w:rsidRPr="0035187E">
              <w:rPr>
                <w:rFonts w:ascii="Times New Roman" w:hAnsi="Times New Roman" w:cs="Times New Roman"/>
                <w:b/>
                <w:bCs/>
                <w:sz w:val="20"/>
                <w:szCs w:val="20"/>
              </w:rPr>
              <w:t>c)</w:t>
            </w:r>
            <w:r w:rsidRPr="0035187E">
              <w:rPr>
                <w:rFonts w:ascii="Times New Roman" w:hAnsi="Times New Roman" w:cs="Times New Roman"/>
                <w:sz w:val="20"/>
                <w:szCs w:val="20"/>
              </w:rPr>
              <w:t xml:space="preserve"> </w:t>
            </w:r>
            <w:r w:rsidRPr="0035187E">
              <w:rPr>
                <w:rFonts w:ascii="Times New Roman" w:hAnsi="Times New Roman" w:cs="Times New Roman"/>
                <w:b/>
                <w:sz w:val="20"/>
                <w:szCs w:val="20"/>
              </w:rPr>
              <w:t>poplatník žije ve společně hospodařící domácnosti s manželem, který je osobou pečující osobně o osobu mladší 10 let, která je závislá na pomoci jiné osoby ve stupni I (lehká závislost), nebo manžel poplatníka je osoba pečující osobně o osobu, která je závislá na pomoci jiné osoby ve stupni II (středně těžká závislost) nebo stupni III (těžká závislost) anebo stupni IV (úplná závislost), pokud spolu žijí ve společné domácnosti a tento manžel poplatníka nemá vlastní příjem přesahující za zdaňovací období 68 000 Kč; podmínka společné domácnosti se nevyžaduje, je-li osoba závislá na pomoci blízkou osobou manžela poplatníka nebo poplatníka.“</w:t>
            </w:r>
          </w:p>
          <w:p w14:paraId="59F22844" w14:textId="77777777" w:rsidR="000B4BD4" w:rsidRPr="0035187E" w:rsidRDefault="000B4BD4" w:rsidP="0035187E">
            <w:pPr>
              <w:ind w:firstLine="708"/>
              <w:jc w:val="both"/>
              <w:outlineLvl w:val="3"/>
              <w:rPr>
                <w:rFonts w:ascii="Times New Roman" w:hAnsi="Times New Roman" w:cs="Times New Roman"/>
                <w:b/>
                <w:sz w:val="20"/>
                <w:szCs w:val="20"/>
              </w:rPr>
            </w:pPr>
          </w:p>
          <w:p w14:paraId="1E381E11" w14:textId="77777777" w:rsidR="000B4BD4" w:rsidRPr="0035187E" w:rsidRDefault="000B4BD4" w:rsidP="0035187E">
            <w:pPr>
              <w:jc w:val="both"/>
              <w:outlineLvl w:val="3"/>
              <w:rPr>
                <w:rFonts w:ascii="Times New Roman" w:hAnsi="Times New Roman" w:cs="Times New Roman"/>
                <w:bCs/>
                <w:sz w:val="20"/>
                <w:szCs w:val="20"/>
                <w:u w:val="single"/>
              </w:rPr>
            </w:pPr>
            <w:r w:rsidRPr="0035187E">
              <w:rPr>
                <w:rFonts w:ascii="Times New Roman" w:hAnsi="Times New Roman" w:cs="Times New Roman"/>
                <w:bCs/>
                <w:sz w:val="20"/>
                <w:szCs w:val="20"/>
                <w:u w:val="single"/>
              </w:rPr>
              <w:t>Odůvodnění:</w:t>
            </w:r>
          </w:p>
          <w:p w14:paraId="69E623B3" w14:textId="77777777" w:rsidR="000B4BD4" w:rsidRPr="0035187E" w:rsidRDefault="000B4BD4" w:rsidP="0035187E">
            <w:pPr>
              <w:jc w:val="both"/>
              <w:outlineLvl w:val="3"/>
              <w:rPr>
                <w:rFonts w:ascii="Times New Roman" w:hAnsi="Times New Roman" w:cs="Times New Roman"/>
                <w:bCs/>
                <w:sz w:val="20"/>
                <w:szCs w:val="20"/>
                <w:u w:val="single"/>
              </w:rPr>
            </w:pPr>
          </w:p>
          <w:p w14:paraId="3CF48CB4" w14:textId="77777777" w:rsidR="000B4BD4" w:rsidRPr="0035187E" w:rsidRDefault="000B4BD4" w:rsidP="0035187E">
            <w:pPr>
              <w:jc w:val="both"/>
              <w:rPr>
                <w:rFonts w:ascii="Times New Roman" w:eastAsia="Aptos" w:hAnsi="Times New Roman" w:cs="Times New Roman"/>
                <w:sz w:val="20"/>
                <w:szCs w:val="20"/>
                <w:lang w:eastAsia="en-US"/>
              </w:rPr>
            </w:pPr>
            <w:r w:rsidRPr="0035187E">
              <w:rPr>
                <w:rFonts w:ascii="Times New Roman" w:eastAsia="Aptos" w:hAnsi="Times New Roman" w:cs="Times New Roman"/>
                <w:sz w:val="20"/>
                <w:szCs w:val="20"/>
                <w:lang w:eastAsia="en-US"/>
              </w:rPr>
              <w:t>Navrhovaná úprava podstatně rozšiřuje dosavadní možnosti slevy na dani z příjmů na manžela, a to o dvě skupiny osob, kterými jsou držitelé průkazu ZTP/P a osoby pečující o osobu závislou na péči jiné fyzické osoby.</w:t>
            </w:r>
          </w:p>
          <w:p w14:paraId="0CC6A6D7" w14:textId="77777777" w:rsidR="000B4BD4" w:rsidRPr="0035187E" w:rsidRDefault="000B4BD4" w:rsidP="0035187E">
            <w:pPr>
              <w:jc w:val="both"/>
              <w:rPr>
                <w:rFonts w:ascii="Times New Roman" w:eastAsia="Aptos" w:hAnsi="Times New Roman" w:cs="Times New Roman"/>
                <w:sz w:val="20"/>
                <w:szCs w:val="20"/>
                <w:lang w:eastAsia="en-US"/>
              </w:rPr>
            </w:pPr>
            <w:r w:rsidRPr="0035187E">
              <w:rPr>
                <w:rFonts w:ascii="Times New Roman" w:eastAsia="Aptos" w:hAnsi="Times New Roman" w:cs="Times New Roman"/>
                <w:sz w:val="20"/>
                <w:szCs w:val="20"/>
                <w:lang w:eastAsia="en-US"/>
              </w:rPr>
              <w:t>Ekonomická situace rodin, kde jeden z manželů přináší do rodinného rozpočtu částku 68000 za zdaňovací období, je často velmi složitá.</w:t>
            </w:r>
          </w:p>
          <w:p w14:paraId="3BFB4A97" w14:textId="77777777" w:rsidR="000B4BD4" w:rsidRPr="0035187E" w:rsidRDefault="000B4BD4" w:rsidP="0035187E">
            <w:pPr>
              <w:jc w:val="both"/>
              <w:rPr>
                <w:rFonts w:ascii="Times New Roman" w:eastAsia="Aptos" w:hAnsi="Times New Roman" w:cs="Times New Roman"/>
                <w:sz w:val="20"/>
                <w:szCs w:val="20"/>
                <w:lang w:eastAsia="en-US"/>
              </w:rPr>
            </w:pPr>
            <w:r w:rsidRPr="0035187E">
              <w:rPr>
                <w:rFonts w:ascii="Times New Roman" w:eastAsia="Aptos" w:hAnsi="Times New Roman" w:cs="Times New Roman"/>
                <w:sz w:val="20"/>
                <w:szCs w:val="20"/>
                <w:lang w:eastAsia="en-US"/>
              </w:rPr>
              <w:t>U skupin, na které se navrhovaná změna vztahuje, je možnost zvýšit tuto částku velmi omezena.</w:t>
            </w:r>
          </w:p>
          <w:p w14:paraId="32695D72" w14:textId="77777777" w:rsidR="000B4BD4" w:rsidRPr="0035187E" w:rsidRDefault="000B4BD4" w:rsidP="0035187E">
            <w:pPr>
              <w:jc w:val="both"/>
              <w:rPr>
                <w:rFonts w:ascii="Times New Roman" w:eastAsia="Aptos" w:hAnsi="Times New Roman" w:cs="Times New Roman"/>
                <w:sz w:val="20"/>
                <w:szCs w:val="20"/>
                <w:lang w:eastAsia="en-US"/>
              </w:rPr>
            </w:pPr>
            <w:r w:rsidRPr="0035187E">
              <w:rPr>
                <w:rFonts w:ascii="Times New Roman" w:eastAsia="Aptos" w:hAnsi="Times New Roman" w:cs="Times New Roman"/>
                <w:sz w:val="20"/>
                <w:szCs w:val="20"/>
                <w:lang w:eastAsia="en-US"/>
              </w:rPr>
              <w:t xml:space="preserve">Je třeba brát do úvahy, že se jedná o manžela s přiznaným nárokem na průkaz ZTP/P, tj. osobu se zdravotním postižením, které mají výběr vhodných pracovních míst značně omezený. </w:t>
            </w:r>
          </w:p>
          <w:p w14:paraId="0F32A90C" w14:textId="77777777" w:rsidR="000B4BD4" w:rsidRPr="0035187E" w:rsidRDefault="000B4BD4" w:rsidP="0035187E">
            <w:pPr>
              <w:jc w:val="both"/>
              <w:rPr>
                <w:rFonts w:ascii="Times New Roman" w:eastAsia="Aptos" w:hAnsi="Times New Roman" w:cs="Times New Roman"/>
                <w:sz w:val="20"/>
                <w:szCs w:val="20"/>
                <w:lang w:eastAsia="en-US"/>
              </w:rPr>
            </w:pPr>
            <w:r w:rsidRPr="0035187E">
              <w:rPr>
                <w:rFonts w:ascii="Times New Roman" w:eastAsia="Aptos" w:hAnsi="Times New Roman" w:cs="Times New Roman"/>
                <w:sz w:val="20"/>
                <w:szCs w:val="20"/>
                <w:lang w:eastAsia="en-US"/>
              </w:rPr>
              <w:t>Dále je třeba brát do úvahy, že manžel, který pečuje o osobu závislou na péči má také možnost výdělečné činnosti značně omezen. Navíc takto pečující rodiny mají výrazně zvýšené životní náklady. I pro ně by proto navrhovaná nová sleva přinesla poměrně výrazný benefit a lze očekávat, že i jejich ekonomická situace by se zlepšila.</w:t>
            </w:r>
          </w:p>
          <w:p w14:paraId="258BE18A" w14:textId="77777777" w:rsidR="000B4BD4" w:rsidRPr="0035187E" w:rsidRDefault="000B4BD4" w:rsidP="0035187E">
            <w:pPr>
              <w:jc w:val="both"/>
              <w:rPr>
                <w:rFonts w:ascii="Times New Roman" w:eastAsia="Aptos" w:hAnsi="Times New Roman" w:cs="Times New Roman"/>
                <w:sz w:val="20"/>
                <w:szCs w:val="20"/>
                <w:lang w:eastAsia="en-US"/>
              </w:rPr>
            </w:pPr>
          </w:p>
          <w:p w14:paraId="02583D1C" w14:textId="77777777" w:rsidR="000B4BD4" w:rsidRPr="0035187E" w:rsidRDefault="000B4BD4" w:rsidP="0035187E">
            <w:pPr>
              <w:jc w:val="both"/>
              <w:rPr>
                <w:rFonts w:ascii="Times New Roman" w:eastAsia="Aptos" w:hAnsi="Times New Roman" w:cs="Times New Roman"/>
                <w:b/>
                <w:bCs/>
                <w:sz w:val="20"/>
                <w:szCs w:val="20"/>
                <w:lang w:eastAsia="en-US"/>
              </w:rPr>
            </w:pPr>
            <w:r w:rsidRPr="0035187E">
              <w:rPr>
                <w:rFonts w:ascii="Times New Roman" w:eastAsia="Aptos" w:hAnsi="Times New Roman" w:cs="Times New Roman"/>
                <w:b/>
                <w:bCs/>
                <w:sz w:val="20"/>
                <w:szCs w:val="20"/>
                <w:lang w:eastAsia="en-US"/>
              </w:rPr>
              <w:t xml:space="preserve">Alternativní návrh: </w:t>
            </w:r>
          </w:p>
          <w:p w14:paraId="0E2D03B6" w14:textId="77777777" w:rsidR="000B4BD4" w:rsidRPr="0035187E" w:rsidRDefault="000B4BD4" w:rsidP="0035187E">
            <w:pPr>
              <w:jc w:val="both"/>
              <w:rPr>
                <w:rFonts w:ascii="Times New Roman" w:eastAsia="Aptos" w:hAnsi="Times New Roman" w:cs="Times New Roman"/>
                <w:b/>
                <w:bCs/>
                <w:sz w:val="20"/>
                <w:szCs w:val="20"/>
                <w:lang w:eastAsia="en-US"/>
              </w:rPr>
            </w:pPr>
          </w:p>
          <w:p w14:paraId="6FF41ADC" w14:textId="77777777" w:rsidR="000B4BD4" w:rsidRPr="0035187E" w:rsidRDefault="000B4BD4" w:rsidP="0035187E">
            <w:pPr>
              <w:jc w:val="both"/>
              <w:rPr>
                <w:rFonts w:ascii="Times New Roman" w:eastAsia="Aptos" w:hAnsi="Times New Roman" w:cs="Times New Roman"/>
                <w:b/>
                <w:bCs/>
                <w:sz w:val="20"/>
                <w:szCs w:val="20"/>
                <w:lang w:eastAsia="en-US"/>
              </w:rPr>
            </w:pPr>
            <w:r w:rsidRPr="0035187E">
              <w:rPr>
                <w:rFonts w:ascii="Times New Roman" w:eastAsia="Aptos" w:hAnsi="Times New Roman" w:cs="Times New Roman"/>
                <w:b/>
                <w:bCs/>
                <w:sz w:val="20"/>
                <w:szCs w:val="20"/>
                <w:lang w:eastAsia="en-US"/>
              </w:rPr>
              <w:t>Odst. 2 v § 35 bb se navrhuje v tomto znění:</w:t>
            </w:r>
          </w:p>
          <w:p w14:paraId="02B74E2E" w14:textId="77777777" w:rsidR="000B4BD4" w:rsidRPr="0035187E" w:rsidRDefault="000B4BD4" w:rsidP="0035187E">
            <w:pPr>
              <w:jc w:val="both"/>
              <w:rPr>
                <w:rFonts w:ascii="Times New Roman" w:eastAsia="Aptos" w:hAnsi="Times New Roman" w:cs="Times New Roman"/>
                <w:b/>
                <w:bCs/>
                <w:sz w:val="20"/>
                <w:szCs w:val="20"/>
                <w:lang w:eastAsia="en-US"/>
              </w:rPr>
            </w:pPr>
          </w:p>
          <w:p w14:paraId="4D3EEFAF" w14:textId="77777777" w:rsidR="000B4BD4" w:rsidRPr="0035187E" w:rsidRDefault="000B4BD4" w:rsidP="0035187E">
            <w:pPr>
              <w:jc w:val="both"/>
              <w:rPr>
                <w:rFonts w:ascii="Times New Roman" w:eastAsia="Aptos" w:hAnsi="Times New Roman" w:cs="Times New Roman"/>
                <w:b/>
                <w:bCs/>
                <w:kern w:val="2"/>
                <w:sz w:val="20"/>
                <w:szCs w:val="20"/>
                <w:lang w:eastAsia="en-US"/>
                <w14:ligatures w14:val="standardContextual"/>
              </w:rPr>
            </w:pPr>
            <w:r w:rsidRPr="0035187E">
              <w:rPr>
                <w:rFonts w:ascii="Times New Roman" w:eastAsia="Aptos" w:hAnsi="Times New Roman" w:cs="Times New Roman"/>
                <w:b/>
                <w:bCs/>
                <w:kern w:val="2"/>
                <w:sz w:val="20"/>
                <w:szCs w:val="20"/>
                <w:lang w:eastAsia="en-US"/>
                <w14:ligatures w14:val="standardContextual"/>
              </w:rPr>
              <w:lastRenderedPageBreak/>
              <w:t xml:space="preserve">(2) Slevu na manžela lze uplatnit pouze tehdy, pokud manžel poplatníka nemá vlastní příjem přesahující za zdaňovací období 68 000 Kč a </w:t>
            </w:r>
          </w:p>
          <w:p w14:paraId="027DF687" w14:textId="77777777" w:rsidR="000B4BD4" w:rsidRPr="0035187E" w:rsidRDefault="000B4BD4" w:rsidP="0035187E">
            <w:pPr>
              <w:jc w:val="both"/>
              <w:rPr>
                <w:rFonts w:ascii="Times New Roman" w:eastAsia="Aptos" w:hAnsi="Times New Roman" w:cs="Times New Roman"/>
                <w:b/>
                <w:bCs/>
                <w:kern w:val="2"/>
                <w:sz w:val="20"/>
                <w:szCs w:val="20"/>
                <w:lang w:eastAsia="en-US"/>
                <w14:ligatures w14:val="standardContextual"/>
              </w:rPr>
            </w:pPr>
            <w:r w:rsidRPr="0035187E">
              <w:rPr>
                <w:rFonts w:ascii="Times New Roman" w:eastAsia="Aptos" w:hAnsi="Times New Roman" w:cs="Times New Roman"/>
                <w:b/>
                <w:bCs/>
                <w:kern w:val="2"/>
                <w:sz w:val="20"/>
                <w:szCs w:val="20"/>
                <w:lang w:eastAsia="en-US"/>
                <w14:ligatures w14:val="standardContextual"/>
              </w:rPr>
              <w:t>a) poplatník žije ve společně hospodařící domácnosti s manželem a vyživovaným dítětem poplatníka, které nedovršilo věku 3 let, nebo</w:t>
            </w:r>
          </w:p>
          <w:p w14:paraId="35675D61" w14:textId="77777777" w:rsidR="000B4BD4" w:rsidRPr="0035187E" w:rsidRDefault="000B4BD4" w:rsidP="0035187E">
            <w:pPr>
              <w:jc w:val="both"/>
              <w:rPr>
                <w:rFonts w:ascii="Times New Roman" w:eastAsia="Aptos" w:hAnsi="Times New Roman" w:cs="Times New Roman"/>
                <w:b/>
                <w:bCs/>
                <w:kern w:val="2"/>
                <w:sz w:val="20"/>
                <w:szCs w:val="20"/>
                <w:lang w:eastAsia="en-US"/>
                <w14:ligatures w14:val="standardContextual"/>
              </w:rPr>
            </w:pPr>
            <w:r w:rsidRPr="0035187E">
              <w:rPr>
                <w:rFonts w:ascii="Times New Roman" w:eastAsia="Aptos" w:hAnsi="Times New Roman" w:cs="Times New Roman"/>
                <w:b/>
                <w:bCs/>
                <w:kern w:val="2"/>
                <w:sz w:val="20"/>
                <w:szCs w:val="20"/>
                <w:lang w:eastAsia="en-US"/>
                <w14:ligatures w14:val="standardContextual"/>
              </w:rPr>
              <w:t>b)  poplatník žije ve společně hospodařící domácnosti s manželem, který pečuje o vyživované dítě poplatníka, které nedovršilo věku 18 let a současně je dítěti přiznán nárok na průkaz ZTP nebo ZTP/P, nebo</w:t>
            </w:r>
          </w:p>
          <w:p w14:paraId="59761EE4" w14:textId="77777777" w:rsidR="000B4BD4" w:rsidRPr="0035187E" w:rsidRDefault="000B4BD4" w:rsidP="0035187E">
            <w:pPr>
              <w:jc w:val="both"/>
              <w:rPr>
                <w:rFonts w:ascii="Times New Roman" w:eastAsia="Aptos" w:hAnsi="Times New Roman" w:cs="Times New Roman"/>
                <w:b/>
                <w:bCs/>
                <w:kern w:val="2"/>
                <w:sz w:val="20"/>
                <w:szCs w:val="20"/>
                <w:lang w:eastAsia="en-US"/>
                <w14:ligatures w14:val="standardContextual"/>
              </w:rPr>
            </w:pPr>
            <w:r w:rsidRPr="0035187E">
              <w:rPr>
                <w:rFonts w:ascii="Times New Roman" w:eastAsia="Aptos" w:hAnsi="Times New Roman" w:cs="Times New Roman"/>
                <w:b/>
                <w:bCs/>
                <w:kern w:val="2"/>
                <w:sz w:val="20"/>
                <w:szCs w:val="20"/>
                <w:lang w:eastAsia="en-US"/>
                <w14:ligatures w14:val="standardContextual"/>
              </w:rPr>
              <w:t>c) manželu poplatníka je přiznán nárok na průkaz ZTP/P.</w:t>
            </w:r>
          </w:p>
          <w:p w14:paraId="238BFAB4" w14:textId="77777777" w:rsidR="000B4BD4" w:rsidRPr="0035187E" w:rsidRDefault="000B4BD4" w:rsidP="0035187E">
            <w:pPr>
              <w:jc w:val="both"/>
              <w:rPr>
                <w:rFonts w:ascii="Times New Roman" w:eastAsia="Aptos" w:hAnsi="Times New Roman" w:cs="Times New Roman"/>
                <w:b/>
                <w:bCs/>
                <w:kern w:val="2"/>
                <w:sz w:val="20"/>
                <w:szCs w:val="20"/>
                <w:lang w:eastAsia="en-US"/>
                <w14:ligatures w14:val="standardContextual"/>
              </w:rPr>
            </w:pPr>
          </w:p>
          <w:p w14:paraId="4C1D981E" w14:textId="77777777" w:rsidR="000B4BD4" w:rsidRPr="0035187E" w:rsidRDefault="000B4BD4" w:rsidP="0035187E">
            <w:pPr>
              <w:jc w:val="both"/>
              <w:rPr>
                <w:rFonts w:ascii="Times New Roman" w:eastAsia="Aptos" w:hAnsi="Times New Roman" w:cs="Times New Roman"/>
                <w:kern w:val="2"/>
                <w:sz w:val="20"/>
                <w:szCs w:val="20"/>
                <w:lang w:eastAsia="en-US"/>
                <w14:ligatures w14:val="standardContextual"/>
              </w:rPr>
            </w:pPr>
            <w:r w:rsidRPr="0035187E">
              <w:rPr>
                <w:rFonts w:ascii="Times New Roman" w:eastAsia="Aptos" w:hAnsi="Times New Roman" w:cs="Times New Roman"/>
                <w:kern w:val="2"/>
                <w:sz w:val="20"/>
                <w:szCs w:val="20"/>
                <w:lang w:eastAsia="en-US"/>
                <w14:ligatures w14:val="standardContextual"/>
              </w:rPr>
              <w:t>Ostatní text odst. 2 zůstává beze změny.</w:t>
            </w:r>
          </w:p>
          <w:p w14:paraId="266190BD" w14:textId="77777777" w:rsidR="000B4BD4" w:rsidRPr="0035187E" w:rsidRDefault="000B4BD4" w:rsidP="0035187E">
            <w:pPr>
              <w:jc w:val="both"/>
              <w:rPr>
                <w:rFonts w:ascii="Times New Roman" w:eastAsia="Aptos" w:hAnsi="Times New Roman" w:cs="Times New Roman"/>
                <w:kern w:val="2"/>
                <w:sz w:val="20"/>
                <w:szCs w:val="20"/>
                <w:lang w:eastAsia="en-US"/>
                <w14:ligatures w14:val="standardContextual"/>
              </w:rPr>
            </w:pPr>
          </w:p>
          <w:p w14:paraId="07FA7456" w14:textId="77777777" w:rsidR="000B4BD4" w:rsidRPr="0035187E" w:rsidRDefault="000B4BD4" w:rsidP="0035187E">
            <w:pPr>
              <w:jc w:val="both"/>
              <w:rPr>
                <w:rFonts w:ascii="Times New Roman" w:eastAsia="Aptos" w:hAnsi="Times New Roman" w:cs="Times New Roman"/>
                <w:kern w:val="2"/>
                <w:sz w:val="20"/>
                <w:szCs w:val="20"/>
                <w:lang w:eastAsia="en-US"/>
                <w14:ligatures w14:val="standardContextual"/>
              </w:rPr>
            </w:pPr>
            <w:r w:rsidRPr="0035187E">
              <w:rPr>
                <w:rFonts w:ascii="Times New Roman" w:eastAsia="Aptos" w:hAnsi="Times New Roman" w:cs="Times New Roman"/>
                <w:kern w:val="2"/>
                <w:sz w:val="20"/>
                <w:szCs w:val="20"/>
                <w:lang w:eastAsia="en-US"/>
                <w14:ligatures w14:val="standardContextual"/>
              </w:rPr>
              <w:t>(3) Pro účely slevy na manžela se za vyživované dítě poplatníka nepovažuje vlastní vnuk nebo vnuk druhého z manželů, není-li v péči těchto osob, která nahrazuje péči rodičů.</w:t>
            </w:r>
          </w:p>
          <w:p w14:paraId="2E4DBA45" w14:textId="77777777" w:rsidR="000B4BD4" w:rsidRPr="0035187E" w:rsidRDefault="000B4BD4" w:rsidP="0035187E">
            <w:pPr>
              <w:jc w:val="both"/>
              <w:rPr>
                <w:rFonts w:ascii="Times New Roman" w:eastAsia="Aptos" w:hAnsi="Times New Roman" w:cs="Times New Roman"/>
                <w:kern w:val="2"/>
                <w:sz w:val="20"/>
                <w:szCs w:val="20"/>
                <w:lang w:eastAsia="en-US"/>
                <w14:ligatures w14:val="standardContextual"/>
              </w:rPr>
            </w:pPr>
            <w:r w:rsidRPr="0035187E">
              <w:rPr>
                <w:rFonts w:ascii="Times New Roman" w:eastAsia="Aptos" w:hAnsi="Times New Roman" w:cs="Times New Roman"/>
                <w:kern w:val="2"/>
                <w:sz w:val="20"/>
                <w:szCs w:val="20"/>
                <w:lang w:eastAsia="en-US"/>
                <w14:ligatures w14:val="standardContextual"/>
              </w:rPr>
              <w:t>(4) Do vlastního příjmu manžela pro účely slevy na manžela se nezahrnují</w:t>
            </w:r>
          </w:p>
          <w:p w14:paraId="76EFB74A" w14:textId="77777777" w:rsidR="000B4BD4" w:rsidRPr="0035187E" w:rsidRDefault="000B4BD4" w:rsidP="0035187E">
            <w:pPr>
              <w:jc w:val="both"/>
              <w:rPr>
                <w:rFonts w:ascii="Times New Roman" w:eastAsia="Aptos" w:hAnsi="Times New Roman" w:cs="Times New Roman"/>
                <w:kern w:val="2"/>
                <w:sz w:val="20"/>
                <w:szCs w:val="20"/>
                <w:lang w:eastAsia="en-US"/>
                <w14:ligatures w14:val="standardContextual"/>
              </w:rPr>
            </w:pPr>
            <w:r w:rsidRPr="0035187E">
              <w:rPr>
                <w:rFonts w:ascii="Times New Roman" w:eastAsia="Aptos" w:hAnsi="Times New Roman" w:cs="Times New Roman"/>
                <w:kern w:val="2"/>
                <w:sz w:val="20"/>
                <w:szCs w:val="20"/>
                <w:lang w:eastAsia="en-US"/>
                <w14:ligatures w14:val="standardContextual"/>
              </w:rPr>
              <w:t>a) dávka státní sociální pomoci, mimořádná okamžitá pomoc, dávky osobám se zdravotním postižením, státní sociální podpory a pěstounské péče s výjimkou odměny pěstouna,</w:t>
            </w:r>
          </w:p>
          <w:p w14:paraId="655783FF" w14:textId="77777777" w:rsidR="000B4BD4" w:rsidRPr="0035187E" w:rsidRDefault="000B4BD4" w:rsidP="0035187E">
            <w:pPr>
              <w:jc w:val="both"/>
              <w:rPr>
                <w:rFonts w:ascii="Times New Roman" w:eastAsia="Aptos" w:hAnsi="Times New Roman" w:cs="Times New Roman"/>
                <w:kern w:val="2"/>
                <w:sz w:val="20"/>
                <w:szCs w:val="20"/>
                <w:lang w:eastAsia="en-US"/>
                <w14:ligatures w14:val="standardContextual"/>
              </w:rPr>
            </w:pPr>
            <w:r w:rsidRPr="0035187E">
              <w:rPr>
                <w:rFonts w:ascii="Times New Roman" w:eastAsia="Aptos" w:hAnsi="Times New Roman" w:cs="Times New Roman"/>
                <w:kern w:val="2"/>
                <w:sz w:val="20"/>
                <w:szCs w:val="20"/>
                <w:lang w:eastAsia="en-US"/>
                <w14:ligatures w14:val="standardContextual"/>
              </w:rPr>
              <w:t>b) příspěvky na péči a na sociální služby,</w:t>
            </w:r>
          </w:p>
          <w:p w14:paraId="696FC00D" w14:textId="77777777" w:rsidR="000B4BD4" w:rsidRPr="0035187E" w:rsidRDefault="000B4BD4" w:rsidP="0035187E">
            <w:pPr>
              <w:jc w:val="both"/>
              <w:rPr>
                <w:rFonts w:ascii="Times New Roman" w:eastAsia="Aptos" w:hAnsi="Times New Roman" w:cs="Times New Roman"/>
                <w:kern w:val="2"/>
                <w:sz w:val="20"/>
                <w:szCs w:val="20"/>
                <w:lang w:eastAsia="en-US"/>
                <w14:ligatures w14:val="standardContextual"/>
              </w:rPr>
            </w:pPr>
            <w:r w:rsidRPr="0035187E">
              <w:rPr>
                <w:rFonts w:ascii="Times New Roman" w:eastAsia="Aptos" w:hAnsi="Times New Roman" w:cs="Times New Roman"/>
                <w:kern w:val="2"/>
                <w:sz w:val="20"/>
                <w:szCs w:val="20"/>
                <w:lang w:eastAsia="en-US"/>
                <w14:ligatures w14:val="standardContextual"/>
              </w:rPr>
              <w:t>c) státní příspěvky na penzijní připojištění se státním příspěvkem podle zákona upravujícího penzijní připojištění se státním příspěvkem, státní příspěvky na doplňkové penzijní spoření podle zákona upravujícího doplňkové penzijní spoření a státní podpory podle zákona upravujícího stavební spoření,</w:t>
            </w:r>
          </w:p>
          <w:p w14:paraId="7F279A92" w14:textId="77777777" w:rsidR="000B4BD4" w:rsidRPr="0035187E" w:rsidRDefault="000B4BD4" w:rsidP="0035187E">
            <w:pPr>
              <w:jc w:val="both"/>
              <w:rPr>
                <w:rFonts w:ascii="Times New Roman" w:eastAsia="Aptos" w:hAnsi="Times New Roman" w:cs="Times New Roman"/>
                <w:kern w:val="2"/>
                <w:sz w:val="20"/>
                <w:szCs w:val="20"/>
                <w:lang w:eastAsia="en-US"/>
                <w14:ligatures w14:val="standardContextual"/>
              </w:rPr>
            </w:pPr>
            <w:r w:rsidRPr="0035187E">
              <w:rPr>
                <w:rFonts w:ascii="Times New Roman" w:eastAsia="Aptos" w:hAnsi="Times New Roman" w:cs="Times New Roman"/>
                <w:kern w:val="2"/>
                <w:sz w:val="20"/>
                <w:szCs w:val="20"/>
                <w:lang w:eastAsia="en-US"/>
                <w14:ligatures w14:val="standardContextual"/>
              </w:rPr>
              <w:t>d) stipendia poskytovaná studujícím soustavně se připravujícím na budoucí povolání,</w:t>
            </w:r>
          </w:p>
          <w:p w14:paraId="2D61C9CD" w14:textId="77777777" w:rsidR="000B4BD4" w:rsidRPr="0035187E" w:rsidRDefault="000B4BD4" w:rsidP="0035187E">
            <w:pPr>
              <w:jc w:val="both"/>
              <w:rPr>
                <w:rFonts w:ascii="Times New Roman" w:eastAsia="Aptos" w:hAnsi="Times New Roman" w:cs="Times New Roman"/>
                <w:kern w:val="2"/>
                <w:sz w:val="20"/>
                <w:szCs w:val="20"/>
                <w:lang w:eastAsia="en-US"/>
                <w14:ligatures w14:val="standardContextual"/>
              </w:rPr>
            </w:pPr>
            <w:r w:rsidRPr="0035187E">
              <w:rPr>
                <w:rFonts w:ascii="Times New Roman" w:eastAsia="Aptos" w:hAnsi="Times New Roman" w:cs="Times New Roman"/>
                <w:kern w:val="2"/>
                <w:sz w:val="20"/>
                <w:szCs w:val="20"/>
                <w:lang w:eastAsia="en-US"/>
                <w14:ligatures w14:val="standardContextual"/>
              </w:rPr>
              <w:t>e) příjmy plynoucí z důvodu péče o blízkou nebo jinou osobu, která má nárok na příspěvek na péči podle zákona upravujícího sociální služby, který je od daně osvobozen,</w:t>
            </w:r>
          </w:p>
          <w:p w14:paraId="1B879391" w14:textId="77777777" w:rsidR="000B4BD4" w:rsidRPr="0035187E" w:rsidRDefault="000B4BD4" w:rsidP="0035187E">
            <w:pPr>
              <w:jc w:val="both"/>
              <w:rPr>
                <w:rFonts w:ascii="Times New Roman" w:eastAsia="Aptos" w:hAnsi="Times New Roman" w:cs="Times New Roman"/>
                <w:kern w:val="2"/>
                <w:sz w:val="20"/>
                <w:szCs w:val="20"/>
                <w:lang w:eastAsia="en-US"/>
                <w14:ligatures w14:val="standardContextual"/>
              </w:rPr>
            </w:pPr>
            <w:r w:rsidRPr="0035187E">
              <w:rPr>
                <w:rFonts w:ascii="Times New Roman" w:eastAsia="Aptos" w:hAnsi="Times New Roman" w:cs="Times New Roman"/>
                <w:kern w:val="2"/>
                <w:sz w:val="20"/>
                <w:szCs w:val="20"/>
                <w:lang w:eastAsia="en-US"/>
                <w14:ligatures w14:val="standardContextual"/>
              </w:rPr>
              <w:t>f) příjmy, které vznikly jako důsledek porušení podmínek osvobození příjmu nebo uplatnění nezdanitelné části základu daně, a</w:t>
            </w:r>
          </w:p>
          <w:p w14:paraId="3B34F034" w14:textId="77777777" w:rsidR="000B4BD4" w:rsidRPr="0035187E" w:rsidRDefault="000B4BD4" w:rsidP="0035187E">
            <w:pPr>
              <w:jc w:val="both"/>
              <w:rPr>
                <w:rFonts w:ascii="Times New Roman" w:eastAsia="Aptos" w:hAnsi="Times New Roman" w:cs="Times New Roman"/>
                <w:kern w:val="2"/>
                <w:sz w:val="20"/>
                <w:szCs w:val="20"/>
                <w:lang w:eastAsia="en-US"/>
                <w14:ligatures w14:val="standardContextual"/>
              </w:rPr>
            </w:pPr>
            <w:r w:rsidRPr="0035187E">
              <w:rPr>
                <w:rFonts w:ascii="Times New Roman" w:eastAsia="Aptos" w:hAnsi="Times New Roman" w:cs="Times New Roman"/>
                <w:kern w:val="2"/>
                <w:sz w:val="20"/>
                <w:szCs w:val="20"/>
                <w:lang w:eastAsia="en-US"/>
                <w14:ligatures w14:val="standardContextual"/>
              </w:rPr>
              <w:t>g) příjmy, které plynou druhému z manželů nebo se pro účely daně z příjmů považují za příjem druhého z manželů v případě manželů, kteří mají společné jmění manželů.</w:t>
            </w:r>
          </w:p>
          <w:p w14:paraId="78EFBC26" w14:textId="77777777" w:rsidR="000B4BD4" w:rsidRPr="0035187E" w:rsidRDefault="000B4BD4" w:rsidP="0035187E">
            <w:pPr>
              <w:jc w:val="both"/>
              <w:rPr>
                <w:rFonts w:ascii="Times New Roman" w:eastAsia="Aptos" w:hAnsi="Times New Roman" w:cs="Times New Roman"/>
                <w:kern w:val="2"/>
                <w:sz w:val="20"/>
                <w:szCs w:val="20"/>
                <w:lang w:eastAsia="en-US"/>
                <w14:ligatures w14:val="standardContextual"/>
              </w:rPr>
            </w:pPr>
          </w:p>
          <w:p w14:paraId="20120607" w14:textId="77777777" w:rsidR="000B4BD4" w:rsidRPr="0035187E" w:rsidRDefault="000B4BD4" w:rsidP="0035187E">
            <w:pPr>
              <w:jc w:val="both"/>
              <w:rPr>
                <w:rFonts w:ascii="Times New Roman" w:eastAsia="Aptos" w:hAnsi="Times New Roman" w:cs="Times New Roman"/>
                <w:kern w:val="2"/>
                <w:sz w:val="20"/>
                <w:szCs w:val="20"/>
                <w:u w:val="single"/>
                <w:lang w:eastAsia="en-US"/>
                <w14:ligatures w14:val="standardContextual"/>
              </w:rPr>
            </w:pPr>
            <w:r w:rsidRPr="0035187E">
              <w:rPr>
                <w:rFonts w:ascii="Times New Roman" w:eastAsia="Aptos" w:hAnsi="Times New Roman" w:cs="Times New Roman"/>
                <w:kern w:val="2"/>
                <w:sz w:val="20"/>
                <w:szCs w:val="20"/>
                <w:u w:val="single"/>
                <w:lang w:eastAsia="en-US"/>
                <w14:ligatures w14:val="standardContextual"/>
              </w:rPr>
              <w:t>Odůvodnění:</w:t>
            </w:r>
          </w:p>
          <w:p w14:paraId="6E7DF6B5" w14:textId="020E7E98" w:rsidR="000B4BD4" w:rsidRPr="0035187E" w:rsidRDefault="000B4BD4" w:rsidP="0035187E">
            <w:pPr>
              <w:jc w:val="both"/>
              <w:rPr>
                <w:rFonts w:ascii="Times New Roman" w:eastAsia="Aptos" w:hAnsi="Times New Roman" w:cs="Times New Roman"/>
                <w:kern w:val="2"/>
                <w:sz w:val="20"/>
                <w:szCs w:val="20"/>
                <w:lang w:eastAsia="en-US"/>
                <w14:ligatures w14:val="standardContextual"/>
              </w:rPr>
            </w:pPr>
            <w:r w:rsidRPr="0035187E">
              <w:rPr>
                <w:rFonts w:ascii="Times New Roman" w:eastAsia="Aptos" w:hAnsi="Times New Roman" w:cs="Times New Roman"/>
                <w:kern w:val="2"/>
                <w:sz w:val="20"/>
                <w:szCs w:val="20"/>
                <w:lang w:eastAsia="en-US"/>
                <w14:ligatures w14:val="standardContextual"/>
              </w:rPr>
              <w:t>Navrhujeme rozšířit možnost uplatnění slevy na manžela nebo manželku i na případy, kdy manžel nebo manželka pečuje o nezaopatřené dítě do 18 let věku, které je držitelem průkazu ZTP nebo ZTP/P. Současná právní úprava umožňuje uplatnění slevy na manžela nebo manželku zejména v situaci, kdy jeden z manželů pečuje o dítě do tří let věku. Tato úprava reflektuje skutečnost, že péče o malé dítě často znemožňuje plnohodnotnou účast na trhu práce. Nicméně právní úprava již obdobným způsobem nereflektuje situaci rodin, které pečují o dítě se zdravotním postižením, a to ani tehdy, pokud je toto dítě držitelem průkazu ZTP nebo ZTP/P, tedy pokud je stát sám uznává jako osobu se závažným zdravotním postižením vyžadujícím zvýšenou míru podpory a pomoci.</w:t>
            </w:r>
          </w:p>
          <w:p w14:paraId="011B32B0" w14:textId="77777777" w:rsidR="000B4BD4" w:rsidRPr="0035187E" w:rsidRDefault="000B4BD4" w:rsidP="0035187E">
            <w:pPr>
              <w:jc w:val="both"/>
              <w:rPr>
                <w:rFonts w:ascii="Times New Roman" w:eastAsia="Aptos" w:hAnsi="Times New Roman" w:cs="Times New Roman"/>
                <w:kern w:val="2"/>
                <w:sz w:val="20"/>
                <w:szCs w:val="20"/>
                <w:lang w:eastAsia="en-US"/>
                <w14:ligatures w14:val="standardContextual"/>
              </w:rPr>
            </w:pPr>
          </w:p>
          <w:p w14:paraId="716E787C" w14:textId="0B743687" w:rsidR="000B4BD4" w:rsidRPr="0035187E" w:rsidRDefault="000B4BD4" w:rsidP="0035187E">
            <w:pPr>
              <w:jc w:val="both"/>
              <w:rPr>
                <w:rFonts w:ascii="Times New Roman" w:eastAsia="Aptos" w:hAnsi="Times New Roman" w:cs="Times New Roman"/>
                <w:kern w:val="2"/>
                <w:sz w:val="20"/>
                <w:szCs w:val="20"/>
                <w:lang w:eastAsia="en-US"/>
                <w14:ligatures w14:val="standardContextual"/>
              </w:rPr>
            </w:pPr>
            <w:r w:rsidRPr="0035187E">
              <w:rPr>
                <w:rFonts w:ascii="Times New Roman" w:eastAsia="Aptos" w:hAnsi="Times New Roman" w:cs="Times New Roman"/>
                <w:kern w:val="2"/>
                <w:sz w:val="20"/>
                <w:szCs w:val="20"/>
                <w:lang w:eastAsia="en-US"/>
                <w14:ligatures w14:val="standardContextual"/>
              </w:rPr>
              <w:t xml:space="preserve">Péče o dítě se zdravotním postižením je ve většině případů dlouhodobě výrazně náročnější než péče o zdravé dítě v raném věku.  Vyžaduje časté návštěvy zdravotnických zařízení, rehabilitace, asistenci při běžných denních činnostech, zvýšený dohled a často i doprovod </w:t>
            </w:r>
            <w:r w:rsidRPr="0035187E">
              <w:rPr>
                <w:rFonts w:ascii="Times New Roman" w:eastAsia="Aptos" w:hAnsi="Times New Roman" w:cs="Times New Roman"/>
                <w:kern w:val="2"/>
                <w:sz w:val="20"/>
                <w:szCs w:val="20"/>
                <w:lang w:eastAsia="en-US"/>
                <w14:ligatures w14:val="standardContextual"/>
              </w:rPr>
              <w:lastRenderedPageBreak/>
              <w:t>do vzdělávacích nebo specializovaných zařízení. V praxi tak velmi často dochází k situaci, kdy jeden z rodičů není schopen vykonávat výdělečnou činnost v plném rozsahu ani po třetím roce věku dítěte, případně pouze ve velmi omezené míře. Ekonomická situace těchto rodin je proto srovnatelná s rodinami, kde jeden z rodičů čerpá rodičovskou dovolenou.</w:t>
            </w:r>
          </w:p>
          <w:p w14:paraId="045C8014" w14:textId="77777777" w:rsidR="000B4BD4" w:rsidRPr="0035187E" w:rsidRDefault="000B4BD4" w:rsidP="0035187E">
            <w:pPr>
              <w:jc w:val="both"/>
              <w:rPr>
                <w:rFonts w:ascii="Times New Roman" w:eastAsia="Aptos" w:hAnsi="Times New Roman" w:cs="Times New Roman"/>
                <w:kern w:val="2"/>
                <w:sz w:val="20"/>
                <w:szCs w:val="20"/>
                <w:lang w:eastAsia="en-US"/>
                <w14:ligatures w14:val="standardContextual"/>
              </w:rPr>
            </w:pPr>
          </w:p>
          <w:p w14:paraId="36111B44" w14:textId="77777777" w:rsidR="000B4BD4" w:rsidRPr="0035187E" w:rsidRDefault="000B4BD4" w:rsidP="0035187E">
            <w:pPr>
              <w:jc w:val="both"/>
              <w:rPr>
                <w:rFonts w:ascii="Times New Roman" w:eastAsia="Aptos" w:hAnsi="Times New Roman" w:cs="Times New Roman"/>
                <w:kern w:val="2"/>
                <w:sz w:val="20"/>
                <w:szCs w:val="20"/>
                <w:lang w:eastAsia="en-US"/>
                <w14:ligatures w14:val="standardContextual"/>
              </w:rPr>
            </w:pPr>
            <w:r w:rsidRPr="0035187E">
              <w:rPr>
                <w:rFonts w:ascii="Times New Roman" w:eastAsia="Aptos" w:hAnsi="Times New Roman" w:cs="Times New Roman"/>
                <w:kern w:val="2"/>
                <w:sz w:val="20"/>
                <w:szCs w:val="20"/>
                <w:lang w:eastAsia="en-US"/>
                <w14:ligatures w14:val="standardContextual"/>
              </w:rPr>
              <w:t>Současné nastavení zákona tak vytváří stav, kdy je prostřednictvím daňového systému podporována péče o zdravé dítě do tří let věku, zatímco péče o dítě se závažným zdravotním postižením ve vyšším věku obdobnou podporu nezakládá. Tento stav lze považovat za systémově nelogický a z hlediska principu rovnosti problematický. Rodiny pečující o dítě se zdravotním postižením totiž čelí nejen vyšší časové náročnosti péče, ale současně i významně vyšším finančním nákladům spojeným se zdravotní péčí, rehabilitací, dopravou, kompenzačními pomůckami či asistencí.</w:t>
            </w:r>
          </w:p>
          <w:p w14:paraId="494FE109" w14:textId="6BAA37F7" w:rsidR="000B4BD4" w:rsidRPr="0035187E" w:rsidRDefault="000B4BD4" w:rsidP="0035187E">
            <w:pPr>
              <w:jc w:val="both"/>
              <w:rPr>
                <w:rFonts w:ascii="Times New Roman" w:eastAsia="Aptos" w:hAnsi="Times New Roman" w:cs="Times New Roman"/>
                <w:kern w:val="2"/>
                <w:sz w:val="20"/>
                <w:szCs w:val="20"/>
                <w:lang w:eastAsia="en-US"/>
                <w14:ligatures w14:val="standardContextual"/>
              </w:rPr>
            </w:pPr>
            <w:r w:rsidRPr="0035187E">
              <w:rPr>
                <w:rFonts w:ascii="Times New Roman" w:eastAsia="Aptos" w:hAnsi="Times New Roman" w:cs="Times New Roman"/>
                <w:kern w:val="2"/>
                <w:sz w:val="20"/>
                <w:szCs w:val="20"/>
                <w:lang w:eastAsia="en-US"/>
                <w14:ligatures w14:val="standardContextual"/>
              </w:rPr>
              <w:t>Navrhovaná úprava by rovněž odpovídala širším principům sociální politiky státu, které dlouhodobě podporují domácí a neformální péči o osoby se zdravotním postižením. Tato péče je nejen z hlediska kvality života dítěte často nejvhodnějším řešením, ale současně představuje pro veřejné rozpočty výrazně nižší náklad než institucionální nebo pobytové služby. Daňová podpora rodin, které tuto péči zajišťují, tak může být vnímána jako ekonomicky racionální nástroj podpory domácí péče.</w:t>
            </w:r>
          </w:p>
          <w:p w14:paraId="7C31F3AC" w14:textId="77777777" w:rsidR="000B4BD4" w:rsidRPr="0035187E" w:rsidRDefault="000B4BD4" w:rsidP="0035187E">
            <w:pPr>
              <w:jc w:val="both"/>
              <w:rPr>
                <w:rFonts w:ascii="Times New Roman" w:eastAsia="Aptos" w:hAnsi="Times New Roman" w:cs="Times New Roman"/>
                <w:kern w:val="2"/>
                <w:sz w:val="20"/>
                <w:szCs w:val="20"/>
                <w:lang w:eastAsia="en-US"/>
                <w14:ligatures w14:val="standardContextual"/>
              </w:rPr>
            </w:pPr>
          </w:p>
          <w:p w14:paraId="1878EE3D" w14:textId="235E03F3" w:rsidR="000B4BD4" w:rsidRPr="0035187E" w:rsidRDefault="000B4BD4" w:rsidP="0035187E">
            <w:pPr>
              <w:jc w:val="both"/>
              <w:rPr>
                <w:rFonts w:ascii="Times New Roman" w:eastAsia="Aptos" w:hAnsi="Times New Roman" w:cs="Times New Roman"/>
                <w:kern w:val="2"/>
                <w:sz w:val="20"/>
                <w:szCs w:val="20"/>
                <w:lang w:eastAsia="en-US"/>
                <w14:ligatures w14:val="standardContextual"/>
              </w:rPr>
            </w:pPr>
            <w:r w:rsidRPr="0035187E">
              <w:rPr>
                <w:rFonts w:ascii="Times New Roman" w:eastAsia="Aptos" w:hAnsi="Times New Roman" w:cs="Times New Roman"/>
                <w:kern w:val="2"/>
                <w:sz w:val="20"/>
                <w:szCs w:val="20"/>
                <w:lang w:eastAsia="en-US"/>
                <w14:ligatures w14:val="standardContextual"/>
              </w:rPr>
              <w:t>Dopady na státní rozpočet lze očekávat minimální, neboť počet rodin, které pečují o dítě s přiznaným průkazem ZTP nebo ZTP/P, je relativně nízký ve srovnání s celkovým počtem poplatníků. Z hlediska sociálních dopadů by však opatření mělo významný stabilizační efekt, neboť by přispělo ke snížení finanční zátěže těchto rodin a ke snížení rizika jejich propadu do chudoby.</w:t>
            </w:r>
          </w:p>
          <w:p w14:paraId="68CA3B7F" w14:textId="77777777" w:rsidR="000B4BD4" w:rsidRPr="0035187E" w:rsidRDefault="000B4BD4" w:rsidP="0035187E">
            <w:pPr>
              <w:jc w:val="both"/>
              <w:rPr>
                <w:rFonts w:ascii="Times New Roman" w:eastAsia="Aptos" w:hAnsi="Times New Roman" w:cs="Times New Roman"/>
                <w:kern w:val="2"/>
                <w:sz w:val="20"/>
                <w:szCs w:val="20"/>
                <w:lang w:eastAsia="en-US"/>
                <w14:ligatures w14:val="standardContextual"/>
              </w:rPr>
            </w:pPr>
          </w:p>
          <w:p w14:paraId="4E34900D" w14:textId="574298C5" w:rsidR="000B4BD4" w:rsidRPr="0035187E" w:rsidRDefault="000B4BD4" w:rsidP="0035187E">
            <w:pPr>
              <w:jc w:val="both"/>
              <w:rPr>
                <w:rFonts w:ascii="Times New Roman" w:hAnsi="Times New Roman" w:cs="Times New Roman"/>
                <w:b/>
                <w:sz w:val="20"/>
                <w:szCs w:val="20"/>
              </w:rPr>
            </w:pPr>
            <w:r w:rsidRPr="0035187E">
              <w:rPr>
                <w:rFonts w:ascii="Times New Roman" w:eastAsia="Aptos" w:hAnsi="Times New Roman" w:cs="Times New Roman"/>
                <w:kern w:val="2"/>
                <w:sz w:val="20"/>
                <w:szCs w:val="20"/>
                <w:lang w:eastAsia="en-US"/>
                <w14:ligatures w14:val="standardContextual"/>
              </w:rPr>
              <w:t>Z obdobných důvodů navrhujeme i návrat daňového zvýhodnění manželů s nárokem na průkaz ZTP/P. Navrhované zvýšení slevy na manžela/manželku v případě přiznání průkazu ZTP/P reflektuje skutečnost, že osoby s tímto typem těžkého zdravotního postižení mají zpravidla velmi omezenou nebo zcela absentující možnost pracovního uplatnění a nedisponují vlastním příjmem. Ekonomická zátěž domácnosti je proto ve většině případů nesena druhým z manželů, který je často jediným ekonomicky aktivním členem rodiny. Současně tyto domácnosti čelí zvýšeným nákladům spojeným se zdravotním postižením, například na dopravu, kompenzační pomůcky, asistenci či úpravy bydlení. Navrhovaná úprava by proto představovala přiměřenou kompenzaci této objektivně ztížené životní situace a zároveň by posílila podporu domácí péče o osoby s těžkým zdravotním postižením. Dopady na veřejné rozpočty lze očekávat jako omezené vzhledem k relativně nízkému počtu osob s přiznaným průkazem ZTP/P.</w:t>
            </w:r>
          </w:p>
        </w:tc>
        <w:tc>
          <w:tcPr>
            <w:tcW w:w="1453" w:type="pct"/>
            <w:tcBorders>
              <w:top w:val="single" w:sz="4" w:space="0" w:color="auto"/>
              <w:left w:val="single" w:sz="4" w:space="0" w:color="auto"/>
              <w:right w:val="single" w:sz="4" w:space="0" w:color="auto"/>
            </w:tcBorders>
            <w:shd w:val="clear" w:color="auto" w:fill="auto"/>
          </w:tcPr>
          <w:p w14:paraId="5AE5F1CA" w14:textId="77777777" w:rsidR="00D167F0" w:rsidRPr="0035187E" w:rsidRDefault="00D167F0"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Nevyhověno.</w:t>
            </w:r>
          </w:p>
          <w:p w14:paraId="4279BBA8" w14:textId="77777777" w:rsidR="00D167F0" w:rsidRPr="0035187E" w:rsidRDefault="00D167F0" w:rsidP="0035187E">
            <w:pPr>
              <w:jc w:val="both"/>
              <w:rPr>
                <w:rFonts w:ascii="Times New Roman" w:hAnsi="Times New Roman" w:cs="Times New Roman"/>
                <w:sz w:val="20"/>
                <w:szCs w:val="20"/>
              </w:rPr>
            </w:pPr>
            <w:r w:rsidRPr="0035187E">
              <w:rPr>
                <w:rFonts w:ascii="Times New Roman" w:hAnsi="Times New Roman" w:cs="Times New Roman"/>
                <w:sz w:val="20"/>
                <w:szCs w:val="20"/>
              </w:rPr>
              <w:t>Podnět přesahuje rámec navrhované úpravy zákona o evidenci tržeb.</w:t>
            </w:r>
          </w:p>
          <w:p w14:paraId="5320FDBD" w14:textId="77777777" w:rsidR="00D167F0" w:rsidRPr="0035187E" w:rsidRDefault="00D167F0"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Rozšiřování slevy na manžela v závislosti na splnění podmínky péče o osoby se zdravotním znevýhodněním nepovažujeme za vhodné řešení dané situace. Hlavním důvodem je skutečnost, že tuto slevu mohou efektivně využít pouze poplatníci s dostatečně vysokým základem daně. Příjmově slabší rodiny by tak z jejího rozšíření neprofitovaly vůbec. </w:t>
            </w:r>
          </w:p>
          <w:p w14:paraId="33B3101B" w14:textId="77777777" w:rsidR="00D167F0" w:rsidRPr="0035187E" w:rsidRDefault="00D167F0" w:rsidP="0035187E">
            <w:pPr>
              <w:jc w:val="both"/>
              <w:rPr>
                <w:rFonts w:ascii="Times New Roman" w:hAnsi="Times New Roman" w:cs="Times New Roman"/>
                <w:sz w:val="20"/>
                <w:szCs w:val="20"/>
              </w:rPr>
            </w:pPr>
            <w:r w:rsidRPr="0035187E">
              <w:rPr>
                <w:rFonts w:ascii="Times New Roman" w:hAnsi="Times New Roman" w:cs="Times New Roman"/>
                <w:sz w:val="20"/>
                <w:szCs w:val="20"/>
              </w:rPr>
              <w:t>Nelze opomenout ani skutečnost, že podmínění slevy na manžela péčí o osoby se zdravotním znevýhodněním by u vybraných skupin vedlo k výraznému zvýšení administrativní zátěže, a to jak na straně poplatníků (případně plátců daně při uplatňování nároku zaměstnancem), tak na straně správce daně.</w:t>
            </w:r>
          </w:p>
          <w:p w14:paraId="777DAA7B" w14:textId="77777777" w:rsidR="00D167F0" w:rsidRPr="0035187E" w:rsidRDefault="00D167F0" w:rsidP="0035187E">
            <w:pPr>
              <w:jc w:val="both"/>
              <w:rPr>
                <w:rFonts w:ascii="Times New Roman" w:hAnsi="Times New Roman" w:cs="Times New Roman"/>
                <w:sz w:val="20"/>
                <w:szCs w:val="20"/>
              </w:rPr>
            </w:pPr>
            <w:r w:rsidRPr="0035187E">
              <w:rPr>
                <w:rFonts w:ascii="Times New Roman" w:hAnsi="Times New Roman" w:cs="Times New Roman"/>
                <w:sz w:val="20"/>
                <w:szCs w:val="20"/>
              </w:rPr>
              <w:t>Za vhodnější a efektivnější formu podpory osob se zdravotním znevýhodněním lze v těchto případech považovat příspěvek na péči, který je možné diferencovat podle míry závislosti. Jeho případná valorizace navíc nezvyšuje složitost systému přerozdělování, neboť pomoc je realizována prostřednictvím již existujících nástrojů, a může být proto cílenější a účelnější, aniž by zvyšovala riziko nežádoucích motivačních efektů v oblasti neformální péče.</w:t>
            </w:r>
          </w:p>
          <w:p w14:paraId="2B02263F" w14:textId="77777777" w:rsidR="00D167F0" w:rsidRPr="0035187E" w:rsidRDefault="00D167F0" w:rsidP="0035187E">
            <w:pPr>
              <w:jc w:val="both"/>
              <w:rPr>
                <w:rFonts w:ascii="Times New Roman" w:hAnsi="Times New Roman" w:cs="Times New Roman"/>
                <w:sz w:val="20"/>
                <w:szCs w:val="20"/>
              </w:rPr>
            </w:pPr>
            <w:r w:rsidRPr="0035187E">
              <w:rPr>
                <w:rFonts w:ascii="Times New Roman" w:hAnsi="Times New Roman" w:cs="Times New Roman"/>
                <w:sz w:val="20"/>
                <w:szCs w:val="20"/>
              </w:rPr>
              <w:t>Současně je třeba zdůraznit, že rodiny se zdravotně znevýhodněnými dětmi již tento příspěvek pobírají jako formu kompenzace za péči o člena rodiny. Příspěvek by proto měl tyto situace primárně pokrývat, přičemž byl navíc v rámci zákona o sociálních službách valorizován napříč všemi stupni závislosti (I.–IV. stupeň).</w:t>
            </w:r>
          </w:p>
          <w:p w14:paraId="51871358" w14:textId="0C821894" w:rsidR="000B4BD4" w:rsidRPr="0035187E" w:rsidRDefault="00D167F0" w:rsidP="0035187E">
            <w:pPr>
              <w:jc w:val="both"/>
              <w:rPr>
                <w:rFonts w:ascii="Times New Roman" w:hAnsi="Times New Roman" w:cs="Times New Roman"/>
                <w:sz w:val="20"/>
                <w:szCs w:val="20"/>
              </w:rPr>
            </w:pPr>
            <w:r w:rsidRPr="0035187E">
              <w:rPr>
                <w:rFonts w:ascii="Times New Roman" w:hAnsi="Times New Roman" w:cs="Times New Roman"/>
                <w:sz w:val="20"/>
                <w:szCs w:val="20"/>
              </w:rPr>
              <w:t>Další formou pomoci, kterou dává přímo daňový systém je daňové zvýhodnění na vyživované dítě, které je v případě dítěte s průkazem ZTP/P dvojnásobné. Na rozdíl od slevy na manžela může mít toto zvýhodnění formu daňového bonusu bez stanovení horní hranice, a je tak dostupné i pro nízkopříjmové domácnosti.</w:t>
            </w:r>
          </w:p>
        </w:tc>
      </w:tr>
      <w:tr w:rsidR="0035187E" w:rsidRPr="0035187E" w14:paraId="6E147D80"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D26DA53" w14:textId="2724E26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144.</w:t>
            </w:r>
          </w:p>
        </w:tc>
        <w:tc>
          <w:tcPr>
            <w:tcW w:w="583" w:type="pct"/>
            <w:tcBorders>
              <w:top w:val="single" w:sz="4" w:space="0" w:color="auto"/>
              <w:left w:val="single" w:sz="4" w:space="0" w:color="auto"/>
              <w:right w:val="single" w:sz="4" w:space="0" w:color="auto"/>
            </w:tcBorders>
            <w:shd w:val="clear" w:color="auto" w:fill="auto"/>
          </w:tcPr>
          <w:p w14:paraId="36929624" w14:textId="2F83359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Svaz obchodu a cestovního ruchu České republiky</w:t>
            </w:r>
          </w:p>
        </w:tc>
        <w:tc>
          <w:tcPr>
            <w:tcW w:w="168" w:type="pct"/>
            <w:tcBorders>
              <w:top w:val="single" w:sz="4" w:space="0" w:color="auto"/>
              <w:left w:val="single" w:sz="4" w:space="0" w:color="auto"/>
              <w:right w:val="single" w:sz="4" w:space="0" w:color="auto"/>
            </w:tcBorders>
            <w:shd w:val="clear" w:color="auto" w:fill="auto"/>
          </w:tcPr>
          <w:p w14:paraId="3096C3D0" w14:textId="473B8E9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22E2C926" w14:textId="52D9338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0357A41" w14:textId="5C1686C3" w:rsidR="000B4BD4" w:rsidRPr="0035187E" w:rsidRDefault="000B4BD4" w:rsidP="0035187E">
            <w:pPr>
              <w:jc w:val="both"/>
              <w:rPr>
                <w:rFonts w:ascii="Times New Roman" w:hAnsi="Times New Roman" w:cs="Times New Roman"/>
                <w:b/>
                <w:sz w:val="20"/>
                <w:szCs w:val="20"/>
                <w:lang w:eastAsia="en-US"/>
              </w:rPr>
            </w:pPr>
            <w:r w:rsidRPr="0035187E">
              <w:rPr>
                <w:rFonts w:ascii="Times New Roman" w:hAnsi="Times New Roman" w:cs="Times New Roman"/>
                <w:b/>
                <w:sz w:val="20"/>
                <w:szCs w:val="20"/>
                <w:lang w:eastAsia="en-US"/>
              </w:rPr>
              <w:t xml:space="preserve">Máme tyto obecné připomínky: </w:t>
            </w:r>
          </w:p>
          <w:p w14:paraId="673CC193" w14:textId="77777777" w:rsidR="000B4BD4" w:rsidRPr="0035187E" w:rsidRDefault="000B4BD4" w:rsidP="0035187E">
            <w:pPr>
              <w:jc w:val="both"/>
              <w:rPr>
                <w:rFonts w:ascii="Times New Roman" w:hAnsi="Times New Roman" w:cs="Times New Roman"/>
                <w:b/>
                <w:sz w:val="20"/>
                <w:szCs w:val="20"/>
                <w:lang w:eastAsia="en-US"/>
              </w:rPr>
            </w:pPr>
          </w:p>
          <w:p w14:paraId="2E9FF55E"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 xml:space="preserve">Svaz vítá předložený návrh zákona o evidenci tržeb a o změně některých dalších zákonů a považuje jej za krok správným směrem. Zavedení modernizovaného systému elektronické evidence tržeb může přispět k omezení šedé ekonomiky, posílení férových podmínek mezi podnikatelskými subjekty a k důslednějšímu plnění daňových povinností. </w:t>
            </w:r>
          </w:p>
          <w:p w14:paraId="4994E440" w14:textId="20DB2355"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lastRenderedPageBreak/>
              <w:t>Pozitivně hodnotíme také tu skutečnost, že návrh zákona vychází ze zkušeností s fungováním původního systému elektronické evidence tržeb a současně usiluje o jeho modernizaci a zjednodušení. Omezení rozsahu evidovaných údajů a snahu o snížení administrativní zátěže podnikatelů považujeme za krok správným směrem. Dle našeho názoru jde o přiměřené a efektivní nastavení regulace.</w:t>
            </w:r>
          </w:p>
          <w:p w14:paraId="11E7422F" w14:textId="77777777" w:rsidR="000B4BD4" w:rsidRPr="0035187E" w:rsidRDefault="000B4BD4" w:rsidP="0035187E">
            <w:pPr>
              <w:jc w:val="both"/>
              <w:rPr>
                <w:rFonts w:ascii="Times New Roman" w:hAnsi="Times New Roman" w:cs="Times New Roman"/>
                <w:sz w:val="20"/>
                <w:szCs w:val="20"/>
                <w:lang w:eastAsia="en-US"/>
              </w:rPr>
            </w:pPr>
          </w:p>
          <w:p w14:paraId="70054191"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b/>
                <w:bCs/>
                <w:sz w:val="20"/>
                <w:szCs w:val="20"/>
                <w:lang w:eastAsia="en-US"/>
              </w:rPr>
              <w:t>Připomínka k limitu ročních příjmů pro režim EET OFF (1 000 000 Kč) a ke kontrolní činnosti</w:t>
            </w:r>
          </w:p>
          <w:p w14:paraId="14B13B1C"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1. Upozorňujeme, že stanovení pevného limitu ročních příjmů ve výši do 1 000 000 Kč pro možnost využití režimu EET OFF může v praxi vytvářet výrazný skokový efekt u podnikatelských subjektů nacházejících se v blízkosti této hranice. Subjekty, jejichž příjmy se pohybují těsně pod stanoveným limitem, mohou být motivovány k umělému udržování příjmů pod touto hranicí nebo k přizpůsobování struktury svého podnikání tak, aby nedošlo k jejímu překročení.</w:t>
            </w:r>
          </w:p>
          <w:p w14:paraId="6E355625"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Takové nastavení může vést k obcházení smyslu právní úpravy a současně vytvářet nerovné podmínky mezi podnikatelskými subjekty, jejichž ekonomická situace se liší pouze minimálně výší dosaženého příjmu.</w:t>
            </w:r>
          </w:p>
          <w:p w14:paraId="714B6E53" w14:textId="26EBEDBB"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sz w:val="20"/>
                <w:szCs w:val="20"/>
                <w:lang w:eastAsia="en-US"/>
              </w:rPr>
              <w:t>Navrhujeme proto zvážit úpravu nastavení tohoto limitu, případně mechanismu přechodu mezi jednotlivými režimy tak, aby se minimalizoval jeho skokový dopad a omezily potenciální motivace k obcházení právní úpravy.</w:t>
            </w:r>
          </w:p>
        </w:tc>
        <w:tc>
          <w:tcPr>
            <w:tcW w:w="1453" w:type="pct"/>
            <w:tcBorders>
              <w:top w:val="single" w:sz="4" w:space="0" w:color="auto"/>
              <w:left w:val="single" w:sz="4" w:space="0" w:color="auto"/>
              <w:right w:val="single" w:sz="4" w:space="0" w:color="auto"/>
            </w:tcBorders>
            <w:shd w:val="clear" w:color="auto" w:fill="auto"/>
          </w:tcPr>
          <w:p w14:paraId="4EEE9D01" w14:textId="71989499"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Bere se na vědomí.</w:t>
            </w:r>
          </w:p>
          <w:p w14:paraId="330A096E" w14:textId="77777777" w:rsidR="000B4BD4" w:rsidRPr="0035187E" w:rsidRDefault="000B4BD4" w:rsidP="0035187E">
            <w:pPr>
              <w:jc w:val="both"/>
              <w:rPr>
                <w:rFonts w:ascii="Times New Roman" w:hAnsi="Times New Roman" w:cs="Times New Roman"/>
                <w:b/>
                <w:sz w:val="20"/>
                <w:szCs w:val="20"/>
              </w:rPr>
            </w:pPr>
          </w:p>
          <w:p w14:paraId="6B424D3E" w14:textId="77777777" w:rsidR="000B4BD4" w:rsidRPr="0035187E" w:rsidRDefault="000B4BD4" w:rsidP="0035187E">
            <w:pPr>
              <w:jc w:val="both"/>
              <w:rPr>
                <w:rFonts w:ascii="Times New Roman" w:hAnsi="Times New Roman" w:cs="Times New Roman"/>
                <w:b/>
                <w:sz w:val="20"/>
                <w:szCs w:val="20"/>
              </w:rPr>
            </w:pPr>
          </w:p>
          <w:p w14:paraId="5B45296C" w14:textId="77777777" w:rsidR="000B4BD4" w:rsidRPr="0035187E" w:rsidRDefault="000B4BD4" w:rsidP="0035187E">
            <w:pPr>
              <w:jc w:val="both"/>
              <w:rPr>
                <w:rFonts w:ascii="Times New Roman" w:hAnsi="Times New Roman" w:cs="Times New Roman"/>
                <w:b/>
                <w:sz w:val="20"/>
                <w:szCs w:val="20"/>
              </w:rPr>
            </w:pPr>
          </w:p>
          <w:p w14:paraId="175E1438" w14:textId="77777777" w:rsidR="000B4BD4" w:rsidRPr="0035187E" w:rsidRDefault="000B4BD4" w:rsidP="0035187E">
            <w:pPr>
              <w:jc w:val="both"/>
              <w:rPr>
                <w:rFonts w:ascii="Times New Roman" w:hAnsi="Times New Roman" w:cs="Times New Roman"/>
                <w:b/>
                <w:sz w:val="20"/>
                <w:szCs w:val="20"/>
              </w:rPr>
            </w:pPr>
          </w:p>
          <w:p w14:paraId="4DB32F85" w14:textId="77777777" w:rsidR="000B4BD4" w:rsidRPr="0035187E" w:rsidRDefault="000B4BD4" w:rsidP="0035187E">
            <w:pPr>
              <w:jc w:val="both"/>
              <w:rPr>
                <w:rFonts w:ascii="Times New Roman" w:hAnsi="Times New Roman" w:cs="Times New Roman"/>
                <w:b/>
                <w:sz w:val="20"/>
                <w:szCs w:val="20"/>
              </w:rPr>
            </w:pPr>
          </w:p>
          <w:p w14:paraId="30E5F581" w14:textId="77777777" w:rsidR="000B4BD4" w:rsidRPr="0035187E" w:rsidRDefault="000B4BD4" w:rsidP="0035187E">
            <w:pPr>
              <w:jc w:val="both"/>
              <w:rPr>
                <w:rFonts w:ascii="Times New Roman" w:hAnsi="Times New Roman" w:cs="Times New Roman"/>
                <w:b/>
                <w:sz w:val="20"/>
                <w:szCs w:val="20"/>
              </w:rPr>
            </w:pPr>
          </w:p>
          <w:p w14:paraId="31B92276" w14:textId="77777777" w:rsidR="000B4BD4" w:rsidRPr="0035187E" w:rsidRDefault="000B4BD4" w:rsidP="0035187E">
            <w:pPr>
              <w:jc w:val="both"/>
              <w:rPr>
                <w:rFonts w:ascii="Times New Roman" w:hAnsi="Times New Roman" w:cs="Times New Roman"/>
                <w:b/>
                <w:sz w:val="20"/>
                <w:szCs w:val="20"/>
              </w:rPr>
            </w:pPr>
          </w:p>
          <w:p w14:paraId="11D42EBA" w14:textId="77777777" w:rsidR="000B4BD4" w:rsidRPr="0035187E" w:rsidRDefault="000B4BD4" w:rsidP="0035187E">
            <w:pPr>
              <w:jc w:val="both"/>
              <w:rPr>
                <w:rFonts w:ascii="Times New Roman" w:hAnsi="Times New Roman" w:cs="Times New Roman"/>
                <w:b/>
                <w:sz w:val="20"/>
                <w:szCs w:val="20"/>
              </w:rPr>
            </w:pPr>
          </w:p>
          <w:p w14:paraId="76F3EA0A" w14:textId="77777777" w:rsidR="000B4BD4" w:rsidRPr="0035187E" w:rsidRDefault="000B4BD4" w:rsidP="0035187E">
            <w:pPr>
              <w:jc w:val="both"/>
              <w:rPr>
                <w:rFonts w:ascii="Times New Roman" w:hAnsi="Times New Roman" w:cs="Times New Roman"/>
                <w:b/>
                <w:sz w:val="20"/>
                <w:szCs w:val="20"/>
              </w:rPr>
            </w:pPr>
          </w:p>
          <w:p w14:paraId="25B0CF0B" w14:textId="77777777" w:rsidR="000B4BD4" w:rsidRPr="0035187E" w:rsidRDefault="000B4BD4" w:rsidP="0035187E">
            <w:pPr>
              <w:jc w:val="both"/>
              <w:rPr>
                <w:rFonts w:ascii="Times New Roman" w:hAnsi="Times New Roman" w:cs="Times New Roman"/>
                <w:b/>
                <w:sz w:val="20"/>
                <w:szCs w:val="20"/>
              </w:rPr>
            </w:pPr>
          </w:p>
          <w:p w14:paraId="22562DF3" w14:textId="77777777" w:rsidR="000B4BD4" w:rsidRPr="0035187E" w:rsidRDefault="000B4BD4" w:rsidP="0035187E">
            <w:pPr>
              <w:jc w:val="both"/>
              <w:rPr>
                <w:rFonts w:ascii="Times New Roman" w:hAnsi="Times New Roman" w:cs="Times New Roman"/>
                <w:b/>
                <w:sz w:val="20"/>
                <w:szCs w:val="20"/>
              </w:rPr>
            </w:pPr>
          </w:p>
          <w:p w14:paraId="2318812D" w14:textId="5F2D8D74"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7E20685F" w14:textId="2378FEEC" w:rsidR="000B4BD4" w:rsidRPr="0035187E" w:rsidRDefault="000B4BD4"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Výše příjmů bude u subjektů v režimu EET OFF kontrolována podobnými analytickými metodami jako výše evidovaných tržeb. Tedy různými formami analytického porovnávání se subjekty podnikajícími za obdobných podmínek, ve stejném oboru, oblasti atd. Navíc, od zavedení tří pásem paušálního režimu musí poplatníci s příjmy ze samostatné činnosti, ke kterým lze uplatnit výdaje různým procentem z příjmů, vést záznamy o příjmech (aby byli schopni prokázat výši příjmů pro zvolené pásmo). V případě analytického zjištění pak může správce daně tuto evidenci prověřit.</w:t>
            </w:r>
          </w:p>
          <w:p w14:paraId="486C3271" w14:textId="77777777" w:rsidR="00FF60CF" w:rsidRPr="0035187E" w:rsidRDefault="00FF60CF" w:rsidP="0035187E">
            <w:pPr>
              <w:jc w:val="both"/>
              <w:rPr>
                <w:rFonts w:ascii="Times New Roman" w:hAnsi="Times New Roman" w:cs="Times New Roman"/>
                <w:iCs/>
                <w:sz w:val="20"/>
                <w:szCs w:val="20"/>
              </w:rPr>
            </w:pPr>
          </w:p>
          <w:p w14:paraId="501B9CD7" w14:textId="6E3166CE" w:rsidR="00FF60CF" w:rsidRPr="0035187E" w:rsidRDefault="00FF60CF" w:rsidP="0035187E">
            <w:pPr>
              <w:jc w:val="both"/>
              <w:rPr>
                <w:rFonts w:ascii="Times New Roman" w:hAnsi="Times New Roman" w:cs="Times New Roman"/>
                <w:i/>
                <w:sz w:val="20"/>
                <w:szCs w:val="20"/>
              </w:rPr>
            </w:pPr>
            <w:r w:rsidRPr="0035187E">
              <w:rPr>
                <w:rFonts w:ascii="Times New Roman" w:hAnsi="Times New Roman" w:cs="Times New Roman"/>
                <w:i/>
                <w:sz w:val="20"/>
                <w:szCs w:val="20"/>
              </w:rPr>
              <w:t>Připomínkové místo poděkovalo za vypořádání.</w:t>
            </w:r>
          </w:p>
          <w:p w14:paraId="75D456D7" w14:textId="14CE71C0" w:rsidR="000B4BD4" w:rsidRPr="0035187E" w:rsidRDefault="000B4BD4" w:rsidP="0035187E">
            <w:pPr>
              <w:jc w:val="both"/>
              <w:rPr>
                <w:rFonts w:ascii="Times New Roman" w:hAnsi="Times New Roman" w:cs="Times New Roman"/>
                <w:sz w:val="20"/>
                <w:szCs w:val="20"/>
              </w:rPr>
            </w:pPr>
          </w:p>
        </w:tc>
      </w:tr>
      <w:tr w:rsidR="0035187E" w:rsidRPr="0035187E" w14:paraId="513FC248"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0AFC459" w14:textId="5480DD0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144.</w:t>
            </w:r>
          </w:p>
        </w:tc>
        <w:tc>
          <w:tcPr>
            <w:tcW w:w="583" w:type="pct"/>
            <w:tcBorders>
              <w:top w:val="single" w:sz="4" w:space="0" w:color="auto"/>
              <w:left w:val="single" w:sz="4" w:space="0" w:color="auto"/>
              <w:right w:val="single" w:sz="4" w:space="0" w:color="auto"/>
            </w:tcBorders>
            <w:shd w:val="clear" w:color="auto" w:fill="auto"/>
          </w:tcPr>
          <w:p w14:paraId="420C5137" w14:textId="6EAC236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Svaz obchodu a cestovního ruchu České republiky</w:t>
            </w:r>
          </w:p>
        </w:tc>
        <w:tc>
          <w:tcPr>
            <w:tcW w:w="168" w:type="pct"/>
            <w:tcBorders>
              <w:top w:val="single" w:sz="4" w:space="0" w:color="auto"/>
              <w:left w:val="single" w:sz="4" w:space="0" w:color="auto"/>
              <w:right w:val="single" w:sz="4" w:space="0" w:color="auto"/>
            </w:tcBorders>
            <w:shd w:val="clear" w:color="auto" w:fill="auto"/>
          </w:tcPr>
          <w:p w14:paraId="6D947E60" w14:textId="3438056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w:t>
            </w:r>
          </w:p>
        </w:tc>
        <w:tc>
          <w:tcPr>
            <w:tcW w:w="169" w:type="pct"/>
            <w:tcBorders>
              <w:top w:val="single" w:sz="4" w:space="0" w:color="auto"/>
              <w:left w:val="single" w:sz="4" w:space="0" w:color="auto"/>
              <w:right w:val="single" w:sz="4" w:space="0" w:color="auto"/>
            </w:tcBorders>
            <w:shd w:val="clear" w:color="auto" w:fill="auto"/>
          </w:tcPr>
          <w:p w14:paraId="74C10914" w14:textId="6433C89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C864D29" w14:textId="05F073B8"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2. Považujeme též za důležité zdůraznit význam efektivní kontrolní činnosti ze strany příslušných orgánů státní správy. Elektronická evidence tržeb může být účinným nástrojem pouze za předpokladu, že bude doprovázena odpovídajícím výkonem kontrolních pravomocí.  V opačném případě existuje riziko, že některé podnikatelské subjekty nebudou evidovat veškeré tržby, což by mohlo vést k narušení férových podmínek na trhu. Důsledná a zároveň cílená kontrolní činnost je proto důležitým předpokladem pro naplnění cílů navrhované právní úpravy.</w:t>
            </w:r>
          </w:p>
        </w:tc>
        <w:tc>
          <w:tcPr>
            <w:tcW w:w="1453" w:type="pct"/>
            <w:tcBorders>
              <w:top w:val="single" w:sz="4" w:space="0" w:color="auto"/>
              <w:left w:val="single" w:sz="4" w:space="0" w:color="auto"/>
              <w:right w:val="single" w:sz="4" w:space="0" w:color="auto"/>
            </w:tcBorders>
            <w:shd w:val="clear" w:color="auto" w:fill="auto"/>
          </w:tcPr>
          <w:p w14:paraId="55D3575E" w14:textId="650EEAED" w:rsidR="000B4BD4" w:rsidRPr="0035187E" w:rsidRDefault="000B4BD4" w:rsidP="0035187E">
            <w:pPr>
              <w:rPr>
                <w:rFonts w:ascii="Times New Roman" w:hAnsi="Times New Roman" w:cs="Times New Roman"/>
                <w:b/>
                <w:sz w:val="20"/>
                <w:szCs w:val="20"/>
              </w:rPr>
            </w:pPr>
            <w:r w:rsidRPr="0035187E">
              <w:rPr>
                <w:rFonts w:ascii="Times New Roman" w:hAnsi="Times New Roman" w:cs="Times New Roman"/>
                <w:b/>
                <w:sz w:val="20"/>
                <w:szCs w:val="20"/>
              </w:rPr>
              <w:t>Bere se na vědomí/Vysvětleno.</w:t>
            </w:r>
          </w:p>
          <w:p w14:paraId="27CB8D63" w14:textId="77777777" w:rsidR="000B4BD4" w:rsidRPr="0035187E" w:rsidRDefault="000B4BD4" w:rsidP="0035187E">
            <w:pPr>
              <w:rPr>
                <w:rFonts w:ascii="Times New Roman" w:hAnsi="Times New Roman" w:cs="Times New Roman"/>
                <w:sz w:val="20"/>
                <w:szCs w:val="20"/>
              </w:rPr>
            </w:pPr>
            <w:r w:rsidRPr="0035187E">
              <w:rPr>
                <w:rFonts w:ascii="Times New Roman" w:hAnsi="Times New Roman" w:cs="Times New Roman"/>
                <w:sz w:val="20"/>
                <w:szCs w:val="20"/>
              </w:rPr>
              <w:t xml:space="preserve">Primárním cílem evidence tržeb je přispět k posílení rovného a poctivého podnikatelského prostředí a k efektivnějšímu ověřování plnění daňových povinností. Účelem tohoto zákona je vytvoření podmínek pro jednotné a automatizované zjišťování informací o evidovaných tržbách. Samotné naplnění cílů je podmíněno </w:t>
            </w:r>
            <w:r w:rsidRPr="0035187E">
              <w:rPr>
                <w:rFonts w:ascii="Times New Roman" w:hAnsi="Times New Roman" w:cs="Times New Roman"/>
                <w:sz w:val="20"/>
                <w:szCs w:val="20"/>
                <w:lang w:eastAsia="en-US"/>
              </w:rPr>
              <w:t>efektivní kontrolní činnosti ze strany příslušných orgánů státní správy, v tomto ohledu nelze než s připomínkovým místem souhlasit. V rámci této kontrolní činnosti bude kladen důraz zejména na kvalitní a efektivní analytickou práci správce daně.</w:t>
            </w:r>
          </w:p>
          <w:p w14:paraId="374AF257" w14:textId="46FBD972"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Díky pokročilé datové analytice budou evidované tržby prověřovány např. různými formami analytického porovnávání se subjekty podnikajícími za obdobných podmínek, ve stejném oboru, oblasti atd. Kontrola na místě pak proběhne např. až tehdy, když na základě analytické činnosti finanční správa zjistí významné anomálie. Kontrola pak bude sloužit především k prověření, zda okolnosti či způsob vykonávané činnosti zjištěné odchylky vysvětlí či nikoliv. </w:t>
            </w:r>
            <w:r w:rsidRPr="0035187E">
              <w:rPr>
                <w:rFonts w:ascii="Times New Roman" w:hAnsi="Times New Roman" w:cs="Times New Roman"/>
                <w:sz w:val="20"/>
                <w:szCs w:val="20"/>
              </w:rPr>
              <w:lastRenderedPageBreak/>
              <w:t>Základní premisou je efektivní výkon kontrolní činnosti s minimální zátěží poctivých podnikatelů.</w:t>
            </w:r>
          </w:p>
        </w:tc>
      </w:tr>
      <w:tr w:rsidR="0035187E" w:rsidRPr="0035187E" w14:paraId="3425F061"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F729036" w14:textId="5CD6A8F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144.</w:t>
            </w:r>
          </w:p>
        </w:tc>
        <w:tc>
          <w:tcPr>
            <w:tcW w:w="583" w:type="pct"/>
            <w:tcBorders>
              <w:top w:val="single" w:sz="4" w:space="0" w:color="auto"/>
              <w:left w:val="single" w:sz="4" w:space="0" w:color="auto"/>
              <w:right w:val="single" w:sz="4" w:space="0" w:color="auto"/>
            </w:tcBorders>
            <w:shd w:val="clear" w:color="auto" w:fill="auto"/>
          </w:tcPr>
          <w:p w14:paraId="6913693E" w14:textId="321CEC7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Svaz obchodu a cestovního ruchu České republiky</w:t>
            </w:r>
          </w:p>
        </w:tc>
        <w:tc>
          <w:tcPr>
            <w:tcW w:w="168" w:type="pct"/>
            <w:tcBorders>
              <w:top w:val="single" w:sz="4" w:space="0" w:color="auto"/>
              <w:left w:val="single" w:sz="4" w:space="0" w:color="auto"/>
              <w:right w:val="single" w:sz="4" w:space="0" w:color="auto"/>
            </w:tcBorders>
            <w:shd w:val="clear" w:color="auto" w:fill="auto"/>
          </w:tcPr>
          <w:p w14:paraId="28B952A8" w14:textId="538F07D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3.</w:t>
            </w:r>
          </w:p>
        </w:tc>
        <w:tc>
          <w:tcPr>
            <w:tcW w:w="169" w:type="pct"/>
            <w:tcBorders>
              <w:top w:val="single" w:sz="4" w:space="0" w:color="auto"/>
              <w:left w:val="single" w:sz="4" w:space="0" w:color="auto"/>
              <w:right w:val="single" w:sz="4" w:space="0" w:color="auto"/>
            </w:tcBorders>
            <w:shd w:val="clear" w:color="auto" w:fill="auto"/>
          </w:tcPr>
          <w:p w14:paraId="68A4B66B" w14:textId="312DD1E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06C2EA9" w14:textId="1E4779D9" w:rsidR="000B4BD4" w:rsidRPr="0035187E" w:rsidRDefault="000B4BD4" w:rsidP="0035187E">
            <w:pPr>
              <w:jc w:val="both"/>
              <w:rPr>
                <w:rFonts w:ascii="Times New Roman" w:hAnsi="Times New Roman" w:cs="Times New Roman"/>
                <w:b/>
                <w:sz w:val="20"/>
                <w:szCs w:val="20"/>
                <w:lang w:eastAsia="en-US"/>
              </w:rPr>
            </w:pPr>
            <w:r w:rsidRPr="0035187E">
              <w:rPr>
                <w:rFonts w:ascii="Times New Roman" w:hAnsi="Times New Roman" w:cs="Times New Roman"/>
                <w:b/>
                <w:sz w:val="20"/>
                <w:szCs w:val="20"/>
                <w:lang w:eastAsia="en-US"/>
              </w:rPr>
              <w:t>Máme tyto zásadní konkrétní připomínky:</w:t>
            </w:r>
          </w:p>
          <w:p w14:paraId="371A3301" w14:textId="77777777" w:rsidR="000B4BD4" w:rsidRPr="0035187E" w:rsidRDefault="000B4BD4" w:rsidP="0035187E">
            <w:pPr>
              <w:jc w:val="both"/>
              <w:rPr>
                <w:rFonts w:ascii="Times New Roman" w:hAnsi="Times New Roman" w:cs="Times New Roman"/>
                <w:b/>
                <w:sz w:val="20"/>
                <w:szCs w:val="20"/>
                <w:lang w:eastAsia="en-US"/>
              </w:rPr>
            </w:pPr>
          </w:p>
          <w:p w14:paraId="3146EDCD" w14:textId="77777777" w:rsidR="000B4BD4" w:rsidRPr="0035187E" w:rsidRDefault="000B4BD4" w:rsidP="0035187E">
            <w:pPr>
              <w:numPr>
                <w:ilvl w:val="0"/>
                <w:numId w:val="19"/>
              </w:numPr>
              <w:ind w:left="0" w:firstLine="0"/>
              <w:contextualSpacing/>
              <w:jc w:val="both"/>
              <w:rPr>
                <w:rFonts w:ascii="Times New Roman" w:hAnsi="Times New Roman" w:cs="Times New Roman"/>
                <w:b/>
                <w:bCs/>
                <w:sz w:val="20"/>
                <w:szCs w:val="20"/>
                <w:lang w:eastAsia="en-US"/>
              </w:rPr>
            </w:pPr>
            <w:r w:rsidRPr="0035187E">
              <w:rPr>
                <w:rFonts w:ascii="Times New Roman" w:hAnsi="Times New Roman" w:cs="Times New Roman"/>
                <w:b/>
                <w:bCs/>
                <w:sz w:val="20"/>
                <w:szCs w:val="20"/>
                <w:lang w:eastAsia="en-US"/>
              </w:rPr>
              <w:t xml:space="preserve">Návrh na ponechání poskytnutí rekreace a zájezdu mezi volnočasovými benefity </w:t>
            </w:r>
          </w:p>
          <w:p w14:paraId="565B3E5A" w14:textId="77777777" w:rsidR="000B4BD4" w:rsidRPr="0035187E" w:rsidRDefault="000B4BD4" w:rsidP="0035187E">
            <w:pPr>
              <w:jc w:val="both"/>
              <w:rPr>
                <w:rFonts w:ascii="Times New Roman" w:hAnsi="Times New Roman" w:cs="Times New Roman"/>
                <w:b/>
                <w:bCs/>
                <w:sz w:val="20"/>
                <w:szCs w:val="20"/>
                <w:lang w:eastAsia="en-US"/>
              </w:rPr>
            </w:pPr>
          </w:p>
          <w:p w14:paraId="091D943D" w14:textId="28260A06" w:rsidR="000B4BD4" w:rsidRPr="0035187E" w:rsidRDefault="000B4BD4" w:rsidP="0035187E">
            <w:pPr>
              <w:jc w:val="both"/>
              <w:rPr>
                <w:rFonts w:ascii="Times New Roman" w:hAnsi="Times New Roman" w:cs="Times New Roman"/>
                <w:b/>
                <w:bCs/>
                <w:sz w:val="20"/>
                <w:szCs w:val="20"/>
                <w:lang w:eastAsia="en-US"/>
              </w:rPr>
            </w:pPr>
            <w:r w:rsidRPr="0035187E">
              <w:rPr>
                <w:rFonts w:ascii="Times New Roman" w:hAnsi="Times New Roman" w:cs="Times New Roman"/>
                <w:b/>
                <w:bCs/>
                <w:sz w:val="20"/>
                <w:szCs w:val="20"/>
                <w:lang w:eastAsia="en-US"/>
              </w:rPr>
              <w:t>Návrh změny:</w:t>
            </w:r>
          </w:p>
          <w:p w14:paraId="4ECC9591"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Navrhujeme, aby poskytování rekreace a zájezdů nadále zůstalo součástí volnočasových benefitů.</w:t>
            </w:r>
          </w:p>
          <w:p w14:paraId="4AC04FD8" w14:textId="77777777" w:rsidR="000B4BD4" w:rsidRPr="0035187E" w:rsidRDefault="000B4BD4" w:rsidP="0035187E">
            <w:pPr>
              <w:jc w:val="both"/>
              <w:rPr>
                <w:rFonts w:ascii="Times New Roman" w:hAnsi="Times New Roman" w:cs="Times New Roman"/>
                <w:b/>
                <w:bCs/>
                <w:sz w:val="20"/>
                <w:szCs w:val="20"/>
                <w:lang w:eastAsia="en-US"/>
              </w:rPr>
            </w:pPr>
          </w:p>
          <w:p w14:paraId="1992B85D" w14:textId="0573E90D" w:rsidR="000B4BD4" w:rsidRPr="0035187E" w:rsidRDefault="000B4BD4" w:rsidP="0035187E">
            <w:pPr>
              <w:jc w:val="both"/>
              <w:rPr>
                <w:rFonts w:ascii="Times New Roman" w:hAnsi="Times New Roman" w:cs="Times New Roman"/>
                <w:b/>
                <w:bCs/>
                <w:sz w:val="20"/>
                <w:szCs w:val="20"/>
                <w:lang w:eastAsia="en-US"/>
              </w:rPr>
            </w:pPr>
            <w:r w:rsidRPr="0035187E">
              <w:rPr>
                <w:rFonts w:ascii="Times New Roman" w:hAnsi="Times New Roman" w:cs="Times New Roman"/>
                <w:b/>
                <w:bCs/>
                <w:sz w:val="20"/>
                <w:szCs w:val="20"/>
                <w:lang w:eastAsia="en-US"/>
              </w:rPr>
              <w:t>Potřebná legislativní úprava:</w:t>
            </w:r>
          </w:p>
          <w:p w14:paraId="2CB795B6"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 xml:space="preserve">V návrhu úpravy ZDP se v § 6 odst. 9 písm. d) bodě 2 slova „poskytnutí rekreace nebo zájezdu,“ nezrušují a v § 6 odst. 9 písm. d) se nedoplňuje bod 3. </w:t>
            </w:r>
          </w:p>
          <w:p w14:paraId="4D6EE423" w14:textId="77777777" w:rsidR="000B4BD4" w:rsidRPr="0035187E" w:rsidRDefault="000B4BD4" w:rsidP="0035187E">
            <w:pPr>
              <w:jc w:val="both"/>
              <w:rPr>
                <w:rFonts w:ascii="Times New Roman" w:hAnsi="Times New Roman" w:cs="Times New Roman"/>
                <w:b/>
                <w:bCs/>
                <w:sz w:val="20"/>
                <w:szCs w:val="20"/>
                <w:lang w:eastAsia="en-US"/>
              </w:rPr>
            </w:pPr>
          </w:p>
          <w:p w14:paraId="19F73D5D" w14:textId="4EC3ED2E" w:rsidR="000B4BD4" w:rsidRPr="0035187E" w:rsidRDefault="000B4BD4" w:rsidP="0035187E">
            <w:pPr>
              <w:jc w:val="both"/>
              <w:rPr>
                <w:rFonts w:ascii="Times New Roman" w:hAnsi="Times New Roman" w:cs="Times New Roman"/>
                <w:b/>
                <w:bCs/>
                <w:sz w:val="20"/>
                <w:szCs w:val="20"/>
                <w:lang w:eastAsia="en-US"/>
              </w:rPr>
            </w:pPr>
            <w:r w:rsidRPr="0035187E">
              <w:rPr>
                <w:rFonts w:ascii="Times New Roman" w:hAnsi="Times New Roman" w:cs="Times New Roman"/>
                <w:b/>
                <w:bCs/>
                <w:sz w:val="20"/>
                <w:szCs w:val="20"/>
                <w:lang w:eastAsia="en-US"/>
              </w:rPr>
              <w:t>Odůvodnění:</w:t>
            </w:r>
          </w:p>
          <w:p w14:paraId="11F71A57" w14:textId="2543CD10"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 xml:space="preserve">Oddělená úprava poskytování rekreace a zájezdů a ostatních volnočasových benefitů významně zvyšuje administrativní náročnost na straně zaměstnavatelů. V praxi by bylo nezbytné rozlišovat mezi rekreací jako takovou a využitím rekreačního zařízení, přičemž hranice mezi těmito kategoriemi není jednoznačná, což může činit interpretační obtíže. Problematické může být rovněž vymezení, kdy se jedná o dovolenou a kdy o jinou formu volnočasové aktivity (například v případě využití hotelového fitness centra, wellness služeb či dalších doplňkových plnění). Takové rozlišování povede k právní nejistotě a zvýšenému riziku sporů při daňových kontrolách. Zároveň představuje vydělení poskytnutí rekreace nebo zájezdu vznik dalšího samostatného limitu, což je v rozporu se zájmem zákonodárce o co nejjednodušší administrativu. </w:t>
            </w:r>
          </w:p>
        </w:tc>
        <w:tc>
          <w:tcPr>
            <w:tcW w:w="1453" w:type="pct"/>
            <w:tcBorders>
              <w:top w:val="single" w:sz="4" w:space="0" w:color="auto"/>
              <w:left w:val="single" w:sz="4" w:space="0" w:color="auto"/>
              <w:right w:val="single" w:sz="4" w:space="0" w:color="auto"/>
            </w:tcBorders>
            <w:shd w:val="clear" w:color="auto" w:fill="auto"/>
          </w:tcPr>
          <w:p w14:paraId="32C43A6E" w14:textId="77777777" w:rsidR="004C4E52" w:rsidRPr="0035187E" w:rsidRDefault="004C4E52"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Nevyhověno.</w:t>
            </w:r>
          </w:p>
          <w:p w14:paraId="2D026EC5" w14:textId="77777777" w:rsidR="004C4E52" w:rsidRPr="0035187E" w:rsidRDefault="004C4E52" w:rsidP="0035187E">
            <w:pPr>
              <w:contextualSpacing/>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Poskytnutí rekreace a zájezdu bude ponecháno mezi volnočasovými benefity v § 6 odst. 9 písm. d) zákona o daních z příjmů.</w:t>
            </w:r>
          </w:p>
          <w:p w14:paraId="5160491E" w14:textId="77777777" w:rsidR="004C4E52" w:rsidRPr="0035187E" w:rsidRDefault="004C4E52" w:rsidP="0035187E">
            <w:pPr>
              <w:contextualSpacing/>
              <w:jc w:val="both"/>
              <w:rPr>
                <w:rFonts w:ascii="Times New Roman" w:hAnsi="Times New Roman" w:cs="Times New Roman"/>
                <w:iCs/>
                <w:sz w:val="20"/>
                <w:szCs w:val="20"/>
              </w:rPr>
            </w:pPr>
            <w:r w:rsidRPr="0035187E">
              <w:rPr>
                <w:rFonts w:ascii="Times New Roman" w:hAnsi="Times New Roman" w:cs="Times New Roman"/>
                <w:sz w:val="20"/>
                <w:szCs w:val="20"/>
              </w:rPr>
              <w:t>Návrh zákona o evidenci tržeb</w:t>
            </w:r>
            <w:r w:rsidRPr="0035187E">
              <w:rPr>
                <w:rFonts w:ascii="Times New Roman" w:hAnsi="Times New Roman" w:cs="Times New Roman"/>
                <w:b/>
                <w:bCs/>
                <w:sz w:val="20"/>
                <w:szCs w:val="20"/>
              </w:rPr>
              <w:t xml:space="preserve"> </w:t>
            </w:r>
            <w:r w:rsidRPr="0035187E">
              <w:rPr>
                <w:rFonts w:ascii="Times New Roman" w:hAnsi="Times New Roman" w:cs="Times New Roman"/>
                <w:sz w:val="20"/>
                <w:szCs w:val="20"/>
              </w:rPr>
              <w:t xml:space="preserve">počítá se zrušením stropu volnočasových benefitů zaměstnanců tak, jak se vláda zavázala prostřednictvím svého programového prohlášení. </w:t>
            </w:r>
            <w:r w:rsidRPr="0035187E">
              <w:rPr>
                <w:rFonts w:ascii="Times New Roman" w:hAnsi="Times New Roman" w:cs="Times New Roman"/>
                <w:iCs/>
                <w:sz w:val="20"/>
                <w:szCs w:val="20"/>
              </w:rPr>
              <w:t xml:space="preserve">Celá konstrukce výše cit. ustanovení dává poplatníků rozšířené možnosti využití daňových benefitů. </w:t>
            </w:r>
            <w:proofErr w:type="spellStart"/>
            <w:r w:rsidRPr="0035187E">
              <w:rPr>
                <w:rFonts w:ascii="Times New Roman" w:hAnsi="Times New Roman" w:cs="Times New Roman"/>
                <w:iCs/>
                <w:sz w:val="20"/>
                <w:szCs w:val="20"/>
              </w:rPr>
              <w:t>Zastropování</w:t>
            </w:r>
            <w:proofErr w:type="spellEnd"/>
            <w:r w:rsidRPr="0035187E">
              <w:rPr>
                <w:rFonts w:ascii="Times New Roman" w:hAnsi="Times New Roman" w:cs="Times New Roman"/>
                <w:iCs/>
                <w:sz w:val="20"/>
                <w:szCs w:val="20"/>
              </w:rPr>
              <w:t xml:space="preserve"> daňového osvobození nepeněžního plnění na rekreaci a zájezdy omezuje dopady na veřejné rozpočty a brání nepřímému zvýhodňování ekonomicky zdatnějších zaměstnavatelů. Současně zajišťuje, že daňové zvýhodnění plní svůj sociální účel podpory běžné rekreace a regenerace pracovní síly, nikoli financování nadstandardních forem dovolené. </w:t>
            </w:r>
          </w:p>
          <w:p w14:paraId="069BB2DC" w14:textId="77777777" w:rsidR="000B4BD4" w:rsidRPr="0035187E" w:rsidRDefault="004C4E52" w:rsidP="0035187E">
            <w:pPr>
              <w:jc w:val="both"/>
              <w:rPr>
                <w:rFonts w:ascii="Times New Roman" w:hAnsi="Times New Roman" w:cs="Times New Roman"/>
                <w:iCs/>
                <w:sz w:val="20"/>
                <w:szCs w:val="20"/>
              </w:rPr>
            </w:pPr>
            <w:r w:rsidRPr="0035187E">
              <w:rPr>
                <w:rFonts w:ascii="Times New Roman" w:hAnsi="Times New Roman" w:cs="Times New Roman"/>
                <w:iCs/>
                <w:sz w:val="20"/>
                <w:szCs w:val="20"/>
              </w:rPr>
              <w:t>Návrh vychází z legislativní úpravy účinné do konce roku 2023, podle níž byla hodnota nepeněžního plnění ve formě rekreace a zájezdu na straně zaměstnance osvobozena od daně až do výše 20 000 Kč za zdaňovací období. Navrhovaná úprava proto nepřináší novou administrativní zátěž ani nevyvolává interpretační nejasnosti.</w:t>
            </w:r>
          </w:p>
          <w:p w14:paraId="63E45BFF" w14:textId="77777777" w:rsidR="000D7B67" w:rsidRPr="0035187E" w:rsidRDefault="000D7B67" w:rsidP="0035187E">
            <w:pPr>
              <w:jc w:val="both"/>
              <w:rPr>
                <w:rFonts w:ascii="Times New Roman" w:hAnsi="Times New Roman" w:cs="Times New Roman"/>
                <w:iCs/>
                <w:sz w:val="20"/>
                <w:szCs w:val="20"/>
              </w:rPr>
            </w:pPr>
          </w:p>
          <w:p w14:paraId="7B075AE5" w14:textId="10017C84" w:rsidR="000D7B67" w:rsidRPr="0035187E" w:rsidRDefault="000D7B67" w:rsidP="0035187E">
            <w:pPr>
              <w:jc w:val="both"/>
              <w:rPr>
                <w:rFonts w:ascii="Times New Roman" w:hAnsi="Times New Roman" w:cs="Times New Roman"/>
                <w:iCs/>
                <w:sz w:val="20"/>
                <w:szCs w:val="20"/>
              </w:rPr>
            </w:pPr>
            <w:r w:rsidRPr="0035187E">
              <w:rPr>
                <w:rFonts w:ascii="Times New Roman" w:hAnsi="Times New Roman" w:cs="Times New Roman"/>
                <w:i/>
                <w:sz w:val="20"/>
                <w:szCs w:val="20"/>
              </w:rPr>
              <w:t>Vyjádření připomínkového místa: Bere se na vědomí.</w:t>
            </w:r>
          </w:p>
          <w:p w14:paraId="414A1826" w14:textId="77777777" w:rsidR="000D7B67" w:rsidRPr="0035187E" w:rsidRDefault="000D7B67" w:rsidP="0035187E">
            <w:pPr>
              <w:jc w:val="both"/>
              <w:rPr>
                <w:rFonts w:ascii="Times New Roman" w:hAnsi="Times New Roman" w:cs="Times New Roman"/>
                <w:iCs/>
                <w:sz w:val="20"/>
                <w:szCs w:val="20"/>
              </w:rPr>
            </w:pPr>
          </w:p>
          <w:p w14:paraId="4FBA2B8F" w14:textId="75E1DDA9" w:rsidR="000D7B67" w:rsidRPr="0035187E" w:rsidRDefault="000D7B67" w:rsidP="0035187E">
            <w:pPr>
              <w:jc w:val="both"/>
              <w:rPr>
                <w:rFonts w:ascii="Times New Roman" w:hAnsi="Times New Roman" w:cs="Times New Roman"/>
                <w:sz w:val="20"/>
                <w:szCs w:val="20"/>
              </w:rPr>
            </w:pPr>
          </w:p>
        </w:tc>
      </w:tr>
      <w:tr w:rsidR="0035187E" w:rsidRPr="0035187E" w14:paraId="248B21C6"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A20A7E1" w14:textId="1AA857D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144.</w:t>
            </w:r>
          </w:p>
        </w:tc>
        <w:tc>
          <w:tcPr>
            <w:tcW w:w="583" w:type="pct"/>
            <w:tcBorders>
              <w:top w:val="single" w:sz="4" w:space="0" w:color="auto"/>
              <w:left w:val="single" w:sz="4" w:space="0" w:color="auto"/>
              <w:right w:val="single" w:sz="4" w:space="0" w:color="auto"/>
            </w:tcBorders>
            <w:shd w:val="clear" w:color="auto" w:fill="auto"/>
          </w:tcPr>
          <w:p w14:paraId="71D51384" w14:textId="473DA47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Svaz obchodu a cestovního ruchu České republiky</w:t>
            </w:r>
          </w:p>
        </w:tc>
        <w:tc>
          <w:tcPr>
            <w:tcW w:w="168" w:type="pct"/>
            <w:tcBorders>
              <w:top w:val="single" w:sz="4" w:space="0" w:color="auto"/>
              <w:left w:val="single" w:sz="4" w:space="0" w:color="auto"/>
              <w:right w:val="single" w:sz="4" w:space="0" w:color="auto"/>
            </w:tcBorders>
            <w:shd w:val="clear" w:color="auto" w:fill="auto"/>
          </w:tcPr>
          <w:p w14:paraId="165A9250" w14:textId="3C53DC1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w:t>
            </w:r>
          </w:p>
        </w:tc>
        <w:tc>
          <w:tcPr>
            <w:tcW w:w="169" w:type="pct"/>
            <w:tcBorders>
              <w:top w:val="single" w:sz="4" w:space="0" w:color="auto"/>
              <w:left w:val="single" w:sz="4" w:space="0" w:color="auto"/>
              <w:right w:val="single" w:sz="4" w:space="0" w:color="auto"/>
            </w:tcBorders>
            <w:shd w:val="clear" w:color="auto" w:fill="auto"/>
          </w:tcPr>
          <w:p w14:paraId="2BABB525" w14:textId="782F105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612F6FA" w14:textId="77777777" w:rsidR="000B4BD4" w:rsidRPr="0035187E" w:rsidRDefault="000B4BD4" w:rsidP="0035187E">
            <w:pPr>
              <w:numPr>
                <w:ilvl w:val="0"/>
                <w:numId w:val="19"/>
              </w:numPr>
              <w:ind w:left="0" w:firstLine="0"/>
              <w:contextualSpacing/>
              <w:jc w:val="both"/>
              <w:rPr>
                <w:rFonts w:ascii="Times New Roman" w:hAnsi="Times New Roman" w:cs="Times New Roman"/>
                <w:b/>
                <w:bCs/>
                <w:sz w:val="20"/>
                <w:szCs w:val="20"/>
                <w:lang w:eastAsia="en-US"/>
              </w:rPr>
            </w:pPr>
            <w:r w:rsidRPr="0035187E">
              <w:rPr>
                <w:rFonts w:ascii="Times New Roman" w:hAnsi="Times New Roman" w:cs="Times New Roman"/>
                <w:b/>
                <w:bCs/>
                <w:sz w:val="20"/>
                <w:szCs w:val="20"/>
                <w:lang w:eastAsia="en-US"/>
              </w:rPr>
              <w:t>Návrh na vypuštění podmínky obvyklosti při poskytování volnočasových benefitů</w:t>
            </w:r>
          </w:p>
          <w:p w14:paraId="4E71FD05" w14:textId="77777777" w:rsidR="000B4BD4" w:rsidRPr="0035187E" w:rsidRDefault="000B4BD4" w:rsidP="0035187E">
            <w:pPr>
              <w:jc w:val="both"/>
              <w:rPr>
                <w:rFonts w:ascii="Times New Roman" w:hAnsi="Times New Roman" w:cs="Times New Roman"/>
                <w:b/>
                <w:bCs/>
                <w:sz w:val="20"/>
                <w:szCs w:val="20"/>
                <w:lang w:eastAsia="en-US"/>
              </w:rPr>
            </w:pPr>
          </w:p>
          <w:p w14:paraId="3099A824" w14:textId="16AB8DF7" w:rsidR="000B4BD4" w:rsidRPr="0035187E" w:rsidRDefault="000B4BD4" w:rsidP="0035187E">
            <w:pPr>
              <w:jc w:val="both"/>
              <w:rPr>
                <w:rFonts w:ascii="Times New Roman" w:hAnsi="Times New Roman" w:cs="Times New Roman"/>
                <w:b/>
                <w:bCs/>
                <w:sz w:val="20"/>
                <w:szCs w:val="20"/>
                <w:lang w:eastAsia="en-US"/>
              </w:rPr>
            </w:pPr>
            <w:r w:rsidRPr="0035187E">
              <w:rPr>
                <w:rFonts w:ascii="Times New Roman" w:hAnsi="Times New Roman" w:cs="Times New Roman"/>
                <w:b/>
                <w:bCs/>
                <w:sz w:val="20"/>
                <w:szCs w:val="20"/>
                <w:lang w:eastAsia="en-US"/>
              </w:rPr>
              <w:t>Návrh změny:</w:t>
            </w:r>
          </w:p>
          <w:p w14:paraId="11D44652"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Navrhuje se vypustit z navrhované právní úpravy podmínku, podle níž je osvobození vybraných volnočasových benefitů od daně z příjmů fyzických osob podmíněno tím, že jejich poskytování musí být vzhledem k jejich povaze u daného zaměstnavatele obvyklé.</w:t>
            </w:r>
          </w:p>
          <w:p w14:paraId="753502CA" w14:textId="77777777" w:rsidR="000B4BD4" w:rsidRPr="0035187E" w:rsidRDefault="000B4BD4" w:rsidP="0035187E">
            <w:pPr>
              <w:jc w:val="both"/>
              <w:rPr>
                <w:rFonts w:ascii="Times New Roman" w:hAnsi="Times New Roman" w:cs="Times New Roman"/>
                <w:b/>
                <w:bCs/>
                <w:sz w:val="20"/>
                <w:szCs w:val="20"/>
                <w:lang w:eastAsia="en-US"/>
              </w:rPr>
            </w:pPr>
          </w:p>
          <w:p w14:paraId="179A7815" w14:textId="06047CD1" w:rsidR="000B4BD4" w:rsidRPr="0035187E" w:rsidRDefault="000B4BD4" w:rsidP="0035187E">
            <w:pPr>
              <w:jc w:val="both"/>
              <w:rPr>
                <w:rFonts w:ascii="Times New Roman" w:hAnsi="Times New Roman" w:cs="Times New Roman"/>
                <w:b/>
                <w:bCs/>
                <w:sz w:val="20"/>
                <w:szCs w:val="20"/>
                <w:lang w:eastAsia="en-US"/>
              </w:rPr>
            </w:pPr>
            <w:r w:rsidRPr="0035187E">
              <w:rPr>
                <w:rFonts w:ascii="Times New Roman" w:hAnsi="Times New Roman" w:cs="Times New Roman"/>
                <w:b/>
                <w:bCs/>
                <w:sz w:val="20"/>
                <w:szCs w:val="20"/>
                <w:lang w:eastAsia="en-US"/>
              </w:rPr>
              <w:t>Potřebná legislativní úprava:</w:t>
            </w:r>
          </w:p>
          <w:p w14:paraId="1BFD6B43"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 xml:space="preserve">Není nutná změna současného znění ZDP. V návrhu zákona o evidenci tržeb a o změně některých dalších zákonů je potřeba provést úpravu v navrhované změně §6 odst. 9 písm. d) bod 2. ZDP, a to buď vypuštěním slov „nebo poskytnutí příspěvku na kulturní nebo </w:t>
            </w:r>
            <w:r w:rsidRPr="0035187E">
              <w:rPr>
                <w:rFonts w:ascii="Times New Roman" w:hAnsi="Times New Roman" w:cs="Times New Roman"/>
                <w:sz w:val="20"/>
                <w:szCs w:val="20"/>
                <w:lang w:eastAsia="en-US"/>
              </w:rPr>
              <w:lastRenderedPageBreak/>
              <w:t>sportovní akce“ nebo vypuštěním slov „je jejich poskytování zaměstnavateli obvyklé a“ a jazykovou korekcí zbytku textu.</w:t>
            </w:r>
          </w:p>
          <w:p w14:paraId="098E9925" w14:textId="77777777" w:rsidR="000B4BD4" w:rsidRPr="0035187E" w:rsidRDefault="000B4BD4" w:rsidP="0035187E">
            <w:pPr>
              <w:jc w:val="both"/>
              <w:rPr>
                <w:rFonts w:ascii="Times New Roman" w:hAnsi="Times New Roman" w:cs="Times New Roman"/>
                <w:b/>
                <w:bCs/>
                <w:sz w:val="20"/>
                <w:szCs w:val="20"/>
                <w:lang w:eastAsia="en-US"/>
              </w:rPr>
            </w:pPr>
          </w:p>
          <w:p w14:paraId="6408B491" w14:textId="0DB8E750" w:rsidR="000B4BD4" w:rsidRPr="0035187E" w:rsidRDefault="000B4BD4" w:rsidP="0035187E">
            <w:pPr>
              <w:jc w:val="both"/>
              <w:rPr>
                <w:rFonts w:ascii="Times New Roman" w:hAnsi="Times New Roman" w:cs="Times New Roman"/>
                <w:b/>
                <w:bCs/>
                <w:sz w:val="20"/>
                <w:szCs w:val="20"/>
                <w:lang w:eastAsia="en-US"/>
              </w:rPr>
            </w:pPr>
            <w:r w:rsidRPr="0035187E">
              <w:rPr>
                <w:rFonts w:ascii="Times New Roman" w:hAnsi="Times New Roman" w:cs="Times New Roman"/>
                <w:b/>
                <w:bCs/>
                <w:sz w:val="20"/>
                <w:szCs w:val="20"/>
                <w:lang w:eastAsia="en-US"/>
              </w:rPr>
              <w:t>Odůvodnění:</w:t>
            </w:r>
          </w:p>
          <w:p w14:paraId="3D04069A"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Kritérium obvyklosti je neurčité a postrádá jasně vymezitelný obsah. Pojem „obvyklost“ není zákonem definován a může být vykládán rozdílně podle velikosti zaměstnavatele, jeho předmětu činnosti či regionu, v němž působí. Taková neurčitost vytváří významnou právní nejistotu jak pro zaměstnavatele, tak pro správce daně.</w:t>
            </w:r>
          </w:p>
          <w:p w14:paraId="5E7E194F"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V praxi může docházet k situacím, kdy u některých zaměstnavatelů nebude – s ohledem na jejich obor nebo velikost – považováno za obvyklé poskytovat volnočasové benefity vůbec. V takovém případě by institut osvobození těchto benefitů ztrácel svůj smysl, neboť by neumožňoval takovému zaměstnavateli benefity vůbec zavést nebo rozšířit, resp. by jejich zavedení nebo rozšíření bylo podmíněno splněním kritéria, které není objektivně uchopitelné a může být vykládáno restriktivně.</w:t>
            </w:r>
          </w:p>
          <w:p w14:paraId="269DE3F6"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Podle dosavadní výkladové praxe bývá „obvyklost“ posuzována ve vztahu k místu a času. To však znamená, že určitý benefit může být považován za obvyklý v jednom regionu, zatímco v jiném nikoli. Zaměstnavatelé přitom mohou mít legitimní zájem poskytovat zaměstnancům benefity, které v daném regionu dosud běžné nejsou, například s cílem zvýšit konkurenceschopnost na trhu práce nebo reagovat na specifické potřeby zaměstnanců.</w:t>
            </w:r>
          </w:p>
          <w:p w14:paraId="123F1C4D"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Setrvání uvedené podmínky tak může působit jako překážka v odměňovací praxi, konkurenceschopnosti, při zavádění nových benefitů či při změně struktury stávajících. Současně zvyšuje riziko rozdílného výkladu a sporů při daňových kontrolách napříč Českou republikou. Pokud na jednu stranu podporujeme inovace, start-upy, nová řešení a nové služby a produkty, působí omezení benefitů pouze na neurčité „obvyklé“ jako relikt.</w:t>
            </w:r>
          </w:p>
          <w:p w14:paraId="75511B1D" w14:textId="1AB6916A"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sz w:val="20"/>
                <w:szCs w:val="20"/>
                <w:lang w:eastAsia="en-US"/>
              </w:rPr>
              <w:t>Vypuštění tohoto neurčitého kritéria by přispělo k vyšší právní jistotě, předvídatelnosti právní úpravy a snížení administrativní i interpretační zátěže, aniž by tím byl dotčen základní účel právní úpravy zaměstnaneckých benefitů. Již podle současného návrhu mají mít benefity podle §6 odst. 9 písm. d) ZDP nově celkem čtyři různé daňové režimy oproti dvěma současným. To v rozporu s deklarovanými cíli vlády, zejména s opatřeními na snižování byrokracie, zvyšuje administrativní zátěž pro zaměstnavatele. Obvyklost a přiměřenost je navíc navrhována pouze pro část zaměstnaneckých benefitů, pro příspěvky na kulturní nebo sportovní akce, a to nad rámec programového prohlášení vlády.</w:t>
            </w:r>
          </w:p>
        </w:tc>
        <w:tc>
          <w:tcPr>
            <w:tcW w:w="1453" w:type="pct"/>
            <w:tcBorders>
              <w:top w:val="single" w:sz="4" w:space="0" w:color="auto"/>
              <w:left w:val="single" w:sz="4" w:space="0" w:color="auto"/>
              <w:right w:val="single" w:sz="4" w:space="0" w:color="auto"/>
            </w:tcBorders>
            <w:shd w:val="clear" w:color="auto" w:fill="auto"/>
          </w:tcPr>
          <w:p w14:paraId="1E5D82EB" w14:textId="77777777" w:rsidR="004C4E52" w:rsidRPr="0035187E" w:rsidRDefault="004C4E52" w:rsidP="0035187E">
            <w:pPr>
              <w:jc w:val="both"/>
              <w:rPr>
                <w:rFonts w:ascii="Times New Roman" w:hAnsi="Times New Roman" w:cs="Times New Roman"/>
                <w:sz w:val="20"/>
                <w:szCs w:val="20"/>
              </w:rPr>
            </w:pPr>
            <w:r w:rsidRPr="0035187E">
              <w:rPr>
                <w:rFonts w:ascii="Times New Roman" w:hAnsi="Times New Roman" w:cs="Times New Roman"/>
                <w:b/>
                <w:bCs/>
                <w:sz w:val="20"/>
                <w:szCs w:val="20"/>
              </w:rPr>
              <w:lastRenderedPageBreak/>
              <w:t>Nevyhověno.</w:t>
            </w:r>
          </w:p>
          <w:p w14:paraId="0474388F" w14:textId="77777777" w:rsidR="004C4E52" w:rsidRPr="0035187E" w:rsidRDefault="004C4E52"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Kritérium obvyklosti vychází z dosavadního § 6 odst. 9 písm. g) zákona o daních z příjmů, který upravuje daňové osvobození nepeněžních příjmů plynoucích z účasti zaměstnance nebo jeho rodinného příslušníka na společenské akci pořádané zaměstnavatelem pro omezený okruh účastníků, a to včetně akcí s kulturním či sportovním prvkem. Toto ustanovení bude v návaznosti na zrušení příslušného stropu v § 6 odst. 9 písm. d) bodu 2 zákona o daních z příjmů zrušeno, přičemž dané akce budou nově podřazeny pod toto ustanovení. </w:t>
            </w:r>
          </w:p>
          <w:p w14:paraId="79AA687D" w14:textId="77777777" w:rsidR="004C4E52" w:rsidRPr="0035187E" w:rsidRDefault="004C4E52" w:rsidP="0035187E">
            <w:pPr>
              <w:jc w:val="both"/>
              <w:rPr>
                <w:rFonts w:ascii="Times New Roman" w:hAnsi="Times New Roman" w:cs="Times New Roman"/>
                <w:sz w:val="20"/>
                <w:szCs w:val="20"/>
              </w:rPr>
            </w:pPr>
            <w:r w:rsidRPr="0035187E">
              <w:rPr>
                <w:rFonts w:ascii="Times New Roman" w:hAnsi="Times New Roman" w:cs="Times New Roman"/>
                <w:sz w:val="20"/>
                <w:szCs w:val="20"/>
              </w:rPr>
              <w:lastRenderedPageBreak/>
              <w:t>Výklad jednotlivých kritérií uvedených v dosavadním § 6 odst. 9 písm. g) zákona o daních z příjmů, rozpracovává metodická informace GFŘ k zaměstnaneckým benefitům z roku 2024. Ta mimo jiné uvádí, že obvyklost pořádání akce se posuzuje zejména s ohledem na běžné standardy v podnikatelské praxi, a to ve vazbě na okruh účastníků (např. pouze zaměstnanci, zaměstnanci včetně rodinných příslušníků či obchodní partneři), charakter akce (např. sportovní den pro děti, zaměstnanecké sportovní hry apod.) a její pravidelnost.</w:t>
            </w:r>
          </w:p>
          <w:p w14:paraId="19777980" w14:textId="77777777" w:rsidR="004C4E52" w:rsidRPr="0035187E" w:rsidRDefault="004C4E52"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Navrhuje se toto kritérium výslovně zakotvit nejen pro akce pořádané přímo zaměstnavatelem, ale i pro sportovní a kulturní akce zajišťované zaměstnavatelem prostřednictvím externích subjektů (např. cestovních kanceláří). Takové upřesnění poskytne potřebnou legislativní oporu pro posuzování případů, které mohou spíše nasvědčovat zneužívání daňové podpory než skutečné snaze o podporu a stabilizaci pracovního prostředí. </w:t>
            </w:r>
          </w:p>
          <w:p w14:paraId="1A31D3FA" w14:textId="77777777" w:rsidR="000B4BD4" w:rsidRPr="0035187E" w:rsidRDefault="000B4BD4" w:rsidP="0035187E">
            <w:pPr>
              <w:jc w:val="both"/>
              <w:rPr>
                <w:rFonts w:ascii="Times New Roman" w:hAnsi="Times New Roman" w:cs="Times New Roman"/>
                <w:sz w:val="20"/>
                <w:szCs w:val="20"/>
              </w:rPr>
            </w:pPr>
          </w:p>
          <w:p w14:paraId="1B9293D6" w14:textId="77777777" w:rsidR="000D7B67" w:rsidRPr="0035187E" w:rsidRDefault="000D7B67" w:rsidP="0035187E">
            <w:pPr>
              <w:jc w:val="both"/>
              <w:rPr>
                <w:rFonts w:ascii="Times New Roman" w:hAnsi="Times New Roman" w:cs="Times New Roman"/>
                <w:iCs/>
                <w:sz w:val="20"/>
                <w:szCs w:val="20"/>
              </w:rPr>
            </w:pPr>
            <w:r w:rsidRPr="0035187E">
              <w:rPr>
                <w:rFonts w:ascii="Times New Roman" w:hAnsi="Times New Roman" w:cs="Times New Roman"/>
                <w:i/>
                <w:sz w:val="20"/>
                <w:szCs w:val="20"/>
              </w:rPr>
              <w:t>Vyjádření připomínkového místa: Bere se na vědomí.</w:t>
            </w:r>
          </w:p>
          <w:p w14:paraId="438A1D19" w14:textId="66932179" w:rsidR="000D7B67" w:rsidRPr="0035187E" w:rsidRDefault="000D7B67" w:rsidP="0035187E">
            <w:pPr>
              <w:jc w:val="both"/>
              <w:rPr>
                <w:rFonts w:ascii="Times New Roman" w:hAnsi="Times New Roman" w:cs="Times New Roman"/>
                <w:sz w:val="20"/>
                <w:szCs w:val="20"/>
              </w:rPr>
            </w:pPr>
            <w:r w:rsidRPr="0035187E">
              <w:rPr>
                <w:rFonts w:ascii="Times New Roman" w:hAnsi="Times New Roman" w:cs="Times New Roman"/>
                <w:i/>
                <w:sz w:val="20"/>
                <w:szCs w:val="20"/>
              </w:rPr>
              <w:t>Prosí, aby GFŘ dle vysvětlení aktualizovalo metodiku.</w:t>
            </w:r>
          </w:p>
        </w:tc>
      </w:tr>
      <w:tr w:rsidR="0035187E" w:rsidRPr="0035187E" w14:paraId="74B26FEB"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89B6CAB" w14:textId="22DA9A1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144.</w:t>
            </w:r>
          </w:p>
        </w:tc>
        <w:tc>
          <w:tcPr>
            <w:tcW w:w="583" w:type="pct"/>
            <w:tcBorders>
              <w:top w:val="single" w:sz="4" w:space="0" w:color="auto"/>
              <w:left w:val="single" w:sz="4" w:space="0" w:color="auto"/>
              <w:right w:val="single" w:sz="4" w:space="0" w:color="auto"/>
            </w:tcBorders>
            <w:shd w:val="clear" w:color="auto" w:fill="auto"/>
          </w:tcPr>
          <w:p w14:paraId="4DA49764" w14:textId="3756DED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Svaz obchodu a cestovního ruchu České republiky</w:t>
            </w:r>
          </w:p>
        </w:tc>
        <w:tc>
          <w:tcPr>
            <w:tcW w:w="168" w:type="pct"/>
            <w:tcBorders>
              <w:top w:val="single" w:sz="4" w:space="0" w:color="auto"/>
              <w:left w:val="single" w:sz="4" w:space="0" w:color="auto"/>
              <w:right w:val="single" w:sz="4" w:space="0" w:color="auto"/>
            </w:tcBorders>
            <w:shd w:val="clear" w:color="auto" w:fill="auto"/>
          </w:tcPr>
          <w:p w14:paraId="3E50A4CE" w14:textId="4C5E887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5.</w:t>
            </w:r>
          </w:p>
        </w:tc>
        <w:tc>
          <w:tcPr>
            <w:tcW w:w="169" w:type="pct"/>
            <w:tcBorders>
              <w:top w:val="single" w:sz="4" w:space="0" w:color="auto"/>
              <w:left w:val="single" w:sz="4" w:space="0" w:color="auto"/>
              <w:right w:val="single" w:sz="4" w:space="0" w:color="auto"/>
            </w:tcBorders>
            <w:shd w:val="clear" w:color="auto" w:fill="auto"/>
          </w:tcPr>
          <w:p w14:paraId="36CF45A2" w14:textId="61A5787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772B496" w14:textId="77777777" w:rsidR="000B4BD4" w:rsidRPr="0035187E" w:rsidRDefault="000B4BD4" w:rsidP="0035187E">
            <w:pPr>
              <w:numPr>
                <w:ilvl w:val="0"/>
                <w:numId w:val="19"/>
              </w:numPr>
              <w:ind w:left="0" w:firstLine="0"/>
              <w:contextualSpacing/>
              <w:jc w:val="both"/>
              <w:rPr>
                <w:rFonts w:ascii="Times New Roman" w:hAnsi="Times New Roman" w:cs="Times New Roman"/>
                <w:b/>
                <w:bCs/>
                <w:sz w:val="20"/>
                <w:szCs w:val="20"/>
                <w:lang w:eastAsia="en-US"/>
              </w:rPr>
            </w:pPr>
            <w:r w:rsidRPr="0035187E">
              <w:rPr>
                <w:rFonts w:ascii="Times New Roman" w:hAnsi="Times New Roman" w:cs="Times New Roman"/>
                <w:b/>
                <w:bCs/>
                <w:sz w:val="20"/>
                <w:szCs w:val="20"/>
                <w:lang w:eastAsia="en-US"/>
              </w:rPr>
              <w:t>Návrh na zrušení limitu pro osvobození zdravotních benefitů</w:t>
            </w:r>
          </w:p>
          <w:p w14:paraId="5C98AEC4" w14:textId="77777777" w:rsidR="000B4BD4" w:rsidRPr="0035187E" w:rsidRDefault="000B4BD4" w:rsidP="0035187E">
            <w:pPr>
              <w:jc w:val="both"/>
              <w:rPr>
                <w:rFonts w:ascii="Times New Roman" w:hAnsi="Times New Roman" w:cs="Times New Roman"/>
                <w:b/>
                <w:bCs/>
                <w:sz w:val="20"/>
                <w:szCs w:val="20"/>
                <w:lang w:eastAsia="en-US"/>
              </w:rPr>
            </w:pPr>
          </w:p>
          <w:p w14:paraId="2686A214" w14:textId="62E7403F" w:rsidR="000B4BD4" w:rsidRPr="0035187E" w:rsidRDefault="000B4BD4" w:rsidP="0035187E">
            <w:pPr>
              <w:jc w:val="both"/>
              <w:rPr>
                <w:rFonts w:ascii="Times New Roman" w:hAnsi="Times New Roman" w:cs="Times New Roman"/>
                <w:b/>
                <w:bCs/>
                <w:sz w:val="20"/>
                <w:szCs w:val="20"/>
                <w:lang w:eastAsia="en-US"/>
              </w:rPr>
            </w:pPr>
            <w:r w:rsidRPr="0035187E">
              <w:rPr>
                <w:rFonts w:ascii="Times New Roman" w:hAnsi="Times New Roman" w:cs="Times New Roman"/>
                <w:b/>
                <w:bCs/>
                <w:sz w:val="20"/>
                <w:szCs w:val="20"/>
                <w:lang w:eastAsia="en-US"/>
              </w:rPr>
              <w:t>Návrh změny:</w:t>
            </w:r>
          </w:p>
          <w:p w14:paraId="1604ACF7"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Navrhujeme, aby byl zrušen zákonný limit pro osvobození zdravotních benefitů od daně z příjmů fyzických osob a odvodů sociálního a zdravotního pojištění.</w:t>
            </w:r>
          </w:p>
          <w:p w14:paraId="7D17C052" w14:textId="77777777" w:rsidR="000B4BD4" w:rsidRPr="0035187E" w:rsidRDefault="000B4BD4" w:rsidP="0035187E">
            <w:pPr>
              <w:jc w:val="both"/>
              <w:rPr>
                <w:rFonts w:ascii="Times New Roman" w:hAnsi="Times New Roman" w:cs="Times New Roman"/>
                <w:b/>
                <w:bCs/>
                <w:sz w:val="20"/>
                <w:szCs w:val="20"/>
                <w:lang w:eastAsia="en-US"/>
              </w:rPr>
            </w:pPr>
          </w:p>
          <w:p w14:paraId="4C6C2F16" w14:textId="68757509" w:rsidR="000B4BD4" w:rsidRPr="0035187E" w:rsidRDefault="000B4BD4" w:rsidP="0035187E">
            <w:pPr>
              <w:jc w:val="both"/>
              <w:rPr>
                <w:rFonts w:ascii="Times New Roman" w:hAnsi="Times New Roman" w:cs="Times New Roman"/>
                <w:b/>
                <w:bCs/>
                <w:sz w:val="20"/>
                <w:szCs w:val="20"/>
                <w:lang w:eastAsia="en-US"/>
              </w:rPr>
            </w:pPr>
            <w:r w:rsidRPr="0035187E">
              <w:rPr>
                <w:rFonts w:ascii="Times New Roman" w:hAnsi="Times New Roman" w:cs="Times New Roman"/>
                <w:b/>
                <w:bCs/>
                <w:sz w:val="20"/>
                <w:szCs w:val="20"/>
                <w:lang w:eastAsia="en-US"/>
              </w:rPr>
              <w:t>Potřebná legislativní úprava:</w:t>
            </w:r>
          </w:p>
          <w:p w14:paraId="6D573109"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Změnu lze provést jednoduchým odstraněním části věty za středníkem v ustanovení §6 odst. 9 písm. d) bodě 1. současného znění ZDP.</w:t>
            </w:r>
          </w:p>
          <w:p w14:paraId="31230F1D" w14:textId="77777777" w:rsidR="000B4BD4" w:rsidRPr="0035187E" w:rsidRDefault="000B4BD4" w:rsidP="0035187E">
            <w:pPr>
              <w:jc w:val="both"/>
              <w:rPr>
                <w:rFonts w:ascii="Times New Roman" w:hAnsi="Times New Roman" w:cs="Times New Roman"/>
                <w:b/>
                <w:bCs/>
                <w:sz w:val="20"/>
                <w:szCs w:val="20"/>
                <w:lang w:eastAsia="en-US"/>
              </w:rPr>
            </w:pPr>
          </w:p>
          <w:p w14:paraId="45012280" w14:textId="1339F2C4" w:rsidR="000B4BD4" w:rsidRPr="0035187E" w:rsidRDefault="000B4BD4" w:rsidP="0035187E">
            <w:pPr>
              <w:jc w:val="both"/>
              <w:rPr>
                <w:rFonts w:ascii="Times New Roman" w:hAnsi="Times New Roman" w:cs="Times New Roman"/>
                <w:b/>
                <w:bCs/>
                <w:sz w:val="20"/>
                <w:szCs w:val="20"/>
                <w:lang w:eastAsia="en-US"/>
              </w:rPr>
            </w:pPr>
            <w:r w:rsidRPr="0035187E">
              <w:rPr>
                <w:rFonts w:ascii="Times New Roman" w:hAnsi="Times New Roman" w:cs="Times New Roman"/>
                <w:b/>
                <w:bCs/>
                <w:sz w:val="20"/>
                <w:szCs w:val="20"/>
                <w:lang w:eastAsia="en-US"/>
              </w:rPr>
              <w:t>Odůvodnění:</w:t>
            </w:r>
          </w:p>
          <w:p w14:paraId="579568A2"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lastRenderedPageBreak/>
              <w:t xml:space="preserve">Deklarovaným cílem vlády je návrat právního stavu do podoby před přijetím konsolidačního balíčku. Před touto změnou byly zdravotní a volnočasové benefity upraveny společně a nepodléhaly (s výjimkou zájezdů a rekreace) žádným limitům osvobození od daně, ani odvodům pojistného. Má-li být tento stav skutečně obnoven, nelze </w:t>
            </w:r>
            <w:proofErr w:type="spellStart"/>
            <w:r w:rsidRPr="0035187E">
              <w:rPr>
                <w:rFonts w:ascii="Times New Roman" w:hAnsi="Times New Roman" w:cs="Times New Roman"/>
                <w:sz w:val="20"/>
                <w:szCs w:val="20"/>
                <w:lang w:eastAsia="en-US"/>
              </w:rPr>
              <w:t>bezlimitní</w:t>
            </w:r>
            <w:proofErr w:type="spellEnd"/>
            <w:r w:rsidRPr="0035187E">
              <w:rPr>
                <w:rFonts w:ascii="Times New Roman" w:hAnsi="Times New Roman" w:cs="Times New Roman"/>
                <w:sz w:val="20"/>
                <w:szCs w:val="20"/>
                <w:lang w:eastAsia="en-US"/>
              </w:rPr>
              <w:t xml:space="preserve"> režim vztáhnout pouze na volnočasové benefity a současně zachovat limit pro osvobození u benefitů zdravotních.</w:t>
            </w:r>
          </w:p>
          <w:p w14:paraId="19DBEA6B"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Navrhovaná úprava rovněž nereflektuje význam zdravotních benefitů. Není systematicky věcně odůvodnitelné, aby volnočasové benefity podléhaly mírnějšímu režimu než benefity zdravotní, ačkoliv právě zdravotní benefity přímo podporují prevenci, zdravotní péči a udržení pracovní schopnosti zaměstnanců, a vykazují tak významný společenský i ekonomický přínos nehledě na to, že šetří výdaje systému veřejného zdravotního pojištění.</w:t>
            </w:r>
          </w:p>
          <w:p w14:paraId="48AF26AD" w14:textId="2AAA7163"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Navrhovaná změna proto směřuje k systematickému, administrativně jednoduššímu a hodnotově konzistentnímu řešení, které je v souladu s programovým prohlášením vlády a jejím deklarovaným záměrem neomezovat rozsah zaměstnaneckých benefitů prostřednictvím hodnotových limitů, a současně odpovídá praktickým potřebám zaměstnavatelů i zaměstnanců.</w:t>
            </w:r>
          </w:p>
        </w:tc>
        <w:tc>
          <w:tcPr>
            <w:tcW w:w="1453" w:type="pct"/>
            <w:tcBorders>
              <w:top w:val="single" w:sz="4" w:space="0" w:color="auto"/>
              <w:left w:val="single" w:sz="4" w:space="0" w:color="auto"/>
              <w:right w:val="single" w:sz="4" w:space="0" w:color="auto"/>
            </w:tcBorders>
            <w:shd w:val="clear" w:color="auto" w:fill="auto"/>
          </w:tcPr>
          <w:p w14:paraId="0E9E4659" w14:textId="77777777" w:rsidR="004C4E52" w:rsidRPr="0035187E" w:rsidRDefault="004C4E52"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Nevyhověno.</w:t>
            </w:r>
          </w:p>
          <w:p w14:paraId="68FD7376" w14:textId="77777777" w:rsidR="004C4E52" w:rsidRPr="0035187E" w:rsidRDefault="004C4E52" w:rsidP="0035187E">
            <w:pPr>
              <w:jc w:val="both"/>
              <w:rPr>
                <w:rFonts w:ascii="Times New Roman" w:hAnsi="Times New Roman" w:cs="Times New Roman"/>
                <w:sz w:val="20"/>
                <w:szCs w:val="20"/>
              </w:rPr>
            </w:pPr>
            <w:r w:rsidRPr="0035187E">
              <w:rPr>
                <w:rFonts w:ascii="Times New Roman" w:hAnsi="Times New Roman" w:cs="Times New Roman"/>
                <w:sz w:val="20"/>
                <w:szCs w:val="20"/>
              </w:rPr>
              <w:t>Podnět přesahuje rámec navrhované úpravy zákona o evidenci tržeb.</w:t>
            </w:r>
          </w:p>
          <w:p w14:paraId="5E43595F" w14:textId="77777777" w:rsidR="004C4E52" w:rsidRPr="0035187E" w:rsidRDefault="004C4E52" w:rsidP="0035187E">
            <w:pPr>
              <w:jc w:val="both"/>
              <w:rPr>
                <w:rFonts w:ascii="Times New Roman" w:hAnsi="Times New Roman" w:cs="Times New Roman"/>
                <w:sz w:val="20"/>
                <w:szCs w:val="20"/>
              </w:rPr>
            </w:pPr>
            <w:r w:rsidRPr="0035187E">
              <w:rPr>
                <w:rFonts w:ascii="Times New Roman" w:hAnsi="Times New Roman" w:cs="Times New Roman"/>
                <w:sz w:val="20"/>
                <w:szCs w:val="20"/>
              </w:rPr>
              <w:t>Zachování limitu pro zdravotní benefity považujeme za opodstatněné. Zatímco volnočasové benefity mají převážně společenský či relaxační charakter a jejich hodnotové limity neovlivňují prevenci ani udržení pracovní schopnosti, zdravotní benefity přímo podporují zdraví zaměstnanců, prevenci nemocí a přispívají k dlouhodobé pracovní výkonnosti.</w:t>
            </w:r>
          </w:p>
          <w:p w14:paraId="58C873BE" w14:textId="77777777" w:rsidR="004C4E52" w:rsidRPr="0035187E" w:rsidRDefault="004C4E52" w:rsidP="0035187E">
            <w:pPr>
              <w:jc w:val="both"/>
              <w:rPr>
                <w:rFonts w:ascii="Times New Roman" w:hAnsi="Times New Roman" w:cs="Times New Roman"/>
                <w:sz w:val="20"/>
                <w:szCs w:val="20"/>
              </w:rPr>
            </w:pPr>
            <w:r w:rsidRPr="0035187E">
              <w:rPr>
                <w:rFonts w:ascii="Times New Roman" w:hAnsi="Times New Roman" w:cs="Times New Roman"/>
                <w:sz w:val="20"/>
                <w:szCs w:val="20"/>
              </w:rPr>
              <w:lastRenderedPageBreak/>
              <w:t>Zrušení limitu u zdravotních benefitů by mohlo vést k jejich zneužívání pro daňovou optimalizaci, kdy výhody přesahující skutečné potřeby zdraví zaměstnanců by byly osvobozeny od daně, aniž by přinášely reálný zdravotní prospěch. Zachování limitu proto umožňuje cílené a efektivní využití zdravotních benefitů, které přináší skutečný pozitivní dopad jak pro zaměstnance, tak pro veřejný zdravotní systém.</w:t>
            </w:r>
          </w:p>
          <w:p w14:paraId="1D0D1EE3" w14:textId="77777777" w:rsidR="004C4E52" w:rsidRPr="0035187E" w:rsidRDefault="004C4E52"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Odlišné zacházení s volnočasovými a zdravotními benefity tedy odpovídá jejich odlišné společenské a ekonomické hodnotě. </w:t>
            </w:r>
          </w:p>
          <w:p w14:paraId="4C7AC03E" w14:textId="77777777" w:rsidR="000B4BD4" w:rsidRPr="0035187E" w:rsidRDefault="000B4BD4" w:rsidP="0035187E">
            <w:pPr>
              <w:jc w:val="both"/>
              <w:rPr>
                <w:rFonts w:ascii="Times New Roman" w:hAnsi="Times New Roman" w:cs="Times New Roman"/>
                <w:sz w:val="20"/>
                <w:szCs w:val="20"/>
              </w:rPr>
            </w:pPr>
          </w:p>
          <w:p w14:paraId="026B97FD" w14:textId="7F00676F" w:rsidR="000D7B67" w:rsidRPr="0035187E" w:rsidRDefault="000D7B67"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Vyjádření připomínkového místa:</w:t>
            </w:r>
            <w:r w:rsidRPr="0035187E">
              <w:rPr>
                <w:rFonts w:ascii="Segoe UI" w:hAnsi="Segoe UI" w:cs="Segoe UI"/>
                <w:i/>
                <w:iCs/>
                <w:sz w:val="18"/>
                <w:szCs w:val="18"/>
              </w:rPr>
              <w:t xml:space="preserve"> </w:t>
            </w:r>
            <w:r w:rsidRPr="0035187E">
              <w:rPr>
                <w:rFonts w:ascii="Times New Roman" w:hAnsi="Times New Roman" w:cs="Times New Roman"/>
                <w:i/>
                <w:iCs/>
                <w:sz w:val="20"/>
                <w:szCs w:val="20"/>
              </w:rPr>
              <w:t xml:space="preserve">Na připomínce trvá a odmítá zdůvodnění. Z pohledu společenského přínosu stojí zdravotní benefity výrazně výše než benefity volnočasové, proto mají být zdravotní limity bez limitu. V souladu s tím předseda vlády ČR na jednání Rady hospodářské a sociální dohody ČR jednoznačně přislíbil, že </w:t>
            </w:r>
            <w:proofErr w:type="spellStart"/>
            <w:r w:rsidRPr="0035187E">
              <w:rPr>
                <w:rFonts w:ascii="Times New Roman" w:hAnsi="Times New Roman" w:cs="Times New Roman"/>
                <w:i/>
                <w:iCs/>
                <w:sz w:val="20"/>
                <w:szCs w:val="20"/>
              </w:rPr>
              <w:t>zastropování</w:t>
            </w:r>
            <w:proofErr w:type="spellEnd"/>
            <w:r w:rsidRPr="0035187E">
              <w:rPr>
                <w:rFonts w:ascii="Times New Roman" w:hAnsi="Times New Roman" w:cs="Times New Roman"/>
                <w:i/>
                <w:iCs/>
                <w:sz w:val="20"/>
                <w:szCs w:val="20"/>
              </w:rPr>
              <w:t xml:space="preserve"> bude odstraněno i u zdravotních benefitů. Zásadně také odmítá ničím nepodložené spekulace o možném zneužívání zdravotních benefitů.</w:t>
            </w:r>
          </w:p>
        </w:tc>
      </w:tr>
      <w:tr w:rsidR="0035187E" w:rsidRPr="0035187E" w14:paraId="201F2DA5"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C7C6E40" w14:textId="1AAFC09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144.</w:t>
            </w:r>
          </w:p>
        </w:tc>
        <w:tc>
          <w:tcPr>
            <w:tcW w:w="583" w:type="pct"/>
            <w:tcBorders>
              <w:top w:val="single" w:sz="4" w:space="0" w:color="auto"/>
              <w:left w:val="single" w:sz="4" w:space="0" w:color="auto"/>
              <w:right w:val="single" w:sz="4" w:space="0" w:color="auto"/>
            </w:tcBorders>
            <w:shd w:val="clear" w:color="auto" w:fill="auto"/>
          </w:tcPr>
          <w:p w14:paraId="4C9E82F6" w14:textId="637B21B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Svaz obchodu a cestovního ruchu České republiky</w:t>
            </w:r>
          </w:p>
        </w:tc>
        <w:tc>
          <w:tcPr>
            <w:tcW w:w="168" w:type="pct"/>
            <w:tcBorders>
              <w:top w:val="single" w:sz="4" w:space="0" w:color="auto"/>
              <w:left w:val="single" w:sz="4" w:space="0" w:color="auto"/>
              <w:right w:val="single" w:sz="4" w:space="0" w:color="auto"/>
            </w:tcBorders>
            <w:shd w:val="clear" w:color="auto" w:fill="auto"/>
          </w:tcPr>
          <w:p w14:paraId="7812FEFD" w14:textId="4469497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6.</w:t>
            </w:r>
          </w:p>
        </w:tc>
        <w:tc>
          <w:tcPr>
            <w:tcW w:w="169" w:type="pct"/>
            <w:tcBorders>
              <w:top w:val="single" w:sz="4" w:space="0" w:color="auto"/>
              <w:left w:val="single" w:sz="4" w:space="0" w:color="auto"/>
              <w:right w:val="single" w:sz="4" w:space="0" w:color="auto"/>
            </w:tcBorders>
            <w:shd w:val="clear" w:color="auto" w:fill="auto"/>
          </w:tcPr>
          <w:p w14:paraId="0BCD3822" w14:textId="163481B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E7BD870" w14:textId="77777777" w:rsidR="000B4BD4" w:rsidRPr="0035187E" w:rsidRDefault="000B4BD4" w:rsidP="0035187E">
            <w:pPr>
              <w:numPr>
                <w:ilvl w:val="0"/>
                <w:numId w:val="19"/>
              </w:numPr>
              <w:ind w:left="0" w:firstLine="0"/>
              <w:contextualSpacing/>
              <w:jc w:val="both"/>
              <w:rPr>
                <w:rFonts w:ascii="Times New Roman" w:hAnsi="Times New Roman" w:cs="Times New Roman"/>
                <w:b/>
                <w:bCs/>
                <w:sz w:val="20"/>
                <w:szCs w:val="20"/>
                <w:lang w:eastAsia="en-US"/>
              </w:rPr>
            </w:pPr>
            <w:r w:rsidRPr="0035187E">
              <w:rPr>
                <w:rFonts w:ascii="Times New Roman" w:hAnsi="Times New Roman" w:cs="Times New Roman"/>
                <w:b/>
                <w:bCs/>
                <w:sz w:val="20"/>
                <w:szCs w:val="20"/>
                <w:lang w:eastAsia="en-US"/>
              </w:rPr>
              <w:t>Návrh na zavedení možnosti limitovaného převodu mzdy nebo platu do zdravotních benefitů</w:t>
            </w:r>
          </w:p>
          <w:p w14:paraId="27FCE2B3" w14:textId="77777777" w:rsidR="000B4BD4" w:rsidRPr="0035187E" w:rsidRDefault="000B4BD4" w:rsidP="0035187E">
            <w:pPr>
              <w:jc w:val="both"/>
              <w:rPr>
                <w:rFonts w:ascii="Times New Roman" w:hAnsi="Times New Roman" w:cs="Times New Roman"/>
                <w:b/>
                <w:bCs/>
                <w:sz w:val="20"/>
                <w:szCs w:val="20"/>
                <w:lang w:eastAsia="en-US"/>
              </w:rPr>
            </w:pPr>
          </w:p>
          <w:p w14:paraId="402AEA20" w14:textId="3F0B1A4D" w:rsidR="000B4BD4" w:rsidRPr="0035187E" w:rsidRDefault="000B4BD4" w:rsidP="0035187E">
            <w:pPr>
              <w:jc w:val="both"/>
              <w:rPr>
                <w:rFonts w:ascii="Times New Roman" w:hAnsi="Times New Roman" w:cs="Times New Roman"/>
                <w:b/>
                <w:bCs/>
                <w:sz w:val="20"/>
                <w:szCs w:val="20"/>
                <w:lang w:eastAsia="en-US"/>
              </w:rPr>
            </w:pPr>
            <w:r w:rsidRPr="0035187E">
              <w:rPr>
                <w:rFonts w:ascii="Times New Roman" w:hAnsi="Times New Roman" w:cs="Times New Roman"/>
                <w:b/>
                <w:bCs/>
                <w:sz w:val="20"/>
                <w:szCs w:val="20"/>
                <w:lang w:eastAsia="en-US"/>
              </w:rPr>
              <w:t>Návrh změny:</w:t>
            </w:r>
          </w:p>
          <w:p w14:paraId="49649242"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Navrhuje se, aby zdravotní benefity byly poskytovány jako osvobozený zaměstnanecký benefit bez hodnotového limitu, a současně bylo do limitu umožněno převádět mzdu nebo plat do zdravotních benefitů, které by byly osvobozena od daně z příjmů fyzických osob (například do výše průměrné mzdy).</w:t>
            </w:r>
          </w:p>
          <w:p w14:paraId="12B22262" w14:textId="77777777" w:rsidR="000B4BD4" w:rsidRPr="0035187E" w:rsidRDefault="000B4BD4" w:rsidP="0035187E">
            <w:pPr>
              <w:jc w:val="both"/>
              <w:rPr>
                <w:rFonts w:ascii="Times New Roman" w:hAnsi="Times New Roman" w:cs="Times New Roman"/>
                <w:b/>
                <w:bCs/>
                <w:sz w:val="20"/>
                <w:szCs w:val="20"/>
                <w:lang w:eastAsia="en-US"/>
              </w:rPr>
            </w:pPr>
          </w:p>
          <w:p w14:paraId="324BD681" w14:textId="2B91C7FE" w:rsidR="000B4BD4" w:rsidRPr="0035187E" w:rsidRDefault="000B4BD4" w:rsidP="0035187E">
            <w:pPr>
              <w:jc w:val="both"/>
              <w:rPr>
                <w:rFonts w:ascii="Times New Roman" w:hAnsi="Times New Roman" w:cs="Times New Roman"/>
                <w:b/>
                <w:bCs/>
                <w:sz w:val="20"/>
                <w:szCs w:val="20"/>
                <w:lang w:eastAsia="en-US"/>
              </w:rPr>
            </w:pPr>
            <w:r w:rsidRPr="0035187E">
              <w:rPr>
                <w:rFonts w:ascii="Times New Roman" w:hAnsi="Times New Roman" w:cs="Times New Roman"/>
                <w:b/>
                <w:bCs/>
                <w:sz w:val="20"/>
                <w:szCs w:val="20"/>
                <w:lang w:eastAsia="en-US"/>
              </w:rPr>
              <w:t>Potřebná legislativní úprava:</w:t>
            </w:r>
          </w:p>
          <w:p w14:paraId="2270D540"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 xml:space="preserve">Tato změna vyžaduje </w:t>
            </w:r>
            <w:proofErr w:type="spellStart"/>
            <w:r w:rsidRPr="0035187E">
              <w:rPr>
                <w:rFonts w:ascii="Times New Roman" w:hAnsi="Times New Roman" w:cs="Times New Roman"/>
                <w:sz w:val="20"/>
                <w:szCs w:val="20"/>
                <w:lang w:eastAsia="en-US"/>
              </w:rPr>
              <w:t>přeformulaci</w:t>
            </w:r>
            <w:proofErr w:type="spellEnd"/>
            <w:r w:rsidRPr="0035187E">
              <w:rPr>
                <w:rFonts w:ascii="Times New Roman" w:hAnsi="Times New Roman" w:cs="Times New Roman"/>
                <w:sz w:val="20"/>
                <w:szCs w:val="20"/>
                <w:lang w:eastAsia="en-US"/>
              </w:rPr>
              <w:t xml:space="preserve"> současného ustanovení §6 odst. 9 písm. d) bod 1. ZDP jakož i </w:t>
            </w:r>
            <w:proofErr w:type="spellStart"/>
            <w:r w:rsidRPr="0035187E">
              <w:rPr>
                <w:rFonts w:ascii="Times New Roman" w:hAnsi="Times New Roman" w:cs="Times New Roman"/>
                <w:sz w:val="20"/>
                <w:szCs w:val="20"/>
                <w:lang w:eastAsia="en-US"/>
              </w:rPr>
              <w:t>návětí</w:t>
            </w:r>
            <w:proofErr w:type="spellEnd"/>
            <w:r w:rsidRPr="0035187E">
              <w:rPr>
                <w:rFonts w:ascii="Times New Roman" w:hAnsi="Times New Roman" w:cs="Times New Roman"/>
                <w:sz w:val="20"/>
                <w:szCs w:val="20"/>
                <w:lang w:eastAsia="en-US"/>
              </w:rPr>
              <w:t xml:space="preserve"> §6 odst. 9 písm. d) ZDP. </w:t>
            </w:r>
          </w:p>
          <w:p w14:paraId="15D640FB" w14:textId="77777777" w:rsidR="000B4BD4" w:rsidRPr="0035187E" w:rsidRDefault="000B4BD4" w:rsidP="0035187E">
            <w:pPr>
              <w:jc w:val="both"/>
              <w:rPr>
                <w:rFonts w:ascii="Times New Roman" w:hAnsi="Times New Roman" w:cs="Times New Roman"/>
                <w:b/>
                <w:bCs/>
                <w:sz w:val="20"/>
                <w:szCs w:val="20"/>
                <w:lang w:eastAsia="en-US"/>
              </w:rPr>
            </w:pPr>
          </w:p>
          <w:p w14:paraId="5DB1CF8A" w14:textId="56DDCB8A" w:rsidR="000B4BD4" w:rsidRPr="0035187E" w:rsidRDefault="000B4BD4" w:rsidP="0035187E">
            <w:pPr>
              <w:jc w:val="both"/>
              <w:rPr>
                <w:rFonts w:ascii="Times New Roman" w:hAnsi="Times New Roman" w:cs="Times New Roman"/>
                <w:b/>
                <w:bCs/>
                <w:sz w:val="20"/>
                <w:szCs w:val="20"/>
                <w:lang w:eastAsia="en-US"/>
              </w:rPr>
            </w:pPr>
            <w:r w:rsidRPr="0035187E">
              <w:rPr>
                <w:rFonts w:ascii="Times New Roman" w:hAnsi="Times New Roman" w:cs="Times New Roman"/>
                <w:b/>
                <w:bCs/>
                <w:sz w:val="20"/>
                <w:szCs w:val="20"/>
                <w:lang w:eastAsia="en-US"/>
              </w:rPr>
              <w:t>Odůvodnění:</w:t>
            </w:r>
          </w:p>
          <w:p w14:paraId="0973D26E"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 xml:space="preserve">Navrhuje se, aby zdravotní limity byly obecně zrovnoprávněny s navrhovaným osvobozením volnočasových benefitů a zároveň podpořeny možností jejich financování z mezd, jak tomu bylo před rokem 2026, nyní však pouze v omezené míře, například do výše jedné průměrné mzdy pro daňové účely ročně. Podstata návrhu spočívá v tom, že zaměstnanec by se mohl dobrovolně vzdát části své peněžní mzdy, platu nebo bonusu ve prospěch nepeněžního zdravotního benefitu, který by byl za splnění zákonných podmínek osvobozen </w:t>
            </w:r>
            <w:r w:rsidRPr="0035187E">
              <w:rPr>
                <w:rFonts w:ascii="Times New Roman" w:hAnsi="Times New Roman" w:cs="Times New Roman"/>
                <w:sz w:val="20"/>
                <w:szCs w:val="20"/>
                <w:lang w:eastAsia="en-US"/>
              </w:rPr>
              <w:lastRenderedPageBreak/>
              <w:t>od daně z příjmů. Limit by současně sloužil jako pojistka proti možnému zneužívání tohoto institutu k větší substituci zvyšování mzdy.</w:t>
            </w:r>
          </w:p>
          <w:p w14:paraId="3B5C6BA7"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Navrhovaná úprava reaguje na skutečnost, že ochrana a podpora zdraví zaměstnanců představuje významný veřejný i ekonomický zájem. Zdravý zaměstnanec je dlouhodobě produktivnější, méně absentuje a méně zatěžuje systém veřejného zdravotního pojištění. Umožnění dobrovolné spoluúčasti zaměstnance na financování vlastního zdraví prostřednictvím daňově zvýhodněného režimu může pozitivně ovlivnit jeho chování a motivovat jej k investicím do prevence a péče o svůj zdravotní stav.</w:t>
            </w:r>
          </w:p>
          <w:p w14:paraId="639AA727"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Současně se jedná o formu sdílené odpovědnosti – zaměstnanec se vědomě vzdává části své mzdy ve prospěch zdravotního plnění. Nejde tedy o jednostranné zvýhodnění, ale o dobrovolné rozhodnutí zaměstnance podpořit vlastní zdravotní prevenci.</w:t>
            </w:r>
          </w:p>
          <w:p w14:paraId="3F0B79EE"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Aby zaměstnanci mohli v maximálně efektivní míře zdravotní benefity využívat, je potřeba dát jim a zaměstnavatelům do rukou větší svobodu rozhodování. Zatímco některé výdaje v oblasti prevence mohou být konstantní a vyplatí se do nich investovat pravidelně, jiné se naplánovat často nedají (typicky nákladné zubní zákroky, částečně nebo plně nehrazené zdravotní prostředky a materiály, preventivní očkování apod.). Proto by měli mít zaměstnanci možnost domluvit se svými zaměstnavateli na tom, že v případě zájmu může být část jejich finanční odměny, mzdy nebo platu nahrazena právě daňově zvýhodněným zdravotním benefitem. To jim umožní potřebné prostředky snáze získat a zároveň často řešit zdravotní problémy dříve, než když je to již jak pro ně, tak především pro veřejné finance dražší.</w:t>
            </w:r>
          </w:p>
          <w:p w14:paraId="3651757B"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Dopad na veřejné rozpočty by byl vzhledem ke stanovenému limitu omezený. Přeměna části mzdy na osvobozený benefit by sice znamenala nižší inkaso daně z příjmů a pojistného, na druhé straně by představovala daňově neuznatelný náklad na straně zaměstnavatele, což by tento výpadek částečně kompenzovalo. Především však lze předpokládat, že dlouhodobý efekt v podobě nižší nemocnosti a nižšího čerpání zdravotní péče může vést ke snížení výdajů systému veřejného zdravotního pojištění.</w:t>
            </w:r>
          </w:p>
          <w:p w14:paraId="5AEF2C85" w14:textId="375BDCEB" w:rsidR="000B4BD4" w:rsidRPr="0035187E" w:rsidRDefault="000B4BD4" w:rsidP="0035187E">
            <w:pPr>
              <w:jc w:val="both"/>
              <w:rPr>
                <w:rFonts w:ascii="Times New Roman" w:hAnsi="Times New Roman" w:cs="Times New Roman"/>
                <w:b/>
                <w:bCs/>
                <w:sz w:val="20"/>
                <w:szCs w:val="20"/>
                <w:lang w:eastAsia="en-US"/>
              </w:rPr>
            </w:pPr>
            <w:r w:rsidRPr="0035187E">
              <w:rPr>
                <w:rFonts w:ascii="Times New Roman" w:hAnsi="Times New Roman" w:cs="Times New Roman"/>
                <w:sz w:val="20"/>
                <w:szCs w:val="20"/>
                <w:lang w:eastAsia="en-US"/>
              </w:rPr>
              <w:t>Navrhované řešení tak vytváří vyvážený model, který podporuje prevenci a individuální odpovědnost za zdraví, umožňuje flexibilitu v odměňování zaměstnanců a současně díky stanovenému limitu minimalizuje riziko fiskálních dopadů a systémového zneužívání.</w:t>
            </w:r>
          </w:p>
        </w:tc>
        <w:tc>
          <w:tcPr>
            <w:tcW w:w="1453" w:type="pct"/>
            <w:tcBorders>
              <w:top w:val="single" w:sz="4" w:space="0" w:color="auto"/>
              <w:left w:val="single" w:sz="4" w:space="0" w:color="auto"/>
              <w:right w:val="single" w:sz="4" w:space="0" w:color="auto"/>
            </w:tcBorders>
            <w:shd w:val="clear" w:color="auto" w:fill="auto"/>
          </w:tcPr>
          <w:p w14:paraId="186AEFE6" w14:textId="77777777" w:rsidR="004C4E52" w:rsidRPr="0035187E" w:rsidRDefault="004C4E52"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Nevyhověno.</w:t>
            </w:r>
          </w:p>
          <w:p w14:paraId="59821901" w14:textId="77777777" w:rsidR="004C4E52" w:rsidRPr="0035187E" w:rsidRDefault="004C4E52" w:rsidP="0035187E">
            <w:pPr>
              <w:jc w:val="both"/>
              <w:rPr>
                <w:rFonts w:ascii="Times New Roman" w:hAnsi="Times New Roman" w:cs="Times New Roman"/>
                <w:sz w:val="20"/>
                <w:szCs w:val="20"/>
              </w:rPr>
            </w:pPr>
            <w:r w:rsidRPr="0035187E">
              <w:rPr>
                <w:rFonts w:ascii="Times New Roman" w:hAnsi="Times New Roman" w:cs="Times New Roman"/>
                <w:sz w:val="20"/>
                <w:szCs w:val="20"/>
              </w:rPr>
              <w:t>Podnět přesahuje rámec navrhované úpravy zákona o evidenci tržeb.</w:t>
            </w:r>
          </w:p>
          <w:p w14:paraId="6F061C05" w14:textId="77777777" w:rsidR="004C4E52" w:rsidRPr="0035187E" w:rsidRDefault="004C4E52"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Zavedení možnosti převodu části mzdy by vedlo k úbytku daňových příjmů a současně by zvýšilo administrativní náročnost pro zaměstnavatele a správce daně. </w:t>
            </w:r>
          </w:p>
          <w:p w14:paraId="586DD1CB" w14:textId="77777777" w:rsidR="004C4E52" w:rsidRPr="0035187E" w:rsidRDefault="004C4E52"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Tento mechanismus přináší riziko nerovnosti mezi zaměstnanci. Zaměstnanci s vyššími příjmy mohou převést větší část mzdy a získat výraznější daňovou úlevu než zaměstnanci s nižšími mzdami, kteří si podobný převod nemohou dovolit. To vytváří nerovnoměrné odměňování a nespravedlivou výhodu pro některé pracovníky. Zaměstnanci s nižšími příjmy mohou zároveň cítit tlak převést část mzdy, aby „nebyli v nevýhodě“ vůči kolegům, což ohrožuje princip dobrovolnosti. </w:t>
            </w:r>
          </w:p>
          <w:p w14:paraId="08163AD5" w14:textId="77777777" w:rsidR="004C4E52" w:rsidRPr="0035187E" w:rsidRDefault="004C4E52"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Dalším rizikem je, že zaměstnavatelé by mohli systém využít ke snížení nákladů práce. Dobrovolným převodem části mzdy do benefitů by se totiž snížila tzv. hrubá mzda zaměstnanců, což by mohlo vést k </w:t>
            </w:r>
            <w:r w:rsidRPr="0035187E">
              <w:rPr>
                <w:rFonts w:ascii="Times New Roman" w:hAnsi="Times New Roman" w:cs="Times New Roman"/>
                <w:sz w:val="20"/>
                <w:szCs w:val="20"/>
              </w:rPr>
              <w:lastRenderedPageBreak/>
              <w:t xml:space="preserve">jednostrannému přesunu části mzdových nákladů na zaměstnance. </w:t>
            </w:r>
          </w:p>
          <w:p w14:paraId="57DBA7F0" w14:textId="77777777" w:rsidR="004C4E52" w:rsidRPr="0035187E" w:rsidRDefault="004C4E52" w:rsidP="0035187E">
            <w:pPr>
              <w:jc w:val="both"/>
              <w:rPr>
                <w:rFonts w:ascii="Times New Roman" w:hAnsi="Times New Roman" w:cs="Times New Roman"/>
                <w:sz w:val="20"/>
                <w:szCs w:val="20"/>
              </w:rPr>
            </w:pPr>
            <w:r w:rsidRPr="0035187E">
              <w:rPr>
                <w:rFonts w:ascii="Times New Roman" w:hAnsi="Times New Roman" w:cs="Times New Roman"/>
                <w:sz w:val="20"/>
                <w:szCs w:val="20"/>
              </w:rPr>
              <w:t>Dále je třeba vzít do úvahy ustanovení § 109 zákoníku práce, který stanoví, že za vykonanou práci přísluší zaměstnanci mzda, plat nebo odměna z dohody za podmínek stanovených tímto zákonem, pokud nestanoví zákoník práce či jiný zvláštní právní předpis jinak. Tato plnění podléhají nejen zdanění daní ze závislé činnosti v souladu s ustanovením § 6 odst. 1 zákona o daních z příjmů, ale i odvodům na sociální a zdravotní pojištění. Oproti tomu jsou jako zaměstnanecké benefity v praxi obvykle označována plnění poskytovaná zaměstnavatelem nad rámec běžné mzdy, platu či odměn z dohod o pracích konaných mimo pracovní poměr, přičemž jejich poskytnutí nesouvisí s vykonanou prací zaměstnance, tzn., že se jedná o nenárokovou složku.</w:t>
            </w:r>
            <w:r w:rsidRPr="0035187E">
              <w:rPr>
                <w:rFonts w:ascii="Times New Roman" w:hAnsi="Times New Roman" w:cs="Times New Roman"/>
                <w:sz w:val="20"/>
                <w:szCs w:val="20"/>
                <w:lang w:eastAsia="en-US"/>
              </w:rPr>
              <w:t xml:space="preserve"> </w:t>
            </w:r>
            <w:r w:rsidRPr="0035187E">
              <w:rPr>
                <w:rFonts w:ascii="Times New Roman" w:hAnsi="Times New Roman" w:cs="Times New Roman"/>
                <w:sz w:val="20"/>
                <w:szCs w:val="20"/>
              </w:rPr>
              <w:t xml:space="preserve">Ve výsledku, pokud by, jak se uvádí v návrhu, se zaměstnanec dobrovolně vzdal části své peněžní mzdy, mělo by to dopad do dalších oblastí, jako je nižší započitatelný příjem pro výpočet nároku na výplatu budoucího důchodu zaměstnance a také nižší částky nemocenského čerpané v případě pracovní neschopnosti.  </w:t>
            </w:r>
          </w:p>
          <w:p w14:paraId="757B2E4C" w14:textId="77777777" w:rsidR="000B4BD4" w:rsidRPr="0035187E" w:rsidRDefault="004C4E52" w:rsidP="0035187E">
            <w:pPr>
              <w:jc w:val="both"/>
              <w:rPr>
                <w:rFonts w:ascii="Times New Roman" w:hAnsi="Times New Roman" w:cs="Times New Roman"/>
                <w:sz w:val="20"/>
                <w:szCs w:val="20"/>
              </w:rPr>
            </w:pPr>
            <w:r w:rsidRPr="0035187E">
              <w:rPr>
                <w:rFonts w:ascii="Times New Roman" w:hAnsi="Times New Roman" w:cs="Times New Roman"/>
                <w:sz w:val="20"/>
                <w:szCs w:val="20"/>
              </w:rPr>
              <w:t>Celkově by tedy návrh mohl vést k nerovnému systému, kde část zaměstnanců získává nesprávnou výhodu a ostatní jsou nepřímo tlačeni k finančním kompromisům, zatímco zaměstnavatelé mohou využít daňově zvýhodněný mechanismus ke snížení svých nákladů. To odporuje principům spravedlivého, dobrovolného a rovného využívání benefitů.</w:t>
            </w:r>
          </w:p>
          <w:p w14:paraId="2E6F6CB1" w14:textId="77777777" w:rsidR="000D7B67" w:rsidRPr="0035187E" w:rsidRDefault="000D7B67" w:rsidP="0035187E">
            <w:pPr>
              <w:jc w:val="both"/>
              <w:rPr>
                <w:rFonts w:ascii="Times New Roman" w:hAnsi="Times New Roman" w:cs="Times New Roman"/>
                <w:sz w:val="20"/>
                <w:szCs w:val="20"/>
              </w:rPr>
            </w:pPr>
          </w:p>
          <w:p w14:paraId="248BBEB0" w14:textId="70F48CD8" w:rsidR="000D7B67" w:rsidRPr="0035187E" w:rsidRDefault="000D7B67" w:rsidP="0035187E">
            <w:pPr>
              <w:jc w:val="both"/>
              <w:rPr>
                <w:rFonts w:ascii="Times New Roman" w:hAnsi="Times New Roman" w:cs="Times New Roman"/>
                <w:iCs/>
                <w:sz w:val="20"/>
                <w:szCs w:val="20"/>
              </w:rPr>
            </w:pPr>
            <w:r w:rsidRPr="0035187E">
              <w:rPr>
                <w:rFonts w:ascii="Times New Roman" w:hAnsi="Times New Roman" w:cs="Times New Roman"/>
                <w:i/>
                <w:sz w:val="20"/>
                <w:szCs w:val="20"/>
              </w:rPr>
              <w:t>Vyjádření připomínkového místa: Bere se na vědomí.</w:t>
            </w:r>
          </w:p>
        </w:tc>
      </w:tr>
      <w:tr w:rsidR="0035187E" w:rsidRPr="0035187E" w14:paraId="7D93C25A"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6EDD5A69" w14:textId="05C9355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144.</w:t>
            </w:r>
          </w:p>
        </w:tc>
        <w:tc>
          <w:tcPr>
            <w:tcW w:w="583" w:type="pct"/>
            <w:tcBorders>
              <w:top w:val="single" w:sz="4" w:space="0" w:color="auto"/>
              <w:left w:val="single" w:sz="4" w:space="0" w:color="auto"/>
              <w:right w:val="single" w:sz="4" w:space="0" w:color="auto"/>
            </w:tcBorders>
            <w:shd w:val="clear" w:color="auto" w:fill="auto"/>
          </w:tcPr>
          <w:p w14:paraId="3CE26D60" w14:textId="130EEAA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Svaz obchodu a cestovního ruchu České republiky</w:t>
            </w:r>
          </w:p>
        </w:tc>
        <w:tc>
          <w:tcPr>
            <w:tcW w:w="168" w:type="pct"/>
            <w:tcBorders>
              <w:top w:val="single" w:sz="4" w:space="0" w:color="auto"/>
              <w:left w:val="single" w:sz="4" w:space="0" w:color="auto"/>
              <w:right w:val="single" w:sz="4" w:space="0" w:color="auto"/>
            </w:tcBorders>
            <w:shd w:val="clear" w:color="auto" w:fill="auto"/>
          </w:tcPr>
          <w:p w14:paraId="558ABFD5" w14:textId="47A53FB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7.</w:t>
            </w:r>
          </w:p>
        </w:tc>
        <w:tc>
          <w:tcPr>
            <w:tcW w:w="169" w:type="pct"/>
            <w:tcBorders>
              <w:top w:val="single" w:sz="4" w:space="0" w:color="auto"/>
              <w:left w:val="single" w:sz="4" w:space="0" w:color="auto"/>
              <w:right w:val="single" w:sz="4" w:space="0" w:color="auto"/>
            </w:tcBorders>
            <w:shd w:val="clear" w:color="auto" w:fill="auto"/>
          </w:tcPr>
          <w:p w14:paraId="46EE44EA" w14:textId="298AE21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37DC864C" w14:textId="77777777" w:rsidR="000B4BD4" w:rsidRPr="0035187E" w:rsidRDefault="000B4BD4" w:rsidP="0035187E">
            <w:pPr>
              <w:numPr>
                <w:ilvl w:val="0"/>
                <w:numId w:val="19"/>
              </w:numPr>
              <w:ind w:left="0" w:firstLine="0"/>
              <w:contextualSpacing/>
              <w:jc w:val="both"/>
              <w:rPr>
                <w:rFonts w:ascii="Times New Roman" w:hAnsi="Times New Roman" w:cs="Times New Roman"/>
                <w:b/>
                <w:bCs/>
                <w:sz w:val="20"/>
                <w:szCs w:val="20"/>
                <w:lang w:eastAsia="en-US"/>
              </w:rPr>
            </w:pPr>
            <w:r w:rsidRPr="0035187E">
              <w:rPr>
                <w:rFonts w:ascii="Times New Roman" w:hAnsi="Times New Roman" w:cs="Times New Roman"/>
                <w:b/>
                <w:bCs/>
                <w:sz w:val="20"/>
                <w:szCs w:val="20"/>
                <w:lang w:eastAsia="en-US"/>
              </w:rPr>
              <w:t>Návrh na navýšení účelové podpory zaměstnaneckého stravování</w:t>
            </w:r>
          </w:p>
          <w:p w14:paraId="65667DE8" w14:textId="77777777" w:rsidR="000B4BD4" w:rsidRPr="0035187E" w:rsidRDefault="000B4BD4" w:rsidP="0035187E">
            <w:pPr>
              <w:jc w:val="both"/>
              <w:rPr>
                <w:rFonts w:ascii="Times New Roman" w:hAnsi="Times New Roman" w:cs="Times New Roman"/>
                <w:b/>
                <w:bCs/>
                <w:sz w:val="20"/>
                <w:szCs w:val="20"/>
                <w:lang w:eastAsia="en-US"/>
              </w:rPr>
            </w:pPr>
          </w:p>
          <w:p w14:paraId="2218D246" w14:textId="23FABE62" w:rsidR="000B4BD4" w:rsidRPr="0035187E" w:rsidRDefault="000B4BD4" w:rsidP="0035187E">
            <w:pPr>
              <w:jc w:val="both"/>
              <w:rPr>
                <w:rFonts w:ascii="Times New Roman" w:hAnsi="Times New Roman" w:cs="Times New Roman"/>
                <w:b/>
                <w:bCs/>
                <w:sz w:val="20"/>
                <w:szCs w:val="20"/>
                <w:lang w:eastAsia="en-US"/>
              </w:rPr>
            </w:pPr>
            <w:r w:rsidRPr="0035187E">
              <w:rPr>
                <w:rFonts w:ascii="Times New Roman" w:hAnsi="Times New Roman" w:cs="Times New Roman"/>
                <w:b/>
                <w:bCs/>
                <w:sz w:val="20"/>
                <w:szCs w:val="20"/>
                <w:lang w:eastAsia="en-US"/>
              </w:rPr>
              <w:t>Návrh změny:</w:t>
            </w:r>
          </w:p>
          <w:p w14:paraId="2D4797E7"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Navrhuje se upravit výši příspěvku na stravování na hranici 100 % horní hranice stravného v případě tzv. nepeněžních plnění, které lze poskytnout zaměstnancům odměňovaným mzdou při pracovní cestě trvající 5 až 12 hodin. Výše příspěvku u peněžního plnění se nemění.</w:t>
            </w:r>
          </w:p>
          <w:p w14:paraId="1933CF2F" w14:textId="77777777" w:rsidR="000B4BD4" w:rsidRPr="0035187E" w:rsidRDefault="000B4BD4" w:rsidP="0035187E">
            <w:pPr>
              <w:jc w:val="both"/>
              <w:rPr>
                <w:rFonts w:ascii="Times New Roman" w:hAnsi="Times New Roman" w:cs="Times New Roman"/>
                <w:b/>
                <w:bCs/>
                <w:sz w:val="20"/>
                <w:szCs w:val="20"/>
                <w:lang w:eastAsia="en-US"/>
              </w:rPr>
            </w:pPr>
          </w:p>
          <w:p w14:paraId="2E9B55E8" w14:textId="27F911FD" w:rsidR="000B4BD4" w:rsidRPr="0035187E" w:rsidRDefault="000B4BD4" w:rsidP="0035187E">
            <w:pPr>
              <w:jc w:val="both"/>
              <w:rPr>
                <w:rFonts w:ascii="Times New Roman" w:hAnsi="Times New Roman" w:cs="Times New Roman"/>
                <w:b/>
                <w:bCs/>
                <w:sz w:val="20"/>
                <w:szCs w:val="20"/>
                <w:lang w:eastAsia="en-US"/>
              </w:rPr>
            </w:pPr>
            <w:r w:rsidRPr="0035187E">
              <w:rPr>
                <w:rFonts w:ascii="Times New Roman" w:hAnsi="Times New Roman" w:cs="Times New Roman"/>
                <w:b/>
                <w:bCs/>
                <w:sz w:val="20"/>
                <w:szCs w:val="20"/>
                <w:lang w:eastAsia="en-US"/>
              </w:rPr>
              <w:t>Potřebná legislativní úprava:</w:t>
            </w:r>
          </w:p>
          <w:p w14:paraId="183B68B8"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 xml:space="preserve">V zákoně č. 586/1992 Sb., o daních z příjmů, ve znění pozdějších předpisů se §6 odst. 9 písm. b) mění následovně: </w:t>
            </w:r>
          </w:p>
          <w:p w14:paraId="3A2D209A"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lastRenderedPageBreak/>
              <w:t>„b) příjem zaměstnance ve formě příspěvku na stravování poskytnutého zaměstnavatelem za jednu směnu podle jiného právního předpisu, pokud během této směny zaměstnanec vykonával práci alespoň 3 hodiny a nevznikl mu během této směny nárok na stravné v rámci cestovních náhrad podle jiného právního předpisu, a to v úhrnu do výše 70 % horní hranice stravného v případě peněžitého příspěvku na stravování nebo úhrnu do výše 100 % horní hranice stravného v případě stravování poskytované jako nepeněžní plnění ke spotřebě na pracovišti zaměstnance nebo v rámci stravování zajišťovaného prostřednictvím jiného subjektu než zaměstnavatele, které lze poskytnout zaměstnancům odměňovaným platem při pracovní cestě trvající 5 až 12 hodin, a v úhrnu do výše 70 % této hranice v případě peněžitého příspěvku na stravování nebo úhrnu do výše 100 % horní hranice stravného v případě stravování poskytované jako nepeněžní plnění ke spotřebě na pracovišti zaměstnance nebo v rámci stravování zajišťovaného prostřednictvím jiného subjektu než zaměstnavatele, je-li příspěvek poskytnut jako další příspěvek v rámci stejné směny, pokud její délka v úhrnu s přestávkou v práci povinně poskytovanou zaměstnavatelem podle jiného právního předpisu je delší než 11 hodin; v případě zaměstnance vykonávajícího činnost, ze které plyne příjem ze závislé činnosti, jejíž výkon není rozvržen na směny podle jiného právního předpisu, je příjem ve formě příspěvku na stravování poskytnutého zaměstnavatelem od daně osvobozen, pokud během kalendářního dne zaměstnanec vykonával práci alespoň 3 hodiny a nevznikl mu během tohoto dne nárok na stravné v rámci cestovních náhrad podle jiného právního předpisu ani na stravné v rámci cestovních náhrad na základě smlouvy, a to v úhrnu do výše 70 % horní hranice stravného v případě peněžitého příspěvku na stravování nebo úhrnu do výše 100 % horní hranice stravného v případě stravování poskytované jako nepeněžní plnění ke spotřebě na pracovišti zaměstnance nebo v rámci stravování zajišťovaného prostřednictvím jiného subjektu než zaměstnavatele, které lze poskytnout zaměstnancům odměňovaným platem při pracovní cestě trvající 5 až 12 hodin, a v úhrnu do výše 70 % této hranice v případě peněžitého příspěvku na stravování nebo úhrnu do výše 100 % horní hranice stravného v případě stravování poskytované jako nepeněžní plnění ke spotřebě na pracovišti zaměstnance nebo v rámci stravování zajišťovaného prostřednictvím jiného subjektu než zaměstnavatele, je-li příspěvek poskytnut jako další příspěvek v rámci stejného kalendářního dne, pokud během tohoto dne zaměstnanec vykonával práci alespoň 11 hodin.“</w:t>
            </w:r>
          </w:p>
          <w:p w14:paraId="5C61049B" w14:textId="77777777" w:rsidR="000B4BD4" w:rsidRPr="0035187E" w:rsidRDefault="000B4BD4" w:rsidP="0035187E">
            <w:pPr>
              <w:jc w:val="both"/>
              <w:rPr>
                <w:rFonts w:ascii="Times New Roman" w:hAnsi="Times New Roman" w:cs="Times New Roman"/>
                <w:b/>
                <w:bCs/>
                <w:sz w:val="20"/>
                <w:szCs w:val="20"/>
                <w:lang w:eastAsia="en-US"/>
              </w:rPr>
            </w:pPr>
          </w:p>
          <w:p w14:paraId="704891E7" w14:textId="73A0015B" w:rsidR="000B4BD4" w:rsidRPr="0035187E" w:rsidRDefault="000B4BD4" w:rsidP="0035187E">
            <w:pPr>
              <w:jc w:val="both"/>
              <w:rPr>
                <w:rFonts w:ascii="Times New Roman" w:hAnsi="Times New Roman" w:cs="Times New Roman"/>
                <w:b/>
                <w:bCs/>
                <w:sz w:val="20"/>
                <w:szCs w:val="20"/>
                <w:lang w:eastAsia="en-US"/>
              </w:rPr>
            </w:pPr>
            <w:r w:rsidRPr="0035187E">
              <w:rPr>
                <w:rFonts w:ascii="Times New Roman" w:hAnsi="Times New Roman" w:cs="Times New Roman"/>
                <w:b/>
                <w:bCs/>
                <w:sz w:val="20"/>
                <w:szCs w:val="20"/>
                <w:lang w:eastAsia="en-US"/>
              </w:rPr>
              <w:t>Odůvodnění:</w:t>
            </w:r>
          </w:p>
          <w:p w14:paraId="2B124294"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 xml:space="preserve">Zaměstnavatelské svazy již několik let volají po úpravě podpory zaměstnaneckého stravování tak, aby více reflektovala své cíle a vedla k pravidelnějšímu a kvalitnějšímu stravování zaměstnanců. Proto navrhujeme parametrickou úpravu příspěvku na stravování, která posiluje tzv. nepeněžní formy podpory. Změna přibližuje výši příspěvku skutečné ceně obědů, čímž podpoří častější stravování v kantýnách a restauracích, přispěje k dostupnosti a pravidelnosti stravy s očekávanými pozitivními zdravotními dopady, a zároveň především u stravování v závodních jídelnách sníží administrativní zátěž zaměstnavatelů.  </w:t>
            </w:r>
          </w:p>
          <w:p w14:paraId="769104C0"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 xml:space="preserve">Ceny obědů kontinuálně stoupají (většinou se již pohybují nad psychologickou hranicí 200 Kč za oběd) a zároveň počet lidí, kteří navštěvují v době oběda restaurace a závodní jídelny, klesá. Z průzkumů přitom vyplývá, že nepeněžní příspěvek na oběd výrazně (2x </w:t>
            </w:r>
            <w:r w:rsidRPr="0035187E">
              <w:rPr>
                <w:rFonts w:ascii="Times New Roman" w:hAnsi="Times New Roman" w:cs="Times New Roman"/>
                <w:sz w:val="20"/>
                <w:szCs w:val="20"/>
                <w:lang w:eastAsia="en-US"/>
              </w:rPr>
              <w:lastRenderedPageBreak/>
              <w:t xml:space="preserve">častěji a více) zvyšuje motivaci na oběd chodit. Jiný průzkum pak ukazuje, že až 51 procent zaměstnanců říká, že se díky tomuto příspěvku na stravování stravují vyváženěji a zdravěji. </w:t>
            </w:r>
          </w:p>
          <w:p w14:paraId="3470238D" w14:textId="77777777" w:rsidR="000B4BD4" w:rsidRPr="0035187E" w:rsidRDefault="000B4BD4" w:rsidP="0035187E">
            <w:pPr>
              <w:jc w:val="both"/>
              <w:rPr>
                <w:rFonts w:ascii="Times New Roman" w:hAnsi="Times New Roman" w:cs="Times New Roman"/>
                <w:sz w:val="20"/>
                <w:szCs w:val="20"/>
                <w:lang w:eastAsia="en-US"/>
              </w:rPr>
            </w:pPr>
          </w:p>
          <w:p w14:paraId="4D109DFB"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 xml:space="preserve">V České republice je strava přitom dlouhodobě z pohledu veřejného zdraví velmi problematická. Způsobuje nejvíce </w:t>
            </w:r>
            <w:proofErr w:type="spellStart"/>
            <w:r w:rsidRPr="0035187E">
              <w:rPr>
                <w:rFonts w:ascii="Times New Roman" w:hAnsi="Times New Roman" w:cs="Times New Roman"/>
                <w:sz w:val="20"/>
                <w:szCs w:val="20"/>
                <w:lang w:eastAsia="en-US"/>
              </w:rPr>
              <w:t>nadúmrtí</w:t>
            </w:r>
            <w:proofErr w:type="spellEnd"/>
            <w:r w:rsidRPr="0035187E">
              <w:rPr>
                <w:rFonts w:ascii="Times New Roman" w:hAnsi="Times New Roman" w:cs="Times New Roman"/>
                <w:sz w:val="20"/>
                <w:szCs w:val="20"/>
                <w:lang w:eastAsia="en-US"/>
              </w:rPr>
              <w:t xml:space="preserve"> (více než cigarety nebo alkohol), významně přispívá k civilizačním chorobám (kardiovaskulární onemocnění, diabetes druhého typu a další) a celkově nižšímu věku dožití ve zdraví. To pak představuje znatelnou zátěž na veřejné rozpočty – ať již přímo skrze zdravotní náklady, tak nepřímo skrze absence, nižší produktivitu práce, či kratší dobu aktivního života.</w:t>
            </w:r>
          </w:p>
          <w:p w14:paraId="11898426" w14:textId="77777777" w:rsidR="000B4BD4" w:rsidRPr="0035187E" w:rsidRDefault="000B4BD4" w:rsidP="0035187E">
            <w:pPr>
              <w:jc w:val="both"/>
              <w:rPr>
                <w:rFonts w:ascii="Times New Roman" w:hAnsi="Times New Roman" w:cs="Times New Roman"/>
                <w:sz w:val="20"/>
                <w:szCs w:val="20"/>
                <w:lang w:eastAsia="en-US"/>
              </w:rPr>
            </w:pPr>
          </w:p>
          <w:p w14:paraId="639F50BD"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 xml:space="preserve">Proto návrh navazuje na Programové prohlášení vlády ( “Zaměříme se na prevenci, včasnou diagnostiku a podporu zdravého životního stylu, abychom předcházeli nemocem a zlepšili kvalitu života lidí všech generací.”) a Národní kardiovaskulární plán ČR na období 2025-2035 (Specifický cíl 1.1 - Zvýšení pozitivní motivace ke změně životního stylu obyvatel, zvýšení zdravotní gramotnosti a zlepšení prevence kardiovaskulárních onemocnění -  „Systémová podpora zdravého pracovního prostředí a spolupráce se zaměstnavateli na jeho rozvoji…“) a pomáhá s naplněním jejich cílů. </w:t>
            </w:r>
          </w:p>
          <w:p w14:paraId="71E93F92" w14:textId="77777777" w:rsidR="000B4BD4" w:rsidRPr="0035187E" w:rsidRDefault="000B4BD4" w:rsidP="0035187E">
            <w:pPr>
              <w:jc w:val="both"/>
              <w:rPr>
                <w:rFonts w:ascii="Times New Roman" w:hAnsi="Times New Roman" w:cs="Times New Roman"/>
                <w:sz w:val="20"/>
                <w:szCs w:val="20"/>
                <w:lang w:eastAsia="en-US"/>
              </w:rPr>
            </w:pPr>
          </w:p>
          <w:p w14:paraId="1C38A6DF"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 xml:space="preserve">V neposlední řadě návrh představuje také znatelné snížení administrativy pro zaměstnavatele, jelikož částka 100 % horní hranice stravného přibližně odpovídá průměrné ceně oběda v závodních jídelnách. Mzdové účtárny tak nebudou muset ve většině případů vypočítávat rozdíl mezi hodnotou jídla a daňovým limitem a tento rozdíl zahrnovat na mzdové listy ke zdanění nebo zajišťovat doplácení hodnoty jídla. </w:t>
            </w:r>
          </w:p>
          <w:p w14:paraId="3DD6AC7C" w14:textId="329BC44A"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Rozpočtové dopady návrhu jsou neutrální. Navýšení limitu pro účelovou podporu stravování na 100 % horní hranice stravného sice povede k nižšímu výběru na dani z příjmů fyzických osob, který ale bude kompenzován vyšším výběrem daní u stravovacích služeb.</w:t>
            </w:r>
          </w:p>
        </w:tc>
        <w:tc>
          <w:tcPr>
            <w:tcW w:w="1453" w:type="pct"/>
            <w:tcBorders>
              <w:top w:val="single" w:sz="4" w:space="0" w:color="auto"/>
              <w:left w:val="single" w:sz="4" w:space="0" w:color="auto"/>
              <w:right w:val="single" w:sz="4" w:space="0" w:color="auto"/>
            </w:tcBorders>
            <w:shd w:val="clear" w:color="auto" w:fill="auto"/>
          </w:tcPr>
          <w:p w14:paraId="6062CFF9" w14:textId="77777777" w:rsidR="004C4E52" w:rsidRPr="0035187E" w:rsidRDefault="004C4E52"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Nevyhověno.</w:t>
            </w:r>
          </w:p>
          <w:p w14:paraId="49D15E7F" w14:textId="77777777" w:rsidR="004C4E52" w:rsidRPr="0035187E" w:rsidRDefault="004C4E52" w:rsidP="0035187E">
            <w:pPr>
              <w:jc w:val="both"/>
              <w:rPr>
                <w:rFonts w:ascii="Times New Roman" w:hAnsi="Times New Roman" w:cs="Times New Roman"/>
                <w:sz w:val="20"/>
                <w:szCs w:val="20"/>
              </w:rPr>
            </w:pPr>
            <w:r w:rsidRPr="0035187E">
              <w:rPr>
                <w:rFonts w:ascii="Times New Roman" w:hAnsi="Times New Roman" w:cs="Times New Roman"/>
                <w:sz w:val="20"/>
                <w:szCs w:val="20"/>
              </w:rPr>
              <w:t>Podnět přesahuje rámec navrhované úpravy zákona o evidenci tržeb.</w:t>
            </w:r>
          </w:p>
          <w:p w14:paraId="524DD0B2" w14:textId="77777777" w:rsidR="000B4BD4" w:rsidRPr="0035187E" w:rsidRDefault="004C4E52"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Z pohledu zdravotní politiky a prevence nelze garantovat, že zvýšení limitu příspěvku na stravování skutečně povede k lepší stravovací kultuře nebo ke snížení civilizačních onemocnění. Podpora zdravého životního stylu vyžaduje komplexní a systematický přístup zahrnující vzdělávání, osvětu, regulaci nabídky potravin a celkovou strategii veřejného zdraví, nikoli pouze parametrické zvyšování daňového osvobození </w:t>
            </w:r>
            <w:r w:rsidRPr="0035187E">
              <w:rPr>
                <w:rFonts w:ascii="Times New Roman" w:hAnsi="Times New Roman" w:cs="Times New Roman"/>
                <w:sz w:val="20"/>
                <w:szCs w:val="20"/>
              </w:rPr>
              <w:lastRenderedPageBreak/>
              <w:t>u jedné formy zaměstnaneckého příspěvku. Navrhované opatření je navíc nesystémové, protože zvýšení daňového osvobození se vztahuje pouze na nepeněžní formu příspěvku (např. stravenka), zatímco peněžitý příspěvek zůstává omezen na nižší hranici.</w:t>
            </w:r>
            <w:r w:rsidRPr="0035187E">
              <w:t xml:space="preserve"> </w:t>
            </w:r>
            <w:r w:rsidRPr="0035187E">
              <w:rPr>
                <w:rFonts w:ascii="Times New Roman" w:hAnsi="Times New Roman" w:cs="Times New Roman"/>
                <w:sz w:val="20"/>
                <w:szCs w:val="20"/>
              </w:rPr>
              <w:t>Zaměstnanec, který by platil oběd v restauračním zařízení v hotovosti, by byl znevýhodněn oproti zaměstnanci, který by stejný oběd odebíral za stravenku.</w:t>
            </w:r>
          </w:p>
          <w:p w14:paraId="2BFF089A" w14:textId="77777777" w:rsidR="000D7B67" w:rsidRPr="0035187E" w:rsidRDefault="000D7B67" w:rsidP="0035187E">
            <w:pPr>
              <w:jc w:val="both"/>
              <w:rPr>
                <w:rFonts w:ascii="Times New Roman" w:hAnsi="Times New Roman" w:cs="Times New Roman"/>
                <w:sz w:val="20"/>
                <w:szCs w:val="20"/>
              </w:rPr>
            </w:pPr>
          </w:p>
          <w:p w14:paraId="6FA3E4F7" w14:textId="5B565E68" w:rsidR="000D7B67" w:rsidRPr="0035187E" w:rsidRDefault="000D7B67"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Vyjádření připomínkového místa: Nesouhlasí, je nadále přesvědčen</w:t>
            </w:r>
            <w:r w:rsidR="00FF60CF" w:rsidRPr="0035187E">
              <w:rPr>
                <w:rFonts w:ascii="Times New Roman" w:hAnsi="Times New Roman" w:cs="Times New Roman"/>
                <w:i/>
                <w:iCs/>
                <w:sz w:val="20"/>
                <w:szCs w:val="20"/>
              </w:rPr>
              <w:t>o</w:t>
            </w:r>
            <w:r w:rsidRPr="0035187E">
              <w:rPr>
                <w:rFonts w:ascii="Times New Roman" w:hAnsi="Times New Roman" w:cs="Times New Roman"/>
                <w:i/>
                <w:iCs/>
                <w:sz w:val="20"/>
                <w:szCs w:val="20"/>
              </w:rPr>
              <w:t>, že je zájmem státu podporovat zdravé stravování.</w:t>
            </w:r>
          </w:p>
        </w:tc>
      </w:tr>
      <w:tr w:rsidR="0035187E" w:rsidRPr="0035187E" w14:paraId="570C1E38"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893E2D2" w14:textId="3E4C98B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144.</w:t>
            </w:r>
          </w:p>
        </w:tc>
        <w:tc>
          <w:tcPr>
            <w:tcW w:w="583" w:type="pct"/>
            <w:tcBorders>
              <w:top w:val="single" w:sz="4" w:space="0" w:color="auto"/>
              <w:left w:val="single" w:sz="4" w:space="0" w:color="auto"/>
              <w:right w:val="single" w:sz="4" w:space="0" w:color="auto"/>
            </w:tcBorders>
            <w:shd w:val="clear" w:color="auto" w:fill="auto"/>
          </w:tcPr>
          <w:p w14:paraId="4C7149F6" w14:textId="1B8B064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Svaz obchodu a cestovního ruchu České republiky</w:t>
            </w:r>
          </w:p>
        </w:tc>
        <w:tc>
          <w:tcPr>
            <w:tcW w:w="168" w:type="pct"/>
            <w:tcBorders>
              <w:top w:val="single" w:sz="4" w:space="0" w:color="auto"/>
              <w:left w:val="single" w:sz="4" w:space="0" w:color="auto"/>
              <w:right w:val="single" w:sz="4" w:space="0" w:color="auto"/>
            </w:tcBorders>
            <w:shd w:val="clear" w:color="auto" w:fill="auto"/>
          </w:tcPr>
          <w:p w14:paraId="312F3AA2" w14:textId="24468EA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8.</w:t>
            </w:r>
          </w:p>
        </w:tc>
        <w:tc>
          <w:tcPr>
            <w:tcW w:w="169" w:type="pct"/>
            <w:tcBorders>
              <w:top w:val="single" w:sz="4" w:space="0" w:color="auto"/>
              <w:left w:val="single" w:sz="4" w:space="0" w:color="auto"/>
              <w:right w:val="single" w:sz="4" w:space="0" w:color="auto"/>
            </w:tcBorders>
            <w:shd w:val="clear" w:color="auto" w:fill="auto"/>
          </w:tcPr>
          <w:p w14:paraId="7BE931A3" w14:textId="41DAAE3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2D0BCE8" w14:textId="77777777" w:rsidR="000B4BD4" w:rsidRPr="0035187E" w:rsidRDefault="000B4BD4" w:rsidP="0035187E">
            <w:pPr>
              <w:numPr>
                <w:ilvl w:val="0"/>
                <w:numId w:val="19"/>
              </w:numPr>
              <w:suppressAutoHyphens/>
              <w:ind w:left="0" w:firstLine="0"/>
              <w:contextualSpacing/>
              <w:jc w:val="both"/>
              <w:rPr>
                <w:rFonts w:ascii="Times New Roman" w:hAnsi="Times New Roman" w:cs="Times New Roman"/>
                <w:sz w:val="20"/>
                <w:szCs w:val="20"/>
                <w:lang w:eastAsia="en-US"/>
              </w:rPr>
            </w:pPr>
            <w:r w:rsidRPr="0035187E">
              <w:rPr>
                <w:rFonts w:ascii="Times New Roman" w:hAnsi="Times New Roman" w:cs="Times New Roman"/>
                <w:b/>
                <w:bCs/>
                <w:sz w:val="20"/>
                <w:szCs w:val="20"/>
                <w:lang w:eastAsia="en-US"/>
              </w:rPr>
              <w:t>Připomínka k § 13, čl. (1), písmeno d),</w:t>
            </w:r>
            <w:r w:rsidRPr="0035187E">
              <w:rPr>
                <w:rFonts w:ascii="Times New Roman" w:hAnsi="Times New Roman" w:cs="Times New Roman"/>
                <w:sz w:val="20"/>
                <w:szCs w:val="20"/>
                <w:lang w:eastAsia="en-US"/>
              </w:rPr>
              <w:t xml:space="preserve"> kde navrhujeme doplnit a upřesnit formulaci vynětí z evidence tržeb pro tržby z jízdného na lanových drahách.</w:t>
            </w:r>
          </w:p>
          <w:p w14:paraId="6CEBD24A" w14:textId="77777777" w:rsidR="000B4BD4" w:rsidRPr="0035187E" w:rsidRDefault="000B4BD4" w:rsidP="0035187E">
            <w:pPr>
              <w:jc w:val="both"/>
              <w:rPr>
                <w:rFonts w:ascii="Times New Roman" w:hAnsi="Times New Roman" w:cs="Times New Roman"/>
                <w:sz w:val="20"/>
                <w:szCs w:val="20"/>
                <w:lang w:eastAsia="en-US"/>
              </w:rPr>
            </w:pPr>
          </w:p>
          <w:p w14:paraId="2DEF6210" w14:textId="77777777" w:rsidR="000B4BD4" w:rsidRPr="0035187E" w:rsidRDefault="000B4BD4" w:rsidP="0035187E">
            <w:pPr>
              <w:jc w:val="both"/>
              <w:rPr>
                <w:rFonts w:ascii="Times New Roman" w:hAnsi="Times New Roman" w:cs="Times New Roman"/>
                <w:b/>
                <w:bCs/>
                <w:sz w:val="20"/>
                <w:szCs w:val="20"/>
                <w:lang w:eastAsia="en-US"/>
              </w:rPr>
            </w:pPr>
            <w:r w:rsidRPr="0035187E">
              <w:rPr>
                <w:rFonts w:ascii="Times New Roman" w:hAnsi="Times New Roman" w:cs="Times New Roman"/>
                <w:b/>
                <w:bCs/>
                <w:sz w:val="20"/>
                <w:szCs w:val="20"/>
                <w:lang w:eastAsia="en-US"/>
              </w:rPr>
              <w:t xml:space="preserve">Návrh nového znění: </w:t>
            </w:r>
          </w:p>
          <w:p w14:paraId="5391B8FB"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 13</w:t>
            </w:r>
          </w:p>
          <w:p w14:paraId="24FD358B" w14:textId="77777777" w:rsidR="000B4BD4" w:rsidRPr="0035187E" w:rsidRDefault="000B4BD4" w:rsidP="0035187E">
            <w:pPr>
              <w:jc w:val="both"/>
              <w:rPr>
                <w:rFonts w:ascii="Times New Roman" w:hAnsi="Times New Roman" w:cs="Times New Roman"/>
                <w:b/>
                <w:sz w:val="20"/>
                <w:szCs w:val="20"/>
                <w:lang w:eastAsia="en-US"/>
              </w:rPr>
            </w:pPr>
          </w:p>
          <w:p w14:paraId="187265BB" w14:textId="20FBCF7E" w:rsidR="000B4BD4" w:rsidRPr="0035187E" w:rsidRDefault="000B4BD4" w:rsidP="0035187E">
            <w:pPr>
              <w:jc w:val="both"/>
              <w:rPr>
                <w:rFonts w:ascii="Times New Roman" w:hAnsi="Times New Roman" w:cs="Times New Roman"/>
                <w:b/>
                <w:sz w:val="20"/>
                <w:szCs w:val="20"/>
                <w:lang w:eastAsia="en-US"/>
              </w:rPr>
            </w:pPr>
            <w:r w:rsidRPr="0035187E">
              <w:rPr>
                <w:rFonts w:ascii="Times New Roman" w:hAnsi="Times New Roman" w:cs="Times New Roman"/>
                <w:b/>
                <w:sz w:val="20"/>
                <w:szCs w:val="20"/>
                <w:lang w:eastAsia="en-US"/>
              </w:rPr>
              <w:t>Vynětí z evidence tržeb podle druhu činnosti</w:t>
            </w:r>
          </w:p>
          <w:p w14:paraId="7753DEE0" w14:textId="77777777" w:rsidR="000B4BD4" w:rsidRPr="0035187E" w:rsidRDefault="000B4BD4" w:rsidP="0035187E">
            <w:pPr>
              <w:jc w:val="both"/>
              <w:rPr>
                <w:rFonts w:ascii="Times New Roman" w:hAnsi="Times New Roman" w:cs="Times New Roman"/>
                <w:b/>
                <w:sz w:val="20"/>
                <w:szCs w:val="20"/>
                <w:lang w:eastAsia="en-US"/>
              </w:rPr>
            </w:pPr>
          </w:p>
          <w:p w14:paraId="77B563AA"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(1) Evidovanou tržbou nejsou tržby</w:t>
            </w:r>
          </w:p>
          <w:p w14:paraId="04BD5B76"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a)</w:t>
            </w:r>
            <w:r w:rsidRPr="0035187E">
              <w:rPr>
                <w:rFonts w:ascii="Times New Roman" w:hAnsi="Times New Roman" w:cs="Times New Roman"/>
                <w:sz w:val="20"/>
                <w:szCs w:val="20"/>
                <w:lang w:eastAsia="en-US"/>
              </w:rPr>
              <w:tab/>
              <w:t>z drobné vedlejší podnikatelské činnosti veřejně prospěšných poplatníků,</w:t>
            </w:r>
          </w:p>
          <w:p w14:paraId="6F6A6427"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b)</w:t>
            </w:r>
            <w:r w:rsidRPr="0035187E">
              <w:rPr>
                <w:rFonts w:ascii="Times New Roman" w:hAnsi="Times New Roman" w:cs="Times New Roman"/>
                <w:sz w:val="20"/>
                <w:szCs w:val="20"/>
                <w:lang w:eastAsia="en-US"/>
              </w:rPr>
              <w:tab/>
              <w:t>ze vztahu souvisejícího s pracovněprávním nebo obdobným vztahem,</w:t>
            </w:r>
          </w:p>
          <w:p w14:paraId="5F912566"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c)</w:t>
            </w:r>
            <w:r w:rsidRPr="0035187E">
              <w:rPr>
                <w:rFonts w:ascii="Times New Roman" w:hAnsi="Times New Roman" w:cs="Times New Roman"/>
                <w:sz w:val="20"/>
                <w:szCs w:val="20"/>
                <w:lang w:eastAsia="en-US"/>
              </w:rPr>
              <w:tab/>
              <w:t>ze stravování a ubytování žákům a studentům poskytovaného školou, vysokou školou nebo školským zařízením,</w:t>
            </w:r>
          </w:p>
          <w:p w14:paraId="5E54B65C"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d)</w:t>
            </w:r>
            <w:r w:rsidRPr="0035187E">
              <w:rPr>
                <w:rFonts w:ascii="Times New Roman" w:hAnsi="Times New Roman" w:cs="Times New Roman"/>
                <w:sz w:val="20"/>
                <w:szCs w:val="20"/>
                <w:lang w:eastAsia="en-US"/>
              </w:rPr>
              <w:tab/>
              <w:t xml:space="preserve">z jízdného nebo související platby hrazených v dopravních prostředcích při pravidelné hromadné přepravě osob, </w:t>
            </w:r>
            <w:r w:rsidRPr="0035187E">
              <w:rPr>
                <w:rFonts w:ascii="Times New Roman" w:hAnsi="Times New Roman" w:cs="Times New Roman"/>
                <w:b/>
                <w:bCs/>
                <w:sz w:val="20"/>
                <w:szCs w:val="20"/>
                <w:lang w:eastAsia="en-US"/>
              </w:rPr>
              <w:t>s výjimkou osobní dopravy lanovými a visutými dráhami,</w:t>
            </w:r>
          </w:p>
          <w:p w14:paraId="72E4CE5F"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lastRenderedPageBreak/>
              <w:t>e)</w:t>
            </w:r>
            <w:r w:rsidRPr="0035187E">
              <w:rPr>
                <w:rFonts w:ascii="Times New Roman" w:hAnsi="Times New Roman" w:cs="Times New Roman"/>
                <w:sz w:val="20"/>
                <w:szCs w:val="20"/>
                <w:lang w:eastAsia="en-US"/>
              </w:rPr>
              <w:tab/>
              <w:t xml:space="preserve">z osobní železniční přepravy, </w:t>
            </w:r>
          </w:p>
          <w:p w14:paraId="4ECE0261"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f)</w:t>
            </w:r>
            <w:r w:rsidRPr="0035187E">
              <w:rPr>
                <w:rFonts w:ascii="Times New Roman" w:hAnsi="Times New Roman" w:cs="Times New Roman"/>
                <w:sz w:val="20"/>
                <w:szCs w:val="20"/>
                <w:lang w:eastAsia="en-US"/>
              </w:rPr>
              <w:tab/>
              <w:t>z obchodní letecké dopravy a ze služeb poskytovaných v přímé souvislosti s ní,</w:t>
            </w:r>
          </w:p>
          <w:p w14:paraId="503E246B"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g)</w:t>
            </w:r>
            <w:r w:rsidRPr="0035187E">
              <w:rPr>
                <w:rFonts w:ascii="Times New Roman" w:hAnsi="Times New Roman" w:cs="Times New Roman"/>
                <w:sz w:val="20"/>
                <w:szCs w:val="20"/>
                <w:lang w:eastAsia="en-US"/>
              </w:rPr>
              <w:tab/>
              <w:t>z poštovních služeb a zboží a služeb poskytovaných v přímé souvislosti s nimi.</w:t>
            </w:r>
          </w:p>
          <w:p w14:paraId="7B080D43" w14:textId="77777777" w:rsidR="000B4BD4" w:rsidRPr="0035187E" w:rsidRDefault="000B4BD4" w:rsidP="0035187E">
            <w:pPr>
              <w:jc w:val="both"/>
              <w:rPr>
                <w:rFonts w:ascii="Times New Roman" w:hAnsi="Times New Roman" w:cs="Times New Roman"/>
                <w:sz w:val="20"/>
                <w:szCs w:val="20"/>
                <w:lang w:eastAsia="en-US"/>
              </w:rPr>
            </w:pPr>
          </w:p>
          <w:p w14:paraId="7EF1AEDC" w14:textId="77777777" w:rsidR="000B4BD4" w:rsidRPr="0035187E" w:rsidRDefault="000B4BD4" w:rsidP="0035187E">
            <w:pPr>
              <w:jc w:val="both"/>
              <w:rPr>
                <w:rFonts w:ascii="Times New Roman" w:hAnsi="Times New Roman" w:cs="Times New Roman"/>
                <w:b/>
                <w:i/>
                <w:sz w:val="20"/>
                <w:szCs w:val="20"/>
                <w:lang w:eastAsia="en-US"/>
              </w:rPr>
            </w:pPr>
            <w:r w:rsidRPr="0035187E">
              <w:rPr>
                <w:rFonts w:ascii="Times New Roman" w:hAnsi="Times New Roman" w:cs="Times New Roman"/>
                <w:b/>
                <w:bCs/>
                <w:sz w:val="20"/>
                <w:szCs w:val="20"/>
                <w:lang w:eastAsia="en-US"/>
              </w:rPr>
              <w:t>Odůvodnění navrhované změny:</w:t>
            </w:r>
          </w:p>
          <w:p w14:paraId="18CE20F1" w14:textId="77777777" w:rsidR="000B4BD4" w:rsidRPr="0035187E" w:rsidRDefault="000B4BD4" w:rsidP="0035187E">
            <w:pPr>
              <w:jc w:val="both"/>
              <w:rPr>
                <w:rFonts w:ascii="Times New Roman" w:hAnsi="Times New Roman" w:cs="Times New Roman"/>
                <w:sz w:val="20"/>
                <w:szCs w:val="20"/>
                <w:u w:val="single"/>
                <w:lang w:eastAsia="en-US"/>
              </w:rPr>
            </w:pPr>
            <w:r w:rsidRPr="0035187E">
              <w:rPr>
                <w:rFonts w:ascii="Times New Roman" w:hAnsi="Times New Roman" w:cs="Times New Roman"/>
                <w:sz w:val="20"/>
                <w:szCs w:val="20"/>
                <w:lang w:eastAsia="en-US"/>
              </w:rPr>
              <w:t>Návrh zákona o evidenci tržeb v § 13, čl. 1), písmeno d)</w:t>
            </w:r>
            <w:r w:rsidRPr="0035187E">
              <w:rPr>
                <w:rFonts w:ascii="Times New Roman" w:hAnsi="Times New Roman" w:cs="Times New Roman"/>
                <w:sz w:val="20"/>
                <w:szCs w:val="20"/>
                <w:u w:val="single"/>
                <w:lang w:eastAsia="en-US"/>
              </w:rPr>
              <w:t xml:space="preserve"> vyjímá z povinnosti evidence tržeb tržby „z jízdného nebo související platby hrazených v dopravních prostředcích při pravidelné hromadné přepravě osob“. </w:t>
            </w:r>
          </w:p>
          <w:p w14:paraId="36D26A22"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 xml:space="preserve">Vzhledem k tomu, že se </w:t>
            </w:r>
            <w:r w:rsidRPr="0035187E">
              <w:rPr>
                <w:rFonts w:ascii="Times New Roman" w:hAnsi="Times New Roman" w:cs="Times New Roman"/>
                <w:sz w:val="20"/>
                <w:szCs w:val="20"/>
                <w:u w:val="single"/>
                <w:lang w:eastAsia="en-US"/>
              </w:rPr>
              <w:t>provoz lanových drah</w:t>
            </w:r>
            <w:r w:rsidRPr="0035187E">
              <w:rPr>
                <w:rFonts w:ascii="Times New Roman" w:hAnsi="Times New Roman" w:cs="Times New Roman"/>
                <w:sz w:val="20"/>
                <w:szCs w:val="20"/>
                <w:lang w:eastAsia="en-US"/>
              </w:rPr>
              <w:t xml:space="preserve"> na území ČR řídí zákonem č. 266/1994 Sb. o dráhách a dalšími souvisejícími předpisy – mimo jiné i vyhláškou Ministerstva dopravy ČR č. 175/2000 Sb. o přepravním řádu pro veřejnou drážní a silniční osobní dopravu, lze dovodit, že </w:t>
            </w:r>
            <w:r w:rsidRPr="0035187E">
              <w:rPr>
                <w:rFonts w:ascii="Times New Roman" w:hAnsi="Times New Roman" w:cs="Times New Roman"/>
                <w:sz w:val="20"/>
                <w:szCs w:val="20"/>
                <w:u w:val="single"/>
                <w:lang w:eastAsia="en-US"/>
              </w:rPr>
              <w:t>tržby z jízdného placeného za přepravu na lanových drahách by podle návrhu zákona neměly být předmětem evidence tržeb.</w:t>
            </w:r>
          </w:p>
          <w:p w14:paraId="413E771D"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 xml:space="preserve">V kontextu výše uvedeného je ale nutno vnímat, že </w:t>
            </w:r>
            <w:r w:rsidRPr="0035187E">
              <w:rPr>
                <w:rFonts w:ascii="Times New Roman" w:hAnsi="Times New Roman" w:cs="Times New Roman"/>
                <w:sz w:val="20"/>
                <w:szCs w:val="20"/>
                <w:u w:val="single"/>
                <w:lang w:eastAsia="en-US"/>
              </w:rPr>
              <w:t>většina provozovatelů lanových drah nabízí v rámci jízdného v daném lyžařském regionu současně i přepravu osob na lyžařských vlecích</w:t>
            </w:r>
            <w:r w:rsidRPr="0035187E">
              <w:rPr>
                <w:rFonts w:ascii="Times New Roman" w:hAnsi="Times New Roman" w:cs="Times New Roman"/>
                <w:sz w:val="20"/>
                <w:szCs w:val="20"/>
                <w:lang w:eastAsia="en-US"/>
              </w:rPr>
              <w:t>, které však do působnosti Zákona o dráhách a výše uvedené vyhlášky o přepravním řádu nespadají. Z uvedeného vyplývá, že</w:t>
            </w:r>
            <w:r w:rsidRPr="0035187E">
              <w:rPr>
                <w:rFonts w:ascii="Times New Roman" w:hAnsi="Times New Roman" w:cs="Times New Roman"/>
                <w:sz w:val="20"/>
                <w:szCs w:val="20"/>
                <w:u w:val="single"/>
                <w:lang w:eastAsia="en-US"/>
              </w:rPr>
              <w:t xml:space="preserve"> tržby z jízdného za přepravu na lanových drahách a prostřednictvím lyžařských vleků by z pohledu zákona o evidenci tržeb měly mít odlišný režim. </w:t>
            </w:r>
            <w:r w:rsidRPr="0035187E">
              <w:rPr>
                <w:rFonts w:ascii="Times New Roman" w:hAnsi="Times New Roman" w:cs="Times New Roman"/>
                <w:sz w:val="20"/>
                <w:szCs w:val="20"/>
                <w:lang w:eastAsia="en-US"/>
              </w:rPr>
              <w:t xml:space="preserve">Tržby za jízdné na lanových drahách a lyžařských vlecích přitom </w:t>
            </w:r>
            <w:r w:rsidRPr="0035187E">
              <w:rPr>
                <w:rFonts w:ascii="Times New Roman" w:hAnsi="Times New Roman" w:cs="Times New Roman"/>
                <w:sz w:val="20"/>
                <w:szCs w:val="20"/>
                <w:u w:val="single"/>
                <w:lang w:eastAsia="en-US"/>
              </w:rPr>
              <w:t xml:space="preserve">v praxi nelze smysluplně a mnohdy ani technicky oddělit, </w:t>
            </w:r>
            <w:r w:rsidRPr="0035187E">
              <w:rPr>
                <w:rFonts w:ascii="Times New Roman" w:hAnsi="Times New Roman" w:cs="Times New Roman"/>
                <w:sz w:val="20"/>
                <w:szCs w:val="20"/>
                <w:lang w:eastAsia="en-US"/>
              </w:rPr>
              <w:t xml:space="preserve">protože jsou nabízeny v rámci jednoho tarifu (např. </w:t>
            </w:r>
            <w:proofErr w:type="gramStart"/>
            <w:r w:rsidRPr="0035187E">
              <w:rPr>
                <w:rFonts w:ascii="Times New Roman" w:hAnsi="Times New Roman" w:cs="Times New Roman"/>
                <w:sz w:val="20"/>
                <w:szCs w:val="20"/>
                <w:lang w:eastAsia="en-US"/>
              </w:rPr>
              <w:t>1-denní</w:t>
            </w:r>
            <w:proofErr w:type="gramEnd"/>
            <w:r w:rsidRPr="0035187E">
              <w:rPr>
                <w:rFonts w:ascii="Times New Roman" w:hAnsi="Times New Roman" w:cs="Times New Roman"/>
                <w:sz w:val="20"/>
                <w:szCs w:val="20"/>
                <w:lang w:eastAsia="en-US"/>
              </w:rPr>
              <w:t xml:space="preserve"> skipas pro celý region s přepravou na lanovkách i lyžařských vlecích). Na trhu sice existují provozovatelé, kteří provozují pouze jeden druh dopravního zařízení – lanové dráhy, nebo lyžařské vleky, kde by podle aktuálního návrhu zákona mohl existovat odlišný režim ve vztahu k povinnosti evidenci tržeb z jízdného, nicméně </w:t>
            </w:r>
            <w:r w:rsidRPr="0035187E">
              <w:rPr>
                <w:rFonts w:ascii="Times New Roman" w:hAnsi="Times New Roman" w:cs="Times New Roman"/>
                <w:sz w:val="20"/>
                <w:szCs w:val="20"/>
                <w:u w:val="single"/>
                <w:lang w:eastAsia="en-US"/>
              </w:rPr>
              <w:t>v drtivé většině případů provozovatelé provozující lanové dráhy nabízejí v rámci jízdného v daném lyžařském regionu současně i přepravu osob na lyžařských vlecích</w:t>
            </w:r>
            <w:r w:rsidRPr="0035187E">
              <w:rPr>
                <w:rFonts w:ascii="Times New Roman" w:hAnsi="Times New Roman" w:cs="Times New Roman"/>
                <w:sz w:val="20"/>
                <w:szCs w:val="20"/>
                <w:lang w:eastAsia="en-US"/>
              </w:rPr>
              <w:t xml:space="preserve">. Proto je pro tyto „kombinované“ tržby z jízdného pro oba uvedené druhy přepravy </w:t>
            </w:r>
            <w:r w:rsidRPr="0035187E">
              <w:rPr>
                <w:rFonts w:ascii="Times New Roman" w:hAnsi="Times New Roman" w:cs="Times New Roman"/>
                <w:sz w:val="20"/>
                <w:szCs w:val="20"/>
                <w:u w:val="single"/>
                <w:lang w:eastAsia="en-US"/>
              </w:rPr>
              <w:t>nutno nastavit v zákoně o evidenci tržeb jeden společný režim</w:t>
            </w:r>
            <w:r w:rsidRPr="0035187E">
              <w:rPr>
                <w:rFonts w:ascii="Times New Roman" w:hAnsi="Times New Roman" w:cs="Times New Roman"/>
                <w:sz w:val="20"/>
                <w:szCs w:val="20"/>
                <w:lang w:eastAsia="en-US"/>
              </w:rPr>
              <w:t>. Celkové tržby v tomto odvětví se přitom pohybují okolo 3 mld. Kč ročně.</w:t>
            </w:r>
          </w:p>
          <w:p w14:paraId="3C2243C9" w14:textId="2F4F02F3"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sz w:val="20"/>
                <w:szCs w:val="20"/>
                <w:lang w:eastAsia="en-US"/>
              </w:rPr>
              <w:t xml:space="preserve">Rozumíme legislativnímu záměru vyloučit z evidence tržeb jízdné placené v dopravních prostředcích při pravidelné hromadné přepravě osob, kde by bylo velmi obtížné dodržet standardy zaváděné v rámci zákona o evidenci tržeb. Jsme ale toho názoru, že </w:t>
            </w:r>
            <w:r w:rsidRPr="0035187E">
              <w:rPr>
                <w:rFonts w:ascii="Times New Roman" w:hAnsi="Times New Roman" w:cs="Times New Roman"/>
                <w:sz w:val="20"/>
                <w:szCs w:val="20"/>
                <w:u w:val="single"/>
                <w:lang w:eastAsia="en-US"/>
              </w:rPr>
              <w:t>prodej jízdného pro dopravu na lanových drahách je realizován v podmínkách, které výjimku z evidence tržeb nevyžadují</w:t>
            </w:r>
            <w:r w:rsidRPr="0035187E">
              <w:rPr>
                <w:rFonts w:ascii="Times New Roman" w:hAnsi="Times New Roman" w:cs="Times New Roman"/>
                <w:sz w:val="20"/>
                <w:szCs w:val="20"/>
                <w:lang w:eastAsia="en-US"/>
              </w:rPr>
              <w:t xml:space="preserve">. Výše navrhovaná úprava znění § 13 zákona by </w:t>
            </w:r>
            <w:r w:rsidRPr="0035187E">
              <w:rPr>
                <w:rFonts w:ascii="Times New Roman" w:hAnsi="Times New Roman" w:cs="Times New Roman"/>
                <w:sz w:val="20"/>
                <w:szCs w:val="20"/>
                <w:u w:val="single"/>
                <w:lang w:eastAsia="en-US"/>
              </w:rPr>
              <w:t>zároveň řešila i problém s výše popsaným odlišným režimem evidence tržeb z jízdného u lyžařských vleků</w:t>
            </w:r>
            <w:r w:rsidRPr="0035187E">
              <w:rPr>
                <w:rFonts w:ascii="Times New Roman" w:hAnsi="Times New Roman" w:cs="Times New Roman"/>
                <w:sz w:val="20"/>
                <w:szCs w:val="20"/>
                <w:lang w:eastAsia="en-US"/>
              </w:rPr>
              <w:t>. Současně pomůže v principu zajistit prostředí s rovnějšími podmínkami pro podnikání.</w:t>
            </w:r>
          </w:p>
        </w:tc>
        <w:tc>
          <w:tcPr>
            <w:tcW w:w="1453" w:type="pct"/>
            <w:tcBorders>
              <w:top w:val="single" w:sz="4" w:space="0" w:color="auto"/>
              <w:left w:val="single" w:sz="4" w:space="0" w:color="auto"/>
              <w:right w:val="single" w:sz="4" w:space="0" w:color="auto"/>
            </w:tcBorders>
            <w:shd w:val="clear" w:color="auto" w:fill="auto"/>
          </w:tcPr>
          <w:p w14:paraId="1813B737" w14:textId="5B3A19EB" w:rsidR="00264F16" w:rsidRPr="0035187E" w:rsidRDefault="00264F16"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Vysvětleno.</w:t>
            </w:r>
          </w:p>
          <w:p w14:paraId="4AD127F3" w14:textId="77777777" w:rsidR="00264F16" w:rsidRPr="0035187E" w:rsidRDefault="00264F16" w:rsidP="0035187E">
            <w:pPr>
              <w:jc w:val="both"/>
              <w:rPr>
                <w:rFonts w:ascii="Times New Roman" w:hAnsi="Times New Roman" w:cs="Times New Roman"/>
                <w:sz w:val="20"/>
                <w:szCs w:val="20"/>
              </w:rPr>
            </w:pPr>
            <w:r w:rsidRPr="0035187E">
              <w:rPr>
                <w:rFonts w:ascii="Times New Roman" w:hAnsi="Times New Roman" w:cs="Times New Roman"/>
                <w:sz w:val="20"/>
                <w:szCs w:val="20"/>
              </w:rPr>
              <w:t>Daná výjimka je limitována, resp. se vztahuje pouze na platby uskutečněné „na palubě/v daném prostředku. Připomínkovým místem navrhované doplnění tedy není nutné. Dle názoru předkladatele není prodej jízdného přímo ve vozidle lanové dráhy běžný a na prodej např. v okénku se výjimka nevztahuje. Upozorňujeme, že dané ustanovení bylo přepracováno na základě připomínky jiného připomínkového místa, nicméně výše uvedené neustále platí.</w:t>
            </w:r>
          </w:p>
          <w:p w14:paraId="58701A6C" w14:textId="77777777" w:rsidR="000D7B67" w:rsidRPr="0035187E" w:rsidRDefault="000D7B67" w:rsidP="0035187E">
            <w:pPr>
              <w:jc w:val="both"/>
              <w:rPr>
                <w:rFonts w:ascii="Times New Roman" w:hAnsi="Times New Roman" w:cs="Times New Roman"/>
                <w:sz w:val="20"/>
                <w:szCs w:val="20"/>
              </w:rPr>
            </w:pPr>
          </w:p>
          <w:p w14:paraId="098F3C61" w14:textId="4B819B8A" w:rsidR="000D7B67" w:rsidRPr="0035187E" w:rsidRDefault="000D7B67" w:rsidP="0035187E">
            <w:pPr>
              <w:jc w:val="both"/>
              <w:rPr>
                <w:rFonts w:ascii="Times New Roman" w:hAnsi="Times New Roman" w:cs="Times New Roman"/>
                <w:iCs/>
                <w:sz w:val="20"/>
                <w:szCs w:val="20"/>
              </w:rPr>
            </w:pPr>
            <w:r w:rsidRPr="0035187E">
              <w:rPr>
                <w:rFonts w:ascii="Times New Roman" w:hAnsi="Times New Roman" w:cs="Times New Roman"/>
                <w:i/>
                <w:sz w:val="20"/>
                <w:szCs w:val="20"/>
              </w:rPr>
              <w:t>Vyjádření připomínkového místa: Souhlasí.</w:t>
            </w:r>
          </w:p>
        </w:tc>
      </w:tr>
      <w:tr w:rsidR="0035187E" w:rsidRPr="0035187E" w14:paraId="05B03A5A"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6F0210A" w14:textId="3F7CF0A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144.</w:t>
            </w:r>
          </w:p>
        </w:tc>
        <w:tc>
          <w:tcPr>
            <w:tcW w:w="583" w:type="pct"/>
            <w:tcBorders>
              <w:top w:val="single" w:sz="4" w:space="0" w:color="auto"/>
              <w:left w:val="single" w:sz="4" w:space="0" w:color="auto"/>
              <w:right w:val="single" w:sz="4" w:space="0" w:color="auto"/>
            </w:tcBorders>
            <w:shd w:val="clear" w:color="auto" w:fill="auto"/>
          </w:tcPr>
          <w:p w14:paraId="4530362E" w14:textId="3728A06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Svaz obchodu a cestovního ruchu České republiky</w:t>
            </w:r>
          </w:p>
        </w:tc>
        <w:tc>
          <w:tcPr>
            <w:tcW w:w="168" w:type="pct"/>
            <w:tcBorders>
              <w:top w:val="single" w:sz="4" w:space="0" w:color="auto"/>
              <w:left w:val="single" w:sz="4" w:space="0" w:color="auto"/>
              <w:right w:val="single" w:sz="4" w:space="0" w:color="auto"/>
            </w:tcBorders>
            <w:shd w:val="clear" w:color="auto" w:fill="auto"/>
          </w:tcPr>
          <w:p w14:paraId="659B495E" w14:textId="1968ED3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9.</w:t>
            </w:r>
          </w:p>
        </w:tc>
        <w:tc>
          <w:tcPr>
            <w:tcW w:w="169" w:type="pct"/>
            <w:tcBorders>
              <w:top w:val="single" w:sz="4" w:space="0" w:color="auto"/>
              <w:left w:val="single" w:sz="4" w:space="0" w:color="auto"/>
              <w:right w:val="single" w:sz="4" w:space="0" w:color="auto"/>
            </w:tcBorders>
            <w:shd w:val="clear" w:color="auto" w:fill="auto"/>
          </w:tcPr>
          <w:p w14:paraId="115A8001" w14:textId="6960AE2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3EF96D6" w14:textId="77777777" w:rsidR="000B4BD4" w:rsidRPr="0035187E" w:rsidRDefault="000B4BD4" w:rsidP="0035187E">
            <w:pPr>
              <w:numPr>
                <w:ilvl w:val="0"/>
                <w:numId w:val="19"/>
              </w:numPr>
              <w:suppressAutoHyphens/>
              <w:ind w:left="0" w:firstLine="0"/>
              <w:contextualSpacing/>
              <w:jc w:val="both"/>
              <w:rPr>
                <w:rFonts w:ascii="Times New Roman" w:hAnsi="Times New Roman" w:cs="Times New Roman"/>
                <w:sz w:val="20"/>
                <w:szCs w:val="20"/>
                <w:lang w:eastAsia="en-US"/>
              </w:rPr>
            </w:pPr>
            <w:r w:rsidRPr="0035187E">
              <w:rPr>
                <w:rFonts w:ascii="Times New Roman" w:hAnsi="Times New Roman" w:cs="Times New Roman"/>
                <w:b/>
                <w:bCs/>
                <w:sz w:val="20"/>
                <w:szCs w:val="20"/>
                <w:lang w:eastAsia="en-US"/>
              </w:rPr>
              <w:t>Minimalizovat datové požadavky – omezit na absolutní minimum</w:t>
            </w:r>
          </w:p>
          <w:p w14:paraId="10600C91" w14:textId="77777777" w:rsidR="000B4BD4" w:rsidRPr="0035187E" w:rsidRDefault="000B4BD4" w:rsidP="0035187E">
            <w:pPr>
              <w:jc w:val="both"/>
              <w:rPr>
                <w:rFonts w:ascii="Times New Roman" w:hAnsi="Times New Roman" w:cs="Times New Roman"/>
                <w:sz w:val="20"/>
                <w:szCs w:val="20"/>
                <w:lang w:eastAsia="en-US"/>
              </w:rPr>
            </w:pPr>
          </w:p>
          <w:p w14:paraId="497A739F" w14:textId="113DF155"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 xml:space="preserve">Materiály MF uvádějí, že EET 2.0 požaduje pouze základní údaje (ID poplatníka, čas, částka…), což je pozitivní. </w:t>
            </w:r>
            <w:hyperlink r:id="rId19" w:history="1">
              <w:r w:rsidRPr="0035187E">
                <w:rPr>
                  <w:rFonts w:ascii="Times New Roman" w:hAnsi="Times New Roman" w:cs="Times New Roman"/>
                  <w:sz w:val="20"/>
                  <w:szCs w:val="20"/>
                  <w:u w:val="single"/>
                  <w:lang w:eastAsia="en-US"/>
                </w:rPr>
                <w:t>[mf.gov.cz]</w:t>
              </w:r>
            </w:hyperlink>
          </w:p>
          <w:p w14:paraId="79B2798B"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V praxi však bývají doplňkové technické parametry rozšiřovány vyhláškou nebo technickými specifikacemi, což dramaticky zvyšuje náklady na implementaci.</w:t>
            </w:r>
          </w:p>
          <w:p w14:paraId="4EF9A021" w14:textId="77777777" w:rsidR="000B4BD4" w:rsidRPr="0035187E" w:rsidRDefault="000B4BD4" w:rsidP="0035187E">
            <w:pPr>
              <w:jc w:val="both"/>
              <w:rPr>
                <w:rFonts w:ascii="Times New Roman" w:hAnsi="Times New Roman" w:cs="Times New Roman"/>
                <w:b/>
                <w:bCs/>
                <w:sz w:val="20"/>
                <w:szCs w:val="20"/>
                <w:lang w:eastAsia="en-US"/>
              </w:rPr>
            </w:pPr>
          </w:p>
          <w:p w14:paraId="4EEDC115" w14:textId="4FCEE37A"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b/>
                <w:bCs/>
                <w:sz w:val="20"/>
                <w:szCs w:val="20"/>
                <w:lang w:eastAsia="en-US"/>
              </w:rPr>
              <w:t>Požadavek:</w:t>
            </w:r>
          </w:p>
          <w:p w14:paraId="12151893"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b/>
                <w:bCs/>
                <w:sz w:val="20"/>
                <w:szCs w:val="20"/>
                <w:lang w:eastAsia="en-US"/>
              </w:rPr>
              <w:t>Zakotvit přímo v zákoně přísnou datovou minimalizaci.</w:t>
            </w:r>
          </w:p>
          <w:p w14:paraId="57ED6C92" w14:textId="78D33A2D"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bCs/>
                <w:sz w:val="20"/>
                <w:szCs w:val="20"/>
                <w:lang w:eastAsia="en-US"/>
              </w:rPr>
              <w:t>Zabránit možnosti dodatečného rozšiřování dat technickým předpisem.</w:t>
            </w:r>
          </w:p>
        </w:tc>
        <w:tc>
          <w:tcPr>
            <w:tcW w:w="1453" w:type="pct"/>
            <w:tcBorders>
              <w:top w:val="single" w:sz="4" w:space="0" w:color="auto"/>
              <w:left w:val="single" w:sz="4" w:space="0" w:color="auto"/>
              <w:right w:val="single" w:sz="4" w:space="0" w:color="auto"/>
            </w:tcBorders>
            <w:shd w:val="clear" w:color="auto" w:fill="auto"/>
          </w:tcPr>
          <w:p w14:paraId="4CD5260E" w14:textId="77777777" w:rsidR="00253B70" w:rsidRPr="0035187E" w:rsidRDefault="00253B70"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Vysvětleno.</w:t>
            </w:r>
          </w:p>
          <w:p w14:paraId="488E8BEE" w14:textId="77777777" w:rsidR="000B4BD4" w:rsidRPr="0035187E" w:rsidRDefault="00253B70"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Změny formou podzákonného právního předpisu návrh zákona nepředpokládá a ztotožňuje se v tomto ohledu s postojem připomínkového místa. K vydání vyhlášky by bylo nutné výslovné zmocnění zákona. Pro </w:t>
            </w:r>
            <w:r w:rsidRPr="0035187E">
              <w:rPr>
                <w:rFonts w:ascii="Times New Roman" w:hAnsi="Times New Roman" w:cs="Times New Roman"/>
                <w:sz w:val="20"/>
                <w:szCs w:val="20"/>
              </w:rPr>
              <w:lastRenderedPageBreak/>
              <w:t xml:space="preserve">nařízení vlády pak platí limity, které ve svém nálezu vytýčil Ústavní soud (viz </w:t>
            </w:r>
            <w:proofErr w:type="spellStart"/>
            <w:r w:rsidRPr="0035187E">
              <w:rPr>
                <w:rFonts w:ascii="Times New Roman" w:hAnsi="Times New Roman" w:cs="Times New Roman"/>
                <w:sz w:val="20"/>
                <w:szCs w:val="20"/>
              </w:rPr>
              <w:t>Pl</w:t>
            </w:r>
            <w:proofErr w:type="spellEnd"/>
            <w:r w:rsidRPr="0035187E">
              <w:rPr>
                <w:rFonts w:ascii="Times New Roman" w:hAnsi="Times New Roman" w:cs="Times New Roman"/>
                <w:sz w:val="20"/>
                <w:szCs w:val="20"/>
              </w:rPr>
              <w:t>. ÚS 26/16).</w:t>
            </w:r>
          </w:p>
          <w:p w14:paraId="7C7E2BDA" w14:textId="77777777" w:rsidR="000D7B67" w:rsidRPr="0035187E" w:rsidRDefault="000D7B67" w:rsidP="0035187E">
            <w:pPr>
              <w:jc w:val="both"/>
              <w:rPr>
                <w:rFonts w:ascii="Times New Roman" w:hAnsi="Times New Roman" w:cs="Times New Roman"/>
                <w:sz w:val="20"/>
                <w:szCs w:val="20"/>
              </w:rPr>
            </w:pPr>
          </w:p>
          <w:p w14:paraId="4A6AFE72" w14:textId="2951069A" w:rsidR="000D7B67" w:rsidRPr="0035187E" w:rsidRDefault="000D7B67" w:rsidP="0035187E">
            <w:pPr>
              <w:jc w:val="both"/>
              <w:rPr>
                <w:rFonts w:ascii="Times New Roman" w:hAnsi="Times New Roman" w:cs="Times New Roman"/>
                <w:iCs/>
                <w:sz w:val="20"/>
                <w:szCs w:val="20"/>
              </w:rPr>
            </w:pPr>
            <w:r w:rsidRPr="0035187E">
              <w:rPr>
                <w:rFonts w:ascii="Times New Roman" w:hAnsi="Times New Roman" w:cs="Times New Roman"/>
                <w:i/>
                <w:sz w:val="20"/>
                <w:szCs w:val="20"/>
              </w:rPr>
              <w:t>Vyjádření připomínkového místa: Souhlasí.</w:t>
            </w:r>
          </w:p>
        </w:tc>
      </w:tr>
      <w:tr w:rsidR="0035187E" w:rsidRPr="0035187E" w14:paraId="19C3F38D"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4BB477D" w14:textId="2C9EDE5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144.</w:t>
            </w:r>
          </w:p>
        </w:tc>
        <w:tc>
          <w:tcPr>
            <w:tcW w:w="583" w:type="pct"/>
            <w:tcBorders>
              <w:top w:val="single" w:sz="4" w:space="0" w:color="auto"/>
              <w:left w:val="single" w:sz="4" w:space="0" w:color="auto"/>
              <w:right w:val="single" w:sz="4" w:space="0" w:color="auto"/>
            </w:tcBorders>
            <w:shd w:val="clear" w:color="auto" w:fill="auto"/>
          </w:tcPr>
          <w:p w14:paraId="2FB27A7A" w14:textId="65C5B08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Svaz obchodu a cestovního ruchu České republiky</w:t>
            </w:r>
          </w:p>
        </w:tc>
        <w:tc>
          <w:tcPr>
            <w:tcW w:w="168" w:type="pct"/>
            <w:tcBorders>
              <w:top w:val="single" w:sz="4" w:space="0" w:color="auto"/>
              <w:left w:val="single" w:sz="4" w:space="0" w:color="auto"/>
              <w:right w:val="single" w:sz="4" w:space="0" w:color="auto"/>
            </w:tcBorders>
            <w:shd w:val="clear" w:color="auto" w:fill="auto"/>
          </w:tcPr>
          <w:p w14:paraId="6D115BA8" w14:textId="1B765CA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10.</w:t>
            </w:r>
          </w:p>
        </w:tc>
        <w:tc>
          <w:tcPr>
            <w:tcW w:w="169" w:type="pct"/>
            <w:tcBorders>
              <w:top w:val="single" w:sz="4" w:space="0" w:color="auto"/>
              <w:left w:val="single" w:sz="4" w:space="0" w:color="auto"/>
              <w:right w:val="single" w:sz="4" w:space="0" w:color="auto"/>
            </w:tcBorders>
            <w:shd w:val="clear" w:color="auto" w:fill="auto"/>
          </w:tcPr>
          <w:p w14:paraId="4DF624DB" w14:textId="26CC794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9DABBD2" w14:textId="2BB2576E" w:rsidR="000B4BD4" w:rsidRPr="0035187E" w:rsidRDefault="000B4BD4" w:rsidP="0035187E">
            <w:pPr>
              <w:numPr>
                <w:ilvl w:val="0"/>
                <w:numId w:val="19"/>
              </w:numPr>
              <w:suppressAutoHyphens/>
              <w:ind w:left="0" w:firstLine="0"/>
              <w:contextualSpacing/>
              <w:jc w:val="both"/>
              <w:rPr>
                <w:rFonts w:ascii="Times New Roman" w:hAnsi="Times New Roman" w:cs="Times New Roman"/>
                <w:sz w:val="20"/>
                <w:szCs w:val="20"/>
                <w:lang w:eastAsia="en-US"/>
              </w:rPr>
            </w:pPr>
            <w:r w:rsidRPr="0035187E">
              <w:rPr>
                <w:rFonts w:ascii="Times New Roman" w:hAnsi="Times New Roman" w:cs="Times New Roman"/>
                <w:b/>
                <w:bCs/>
                <w:sz w:val="20"/>
                <w:szCs w:val="20"/>
                <w:lang w:eastAsia="en-US"/>
              </w:rPr>
              <w:t>Navrhnout zjednodušenou evidenci v případě výpadku infrastruktury</w:t>
            </w:r>
          </w:p>
          <w:p w14:paraId="73D0D85F" w14:textId="77777777" w:rsidR="000B4BD4" w:rsidRPr="0035187E" w:rsidRDefault="000B4BD4" w:rsidP="0035187E">
            <w:pPr>
              <w:suppressAutoHyphens/>
              <w:contextualSpacing/>
              <w:jc w:val="both"/>
              <w:rPr>
                <w:rFonts w:ascii="Times New Roman" w:hAnsi="Times New Roman" w:cs="Times New Roman"/>
                <w:sz w:val="20"/>
                <w:szCs w:val="20"/>
                <w:lang w:eastAsia="en-US"/>
              </w:rPr>
            </w:pPr>
          </w:p>
          <w:p w14:paraId="47642900"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Velké sítě mají:</w:t>
            </w:r>
          </w:p>
          <w:p w14:paraId="6885CA4D" w14:textId="77777777" w:rsidR="000B4BD4" w:rsidRPr="0035187E" w:rsidRDefault="000B4BD4" w:rsidP="0035187E">
            <w:pPr>
              <w:numPr>
                <w:ilvl w:val="0"/>
                <w:numId w:val="20"/>
              </w:numPr>
              <w:tabs>
                <w:tab w:val="clear" w:pos="720"/>
                <w:tab w:val="num" w:pos="245"/>
              </w:tabs>
              <w:suppressAutoHyphens/>
              <w:ind w:left="0" w:firstLine="0"/>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lokální výpadky internetu,</w:t>
            </w:r>
          </w:p>
          <w:p w14:paraId="6FAEDBFD" w14:textId="77777777" w:rsidR="000B4BD4" w:rsidRPr="0035187E" w:rsidRDefault="000B4BD4" w:rsidP="0035187E">
            <w:pPr>
              <w:numPr>
                <w:ilvl w:val="0"/>
                <w:numId w:val="20"/>
              </w:numPr>
              <w:tabs>
                <w:tab w:val="clear" w:pos="720"/>
                <w:tab w:val="num" w:pos="245"/>
              </w:tabs>
              <w:suppressAutoHyphens/>
              <w:ind w:left="0" w:firstLine="0"/>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výpadky WAN,</w:t>
            </w:r>
          </w:p>
          <w:p w14:paraId="223A67F5" w14:textId="77777777" w:rsidR="000B4BD4" w:rsidRPr="0035187E" w:rsidRDefault="000B4BD4" w:rsidP="0035187E">
            <w:pPr>
              <w:numPr>
                <w:ilvl w:val="0"/>
                <w:numId w:val="20"/>
              </w:numPr>
              <w:tabs>
                <w:tab w:val="clear" w:pos="720"/>
                <w:tab w:val="num" w:pos="245"/>
              </w:tabs>
              <w:suppressAutoHyphens/>
              <w:ind w:left="0" w:firstLine="0"/>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upgrade pokladního software.</w:t>
            </w:r>
          </w:p>
          <w:p w14:paraId="35B2DCF9" w14:textId="77777777" w:rsidR="000B4BD4" w:rsidRPr="0035187E" w:rsidRDefault="000B4BD4" w:rsidP="0035187E">
            <w:pPr>
              <w:jc w:val="both"/>
              <w:rPr>
                <w:rFonts w:ascii="Times New Roman" w:hAnsi="Times New Roman" w:cs="Times New Roman"/>
                <w:b/>
                <w:bCs/>
                <w:sz w:val="20"/>
                <w:szCs w:val="20"/>
                <w:lang w:eastAsia="en-US"/>
              </w:rPr>
            </w:pPr>
          </w:p>
          <w:p w14:paraId="29D4146D"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b/>
                <w:bCs/>
                <w:sz w:val="20"/>
                <w:szCs w:val="20"/>
                <w:lang w:eastAsia="en-US"/>
              </w:rPr>
              <w:t>Požadavek:</w:t>
            </w:r>
          </w:p>
          <w:p w14:paraId="48205684"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b/>
                <w:bCs/>
                <w:sz w:val="20"/>
                <w:szCs w:val="20"/>
                <w:lang w:eastAsia="en-US"/>
              </w:rPr>
              <w:t xml:space="preserve">Definovat rozšířený </w:t>
            </w:r>
            <w:proofErr w:type="spellStart"/>
            <w:r w:rsidRPr="0035187E">
              <w:rPr>
                <w:rFonts w:ascii="Times New Roman" w:hAnsi="Times New Roman" w:cs="Times New Roman"/>
                <w:b/>
                <w:bCs/>
                <w:sz w:val="20"/>
                <w:szCs w:val="20"/>
                <w:lang w:eastAsia="en-US"/>
              </w:rPr>
              <w:t>offline</w:t>
            </w:r>
            <w:proofErr w:type="spellEnd"/>
            <w:r w:rsidRPr="0035187E">
              <w:rPr>
                <w:rFonts w:ascii="Times New Roman" w:hAnsi="Times New Roman" w:cs="Times New Roman"/>
                <w:b/>
                <w:bCs/>
                <w:sz w:val="20"/>
                <w:szCs w:val="20"/>
                <w:lang w:eastAsia="en-US"/>
              </w:rPr>
              <w:t xml:space="preserve"> režim až 72 hodin</w:t>
            </w:r>
            <w:r w:rsidRPr="0035187E">
              <w:rPr>
                <w:rFonts w:ascii="Times New Roman" w:hAnsi="Times New Roman" w:cs="Times New Roman"/>
                <w:sz w:val="20"/>
                <w:szCs w:val="20"/>
                <w:lang w:eastAsia="en-US"/>
              </w:rPr>
              <w:t> – podobně jako dříve.</w:t>
            </w:r>
          </w:p>
          <w:p w14:paraId="76F0C3E4" w14:textId="5026713B"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b/>
                <w:bCs/>
                <w:sz w:val="20"/>
                <w:szCs w:val="20"/>
                <w:lang w:eastAsia="en-US"/>
              </w:rPr>
              <w:t>Povolit hromadné zaslání transakcí po obnovení spojení.</w:t>
            </w:r>
          </w:p>
        </w:tc>
        <w:tc>
          <w:tcPr>
            <w:tcW w:w="1453" w:type="pct"/>
            <w:tcBorders>
              <w:top w:val="single" w:sz="4" w:space="0" w:color="auto"/>
              <w:left w:val="single" w:sz="4" w:space="0" w:color="auto"/>
              <w:right w:val="single" w:sz="4" w:space="0" w:color="auto"/>
            </w:tcBorders>
            <w:shd w:val="clear" w:color="auto" w:fill="auto"/>
          </w:tcPr>
          <w:p w14:paraId="411EEC55" w14:textId="77777777" w:rsidR="000B4BD4" w:rsidRPr="0035187E" w:rsidRDefault="009B319F" w:rsidP="0035187E">
            <w:pPr>
              <w:jc w:val="both"/>
              <w:rPr>
                <w:rFonts w:ascii="Times New Roman" w:hAnsi="Times New Roman" w:cs="Times New Roman"/>
                <w:b/>
                <w:sz w:val="20"/>
                <w:szCs w:val="20"/>
              </w:rPr>
            </w:pPr>
            <w:r w:rsidRPr="0035187E">
              <w:rPr>
                <w:rFonts w:ascii="Times New Roman" w:hAnsi="Times New Roman" w:cs="Times New Roman"/>
                <w:b/>
                <w:sz w:val="20"/>
                <w:szCs w:val="20"/>
              </w:rPr>
              <w:t>Nevyhověno.</w:t>
            </w:r>
          </w:p>
          <w:p w14:paraId="07943BD1" w14:textId="1D28E62E" w:rsidR="002D67FF" w:rsidRPr="0035187E" w:rsidRDefault="002D67FF" w:rsidP="0035187E">
            <w:pPr>
              <w:jc w:val="both"/>
              <w:rPr>
                <w:rFonts w:ascii="Times New Roman" w:hAnsi="Times New Roman" w:cs="Times New Roman"/>
                <w:sz w:val="20"/>
                <w:szCs w:val="20"/>
              </w:rPr>
            </w:pPr>
            <w:r w:rsidRPr="0035187E">
              <w:rPr>
                <w:rFonts w:ascii="Times New Roman" w:hAnsi="Times New Roman" w:cs="Times New Roman"/>
                <w:sz w:val="20"/>
                <w:szCs w:val="20"/>
              </w:rPr>
              <w:t>Institut zjednodušené evidence se v systému EET 2.0 nepředpokládá. K problematice výpadků viz vypořádání konkrétních návrhů pro tuto oblast. Mimořádné události, které by znamenaly dlouhodobý výpadek objektivně znemožňující evidování tržeb, zpravidla naplní podmínky pro liberaci z případné sankce (její neuložení).</w:t>
            </w:r>
          </w:p>
          <w:p w14:paraId="0CFAF2C9" w14:textId="55FA8A30" w:rsidR="009B319F" w:rsidRPr="0035187E" w:rsidRDefault="002D67FF" w:rsidP="0035187E">
            <w:pPr>
              <w:jc w:val="both"/>
              <w:rPr>
                <w:rFonts w:ascii="Times New Roman" w:hAnsi="Times New Roman" w:cs="Times New Roman"/>
                <w:b/>
                <w:sz w:val="20"/>
                <w:szCs w:val="20"/>
              </w:rPr>
            </w:pPr>
            <w:r w:rsidRPr="0035187E">
              <w:rPr>
                <w:rFonts w:ascii="Times New Roman" w:hAnsi="Times New Roman" w:cs="Times New Roman"/>
                <w:b/>
                <w:sz w:val="20"/>
                <w:szCs w:val="20"/>
              </w:rPr>
              <w:t>Vysvětleno.</w:t>
            </w:r>
          </w:p>
          <w:p w14:paraId="2CD6D4B0" w14:textId="77777777" w:rsidR="009B319F" w:rsidRPr="0035187E" w:rsidRDefault="009B319F"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Hromadné zasílání transakcí je implicitně předpokládáno, ovšem vždy při zachování původní </w:t>
            </w:r>
            <w:proofErr w:type="spellStart"/>
            <w:r w:rsidR="00F034A2" w:rsidRPr="0035187E">
              <w:rPr>
                <w:rFonts w:ascii="Times New Roman" w:hAnsi="Times New Roman" w:cs="Times New Roman"/>
                <w:sz w:val="20"/>
                <w:szCs w:val="20"/>
              </w:rPr>
              <w:t>granularity</w:t>
            </w:r>
            <w:proofErr w:type="spellEnd"/>
            <w:r w:rsidRPr="0035187E">
              <w:rPr>
                <w:rFonts w:ascii="Times New Roman" w:hAnsi="Times New Roman" w:cs="Times New Roman"/>
                <w:sz w:val="20"/>
                <w:szCs w:val="20"/>
              </w:rPr>
              <w:t xml:space="preserve"> údajů.</w:t>
            </w:r>
          </w:p>
          <w:p w14:paraId="42D4C216" w14:textId="77777777" w:rsidR="000D7B67" w:rsidRPr="0035187E" w:rsidRDefault="000D7B67" w:rsidP="0035187E">
            <w:pPr>
              <w:jc w:val="both"/>
              <w:rPr>
                <w:rFonts w:ascii="Times New Roman" w:hAnsi="Times New Roman" w:cs="Times New Roman"/>
                <w:sz w:val="20"/>
                <w:szCs w:val="20"/>
              </w:rPr>
            </w:pPr>
          </w:p>
          <w:p w14:paraId="0D97F5F8" w14:textId="79581DF5" w:rsidR="000D7B67" w:rsidRPr="0035187E" w:rsidRDefault="000D7B67"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Vyjádření připomínkového místa:</w:t>
            </w:r>
            <w:r w:rsidRPr="0035187E">
              <w:rPr>
                <w:rFonts w:ascii="Segoe UI" w:hAnsi="Segoe UI" w:cs="Segoe UI"/>
                <w:i/>
                <w:iCs/>
                <w:sz w:val="18"/>
                <w:szCs w:val="18"/>
              </w:rPr>
              <w:t xml:space="preserve"> B</w:t>
            </w:r>
            <w:r w:rsidRPr="0035187E">
              <w:rPr>
                <w:rFonts w:ascii="Times New Roman" w:hAnsi="Times New Roman" w:cs="Times New Roman"/>
                <w:i/>
                <w:iCs/>
                <w:sz w:val="20"/>
                <w:szCs w:val="20"/>
              </w:rPr>
              <w:t xml:space="preserve">ere na vědomí a prosí o doplnění do důvodové zprávy. </w:t>
            </w:r>
          </w:p>
        </w:tc>
      </w:tr>
      <w:tr w:rsidR="0035187E" w:rsidRPr="0035187E" w14:paraId="2CD5B6DB"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0D633481" w14:textId="6C116EC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144.</w:t>
            </w:r>
          </w:p>
        </w:tc>
        <w:tc>
          <w:tcPr>
            <w:tcW w:w="583" w:type="pct"/>
            <w:tcBorders>
              <w:top w:val="single" w:sz="4" w:space="0" w:color="auto"/>
              <w:left w:val="single" w:sz="4" w:space="0" w:color="auto"/>
              <w:right w:val="single" w:sz="4" w:space="0" w:color="auto"/>
            </w:tcBorders>
            <w:shd w:val="clear" w:color="auto" w:fill="auto"/>
          </w:tcPr>
          <w:p w14:paraId="31E1E8E5" w14:textId="73D486C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Svaz obchodu a cestovního ruchu České republiky</w:t>
            </w:r>
          </w:p>
        </w:tc>
        <w:tc>
          <w:tcPr>
            <w:tcW w:w="168" w:type="pct"/>
            <w:tcBorders>
              <w:top w:val="single" w:sz="4" w:space="0" w:color="auto"/>
              <w:left w:val="single" w:sz="4" w:space="0" w:color="auto"/>
              <w:right w:val="single" w:sz="4" w:space="0" w:color="auto"/>
            </w:tcBorders>
            <w:shd w:val="clear" w:color="auto" w:fill="auto"/>
          </w:tcPr>
          <w:p w14:paraId="42B05D3A" w14:textId="51C41E8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11.</w:t>
            </w:r>
          </w:p>
        </w:tc>
        <w:tc>
          <w:tcPr>
            <w:tcW w:w="169" w:type="pct"/>
            <w:tcBorders>
              <w:top w:val="single" w:sz="4" w:space="0" w:color="auto"/>
              <w:left w:val="single" w:sz="4" w:space="0" w:color="auto"/>
              <w:right w:val="single" w:sz="4" w:space="0" w:color="auto"/>
            </w:tcBorders>
            <w:shd w:val="clear" w:color="auto" w:fill="auto"/>
          </w:tcPr>
          <w:p w14:paraId="02F55137" w14:textId="6BD47DA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31AFCDE" w14:textId="77777777" w:rsidR="000B4BD4" w:rsidRPr="0035187E" w:rsidRDefault="000B4BD4" w:rsidP="0035187E">
            <w:pPr>
              <w:numPr>
                <w:ilvl w:val="0"/>
                <w:numId w:val="19"/>
              </w:numPr>
              <w:suppressAutoHyphens/>
              <w:ind w:left="0" w:firstLine="0"/>
              <w:contextualSpacing/>
              <w:jc w:val="both"/>
              <w:rPr>
                <w:rFonts w:ascii="Times New Roman" w:hAnsi="Times New Roman" w:cs="Times New Roman"/>
                <w:b/>
                <w:bCs/>
                <w:sz w:val="20"/>
                <w:szCs w:val="20"/>
                <w:lang w:eastAsia="en-US"/>
              </w:rPr>
            </w:pPr>
            <w:r w:rsidRPr="0035187E">
              <w:rPr>
                <w:rFonts w:ascii="Times New Roman" w:hAnsi="Times New Roman" w:cs="Times New Roman"/>
                <w:b/>
                <w:bCs/>
                <w:sz w:val="20"/>
                <w:szCs w:val="20"/>
                <w:lang w:eastAsia="en-US"/>
              </w:rPr>
              <w:t>Navrhujeme sjednocení DPH na nealkoholické nápoje v gastronomii i v obchodě, tedy na 12 %. </w:t>
            </w:r>
          </w:p>
          <w:p w14:paraId="675AE791" w14:textId="77777777" w:rsidR="000B4BD4" w:rsidRPr="0035187E" w:rsidRDefault="000B4BD4" w:rsidP="0035187E">
            <w:pPr>
              <w:jc w:val="both"/>
              <w:rPr>
                <w:rFonts w:ascii="Times New Roman" w:hAnsi="Times New Roman" w:cs="Times New Roman"/>
                <w:sz w:val="20"/>
                <w:szCs w:val="20"/>
                <w:lang w:eastAsia="en-US"/>
              </w:rPr>
            </w:pPr>
          </w:p>
          <w:p w14:paraId="183967FA" w14:textId="73DC594D"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sz w:val="20"/>
                <w:szCs w:val="20"/>
                <w:lang w:eastAsia="en-US"/>
              </w:rPr>
              <w:t>Navrhujeme narovnání DPH na nealkoholické nápoje s DPH na potraviny ve výši 12 %. Přesun zdanění nealkoholických nápojů do nejvyšší sazby 21 % v lednu 2024 byl naprosto nesystémový přístup, způsobující podnikatelům zbytečnou administrativní komplikaci. Pro zjednodušení daňových pravidel proto navrhujeme, aby se DPH ve výši 12 % aplikovala na nealkoholické nápoje nejen v gastro provozech, ale také v obchodech. </w:t>
            </w:r>
          </w:p>
        </w:tc>
        <w:tc>
          <w:tcPr>
            <w:tcW w:w="1453" w:type="pct"/>
            <w:tcBorders>
              <w:top w:val="single" w:sz="4" w:space="0" w:color="auto"/>
              <w:left w:val="single" w:sz="4" w:space="0" w:color="auto"/>
              <w:right w:val="single" w:sz="4" w:space="0" w:color="auto"/>
            </w:tcBorders>
            <w:shd w:val="clear" w:color="auto" w:fill="auto"/>
          </w:tcPr>
          <w:p w14:paraId="346A584D"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Nevyhověno.</w:t>
            </w:r>
          </w:p>
          <w:p w14:paraId="1214D22D"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Podnět přesahuje rámec navrhované úpravy zákona o evidenci tržeb.</w:t>
            </w:r>
          </w:p>
          <w:p w14:paraId="4FE704A4" w14:textId="77777777" w:rsidR="000D7B67" w:rsidRPr="0035187E" w:rsidRDefault="000D7B67" w:rsidP="0035187E">
            <w:pPr>
              <w:jc w:val="both"/>
              <w:rPr>
                <w:rFonts w:ascii="Times New Roman" w:hAnsi="Times New Roman" w:cs="Times New Roman"/>
                <w:sz w:val="20"/>
                <w:szCs w:val="20"/>
              </w:rPr>
            </w:pPr>
          </w:p>
          <w:p w14:paraId="6D568FC0" w14:textId="277F769C" w:rsidR="000B4BD4" w:rsidRPr="0035187E" w:rsidRDefault="000D7B67" w:rsidP="0035187E">
            <w:pPr>
              <w:jc w:val="both"/>
              <w:rPr>
                <w:rFonts w:ascii="Times New Roman" w:hAnsi="Times New Roman" w:cs="Times New Roman"/>
                <w:b/>
                <w:bCs/>
                <w:sz w:val="20"/>
                <w:szCs w:val="20"/>
              </w:rPr>
            </w:pPr>
            <w:r w:rsidRPr="0035187E">
              <w:rPr>
                <w:rFonts w:ascii="Times New Roman" w:hAnsi="Times New Roman" w:cs="Times New Roman"/>
                <w:i/>
                <w:iCs/>
                <w:sz w:val="20"/>
                <w:szCs w:val="20"/>
              </w:rPr>
              <w:t>Vyjádření připomínkového místa:</w:t>
            </w:r>
            <w:r w:rsidRPr="0035187E">
              <w:rPr>
                <w:rFonts w:ascii="Segoe UI" w:hAnsi="Segoe UI" w:cs="Segoe UI"/>
                <w:i/>
                <w:iCs/>
                <w:sz w:val="18"/>
                <w:szCs w:val="18"/>
              </w:rPr>
              <w:t xml:space="preserve"> </w:t>
            </w:r>
            <w:r w:rsidRPr="0035187E">
              <w:rPr>
                <w:rFonts w:ascii="Times New Roman" w:hAnsi="Times New Roman" w:cs="Times New Roman"/>
                <w:i/>
                <w:iCs/>
                <w:sz w:val="20"/>
                <w:szCs w:val="20"/>
              </w:rPr>
              <w:t>I přes nesouhlas se zdůvodněním (novela výslovně mění sazbu DPH u nápojů a zavádí v rozporu se směrnicí nerovné zacházení se stejným produktem) se bere na vědomí</w:t>
            </w:r>
            <w:r w:rsidRPr="0035187E">
              <w:rPr>
                <w:rFonts w:ascii="Times New Roman" w:hAnsi="Times New Roman" w:cs="Times New Roman"/>
                <w:sz w:val="20"/>
                <w:szCs w:val="20"/>
              </w:rPr>
              <w:t>.</w:t>
            </w:r>
          </w:p>
        </w:tc>
      </w:tr>
      <w:tr w:rsidR="0035187E" w:rsidRPr="0035187E" w14:paraId="0D2275DB"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4F933FCB" w14:textId="3B44B96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144.</w:t>
            </w:r>
          </w:p>
        </w:tc>
        <w:tc>
          <w:tcPr>
            <w:tcW w:w="583" w:type="pct"/>
            <w:tcBorders>
              <w:top w:val="single" w:sz="4" w:space="0" w:color="auto"/>
              <w:left w:val="single" w:sz="4" w:space="0" w:color="auto"/>
              <w:right w:val="single" w:sz="4" w:space="0" w:color="auto"/>
            </w:tcBorders>
            <w:shd w:val="clear" w:color="auto" w:fill="auto"/>
          </w:tcPr>
          <w:p w14:paraId="5F031ED8" w14:textId="56893DD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Svaz obchodu a cestovního ruchu České republiky</w:t>
            </w:r>
          </w:p>
        </w:tc>
        <w:tc>
          <w:tcPr>
            <w:tcW w:w="168" w:type="pct"/>
            <w:tcBorders>
              <w:top w:val="single" w:sz="4" w:space="0" w:color="auto"/>
              <w:left w:val="single" w:sz="4" w:space="0" w:color="auto"/>
              <w:right w:val="single" w:sz="4" w:space="0" w:color="auto"/>
            </w:tcBorders>
            <w:shd w:val="clear" w:color="auto" w:fill="auto"/>
          </w:tcPr>
          <w:p w14:paraId="15C324FB" w14:textId="68C943B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12.</w:t>
            </w:r>
          </w:p>
        </w:tc>
        <w:tc>
          <w:tcPr>
            <w:tcW w:w="169" w:type="pct"/>
            <w:tcBorders>
              <w:top w:val="single" w:sz="4" w:space="0" w:color="auto"/>
              <w:left w:val="single" w:sz="4" w:space="0" w:color="auto"/>
              <w:right w:val="single" w:sz="4" w:space="0" w:color="auto"/>
            </w:tcBorders>
            <w:shd w:val="clear" w:color="auto" w:fill="auto"/>
          </w:tcPr>
          <w:p w14:paraId="7A6E62DC" w14:textId="0C3783F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7D37C2B" w14:textId="32F1D1E6" w:rsidR="000B4BD4" w:rsidRPr="0035187E" w:rsidRDefault="000B4BD4" w:rsidP="0035187E">
            <w:pPr>
              <w:numPr>
                <w:ilvl w:val="0"/>
                <w:numId w:val="19"/>
              </w:numPr>
              <w:suppressAutoHyphens/>
              <w:ind w:left="0" w:firstLine="0"/>
              <w:contextualSpacing/>
              <w:jc w:val="both"/>
              <w:rPr>
                <w:rFonts w:ascii="Times New Roman" w:hAnsi="Times New Roman" w:cs="Times New Roman"/>
                <w:b/>
                <w:sz w:val="20"/>
                <w:szCs w:val="20"/>
              </w:rPr>
            </w:pPr>
            <w:r w:rsidRPr="0035187E">
              <w:rPr>
                <w:rFonts w:ascii="Times New Roman" w:hAnsi="Times New Roman" w:cs="Times New Roman"/>
                <w:b/>
                <w:bCs/>
                <w:sz w:val="20"/>
                <w:szCs w:val="20"/>
                <w:lang w:eastAsia="en-US"/>
              </w:rPr>
              <w:t xml:space="preserve">Požadavek na pilotní testování propojení pokladních systémů s finanční správou, zveřejnit metodologii do července a piloty v období září-říjen </w:t>
            </w:r>
          </w:p>
        </w:tc>
        <w:tc>
          <w:tcPr>
            <w:tcW w:w="1453" w:type="pct"/>
            <w:tcBorders>
              <w:top w:val="single" w:sz="4" w:space="0" w:color="auto"/>
              <w:left w:val="single" w:sz="4" w:space="0" w:color="auto"/>
              <w:right w:val="single" w:sz="4" w:space="0" w:color="auto"/>
            </w:tcBorders>
            <w:shd w:val="clear" w:color="auto" w:fill="auto"/>
          </w:tcPr>
          <w:p w14:paraId="4D8DD479" w14:textId="6770D080" w:rsidR="009B319F" w:rsidRPr="0035187E" w:rsidRDefault="009B319F"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Vysvětleno.</w:t>
            </w:r>
          </w:p>
          <w:p w14:paraId="6B85FBAB" w14:textId="77777777" w:rsidR="000B4BD4" w:rsidRPr="0035187E" w:rsidRDefault="009B319F" w:rsidP="0035187E">
            <w:pPr>
              <w:jc w:val="both"/>
              <w:rPr>
                <w:rFonts w:ascii="Times New Roman" w:hAnsi="Times New Roman" w:cs="Times New Roman"/>
                <w:bCs/>
                <w:sz w:val="20"/>
                <w:szCs w:val="20"/>
              </w:rPr>
            </w:pPr>
            <w:r w:rsidRPr="0035187E">
              <w:rPr>
                <w:rFonts w:ascii="Times New Roman" w:hAnsi="Times New Roman" w:cs="Times New Roman"/>
                <w:bCs/>
                <w:sz w:val="20"/>
                <w:szCs w:val="20"/>
              </w:rPr>
              <w:t xml:space="preserve">S včasným zveřejněním technické specifikace s podrobným popisem a související metodikou se počítá. Na červenec roku 2026 se připravuje spuštění tzv. </w:t>
            </w:r>
            <w:proofErr w:type="spellStart"/>
            <w:r w:rsidRPr="0035187E">
              <w:rPr>
                <w:rFonts w:ascii="Times New Roman" w:hAnsi="Times New Roman" w:cs="Times New Roman"/>
                <w:bCs/>
                <w:sz w:val="20"/>
                <w:szCs w:val="20"/>
              </w:rPr>
              <w:t>playground</w:t>
            </w:r>
            <w:proofErr w:type="spellEnd"/>
            <w:r w:rsidRPr="0035187E">
              <w:rPr>
                <w:rFonts w:ascii="Times New Roman" w:hAnsi="Times New Roman" w:cs="Times New Roman"/>
                <w:bCs/>
                <w:sz w:val="20"/>
                <w:szCs w:val="20"/>
              </w:rPr>
              <w:t xml:space="preserve"> jako nástroje pro otestování integrace na EET 2.0. Tomuto spuštění by měla s dostatečným předstihem předcházet zveřejnění technické specifikace EET 2.0. Počítá se i s komplexní metodikou, a to včetně řešení specifických obchodních modelů apod.</w:t>
            </w:r>
          </w:p>
          <w:p w14:paraId="4BC84C48" w14:textId="77777777" w:rsidR="000D7B67" w:rsidRPr="0035187E" w:rsidRDefault="000D7B67" w:rsidP="0035187E">
            <w:pPr>
              <w:jc w:val="both"/>
              <w:rPr>
                <w:rFonts w:ascii="Times New Roman" w:hAnsi="Times New Roman" w:cs="Times New Roman"/>
                <w:bCs/>
                <w:sz w:val="20"/>
                <w:szCs w:val="20"/>
              </w:rPr>
            </w:pPr>
          </w:p>
          <w:p w14:paraId="074F6D58" w14:textId="66BAC305" w:rsidR="000D7B67" w:rsidRPr="0035187E" w:rsidRDefault="000D7B67" w:rsidP="0035187E">
            <w:pPr>
              <w:jc w:val="both"/>
              <w:rPr>
                <w:rFonts w:ascii="Times New Roman" w:hAnsi="Times New Roman" w:cs="Times New Roman"/>
                <w:sz w:val="20"/>
                <w:szCs w:val="20"/>
              </w:rPr>
            </w:pPr>
            <w:r w:rsidRPr="0035187E">
              <w:rPr>
                <w:rFonts w:ascii="Times New Roman" w:hAnsi="Times New Roman" w:cs="Times New Roman"/>
                <w:i/>
                <w:iCs/>
                <w:sz w:val="20"/>
                <w:szCs w:val="20"/>
              </w:rPr>
              <w:t>Vyjádření připomínkového místa: Prosí o zařazení do pracovní skupiny pro přípravu metodiky, aby byla dobře ošetřena všechna potřebná specifika obchodu a služeb.</w:t>
            </w:r>
          </w:p>
        </w:tc>
      </w:tr>
      <w:tr w:rsidR="0035187E" w:rsidRPr="0035187E" w14:paraId="1646CE7A"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2806FFD3" w14:textId="2594A40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144.</w:t>
            </w:r>
          </w:p>
        </w:tc>
        <w:tc>
          <w:tcPr>
            <w:tcW w:w="583" w:type="pct"/>
            <w:tcBorders>
              <w:top w:val="single" w:sz="4" w:space="0" w:color="auto"/>
              <w:left w:val="single" w:sz="4" w:space="0" w:color="auto"/>
              <w:right w:val="single" w:sz="4" w:space="0" w:color="auto"/>
            </w:tcBorders>
            <w:shd w:val="clear" w:color="auto" w:fill="auto"/>
          </w:tcPr>
          <w:p w14:paraId="2F9106D0" w14:textId="5265BE9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Svaz obchodu a cestovního ruchu České republiky</w:t>
            </w:r>
          </w:p>
        </w:tc>
        <w:tc>
          <w:tcPr>
            <w:tcW w:w="168" w:type="pct"/>
            <w:tcBorders>
              <w:top w:val="single" w:sz="4" w:space="0" w:color="auto"/>
              <w:left w:val="single" w:sz="4" w:space="0" w:color="auto"/>
              <w:right w:val="single" w:sz="4" w:space="0" w:color="auto"/>
            </w:tcBorders>
            <w:shd w:val="clear" w:color="auto" w:fill="auto"/>
          </w:tcPr>
          <w:p w14:paraId="69BF2623" w14:textId="05FDA3F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13.</w:t>
            </w:r>
          </w:p>
        </w:tc>
        <w:tc>
          <w:tcPr>
            <w:tcW w:w="169" w:type="pct"/>
            <w:tcBorders>
              <w:top w:val="single" w:sz="4" w:space="0" w:color="auto"/>
              <w:left w:val="single" w:sz="4" w:space="0" w:color="auto"/>
              <w:right w:val="single" w:sz="4" w:space="0" w:color="auto"/>
            </w:tcBorders>
            <w:shd w:val="clear" w:color="auto" w:fill="auto"/>
          </w:tcPr>
          <w:p w14:paraId="6526FEFB" w14:textId="6E88F6C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FEDB065" w14:textId="77777777" w:rsidR="000B4BD4" w:rsidRPr="0035187E" w:rsidRDefault="000B4BD4" w:rsidP="0035187E">
            <w:pPr>
              <w:numPr>
                <w:ilvl w:val="0"/>
                <w:numId w:val="19"/>
              </w:numPr>
              <w:suppressAutoHyphens/>
              <w:ind w:left="0" w:firstLine="0"/>
              <w:contextualSpacing/>
              <w:jc w:val="both"/>
              <w:rPr>
                <w:rFonts w:ascii="Times New Roman" w:hAnsi="Times New Roman" w:cs="Times New Roman"/>
                <w:b/>
                <w:bCs/>
                <w:sz w:val="20"/>
                <w:szCs w:val="20"/>
                <w:lang w:eastAsia="en-US"/>
              </w:rPr>
            </w:pPr>
            <w:r w:rsidRPr="0035187E">
              <w:rPr>
                <w:rFonts w:ascii="Times New Roman" w:hAnsi="Times New Roman" w:cs="Times New Roman"/>
                <w:b/>
                <w:bCs/>
                <w:sz w:val="20"/>
                <w:szCs w:val="20"/>
                <w:lang w:eastAsia="en-US"/>
              </w:rPr>
              <w:t>Připomínka k § 14 odst. 2 a 3 návrhu zákona</w:t>
            </w:r>
          </w:p>
          <w:p w14:paraId="412D417E" w14:textId="77777777" w:rsidR="000B4BD4" w:rsidRPr="0035187E" w:rsidRDefault="000B4BD4" w:rsidP="0035187E">
            <w:pPr>
              <w:jc w:val="both"/>
              <w:rPr>
                <w:rFonts w:ascii="Times New Roman" w:hAnsi="Times New Roman" w:cs="Times New Roman"/>
                <w:sz w:val="20"/>
                <w:szCs w:val="20"/>
                <w:lang w:eastAsia="en-US"/>
              </w:rPr>
            </w:pPr>
          </w:p>
          <w:p w14:paraId="4C94E5F0" w14:textId="1770104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Navrhujeme upravit vymezení pojmu prodejního automatu v § 14 odst. 2 a 3 návrhu zákona tak, aby nedocházelo k vyloučení zařízení, která vyžadují určitou součinnost zákazníka při čerpání služby. Úpravu výkladu tohoto ustanovení požadujeme provést v důvodové zprávě tak, aby bylo jednoznačně vyjasněno, že pojem prodejního automatu zahrnuje také zařízení poskytující služby prostřednictvím samoobslužného technického zařízení, jako jsou například:</w:t>
            </w:r>
          </w:p>
          <w:p w14:paraId="0745FA76" w14:textId="77777777" w:rsidR="000B4BD4" w:rsidRPr="0035187E" w:rsidRDefault="000B4BD4" w:rsidP="0035187E">
            <w:pPr>
              <w:numPr>
                <w:ilvl w:val="0"/>
                <w:numId w:val="22"/>
              </w:numPr>
              <w:tabs>
                <w:tab w:val="clear" w:pos="720"/>
                <w:tab w:val="num" w:pos="245"/>
              </w:tabs>
              <w:suppressAutoHyphens/>
              <w:ind w:left="0" w:firstLine="0"/>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 xml:space="preserve">samoobslužné </w:t>
            </w:r>
            <w:proofErr w:type="spellStart"/>
            <w:r w:rsidRPr="0035187E">
              <w:rPr>
                <w:rFonts w:ascii="Times New Roman" w:hAnsi="Times New Roman" w:cs="Times New Roman"/>
                <w:sz w:val="20"/>
                <w:szCs w:val="20"/>
                <w:lang w:eastAsia="en-US"/>
              </w:rPr>
              <w:t>automyčky</w:t>
            </w:r>
            <w:proofErr w:type="spellEnd"/>
            <w:r w:rsidRPr="0035187E">
              <w:rPr>
                <w:rFonts w:ascii="Times New Roman" w:hAnsi="Times New Roman" w:cs="Times New Roman"/>
                <w:sz w:val="20"/>
                <w:szCs w:val="20"/>
                <w:lang w:eastAsia="en-US"/>
              </w:rPr>
              <w:t xml:space="preserve"> nebo mycí boxy,</w:t>
            </w:r>
          </w:p>
          <w:p w14:paraId="22A64547" w14:textId="77777777" w:rsidR="000B4BD4" w:rsidRPr="0035187E" w:rsidRDefault="000B4BD4" w:rsidP="0035187E">
            <w:pPr>
              <w:numPr>
                <w:ilvl w:val="0"/>
                <w:numId w:val="22"/>
              </w:numPr>
              <w:tabs>
                <w:tab w:val="clear" w:pos="720"/>
                <w:tab w:val="num" w:pos="245"/>
              </w:tabs>
              <w:suppressAutoHyphens/>
              <w:ind w:left="0" w:firstLine="0"/>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samoobslužné vysavače,</w:t>
            </w:r>
          </w:p>
          <w:p w14:paraId="5FBC8869" w14:textId="77777777" w:rsidR="000B4BD4" w:rsidRPr="0035187E" w:rsidRDefault="000B4BD4" w:rsidP="0035187E">
            <w:pPr>
              <w:numPr>
                <w:ilvl w:val="0"/>
                <w:numId w:val="22"/>
              </w:numPr>
              <w:tabs>
                <w:tab w:val="clear" w:pos="720"/>
                <w:tab w:val="num" w:pos="245"/>
              </w:tabs>
              <w:suppressAutoHyphens/>
              <w:ind w:left="0" w:firstLine="0"/>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kompresory pro dohušťování pneumatik,</w:t>
            </w:r>
          </w:p>
          <w:p w14:paraId="5ECA1942" w14:textId="77777777" w:rsidR="000B4BD4" w:rsidRPr="0035187E" w:rsidRDefault="000B4BD4" w:rsidP="0035187E">
            <w:pPr>
              <w:numPr>
                <w:ilvl w:val="0"/>
                <w:numId w:val="22"/>
              </w:numPr>
              <w:tabs>
                <w:tab w:val="clear" w:pos="720"/>
                <w:tab w:val="num" w:pos="245"/>
              </w:tabs>
              <w:suppressAutoHyphens/>
              <w:ind w:left="0" w:firstLine="0"/>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obdobná zařízení poskytující službu prostřednictvím technického zařízení.</w:t>
            </w:r>
          </w:p>
          <w:p w14:paraId="688A9489" w14:textId="77777777" w:rsidR="000B4BD4" w:rsidRPr="0035187E" w:rsidRDefault="000B4BD4" w:rsidP="0035187E">
            <w:pPr>
              <w:jc w:val="both"/>
              <w:rPr>
                <w:rFonts w:ascii="Times New Roman" w:hAnsi="Times New Roman" w:cs="Times New Roman"/>
                <w:b/>
                <w:bCs/>
                <w:sz w:val="20"/>
                <w:szCs w:val="20"/>
                <w:lang w:eastAsia="en-US"/>
              </w:rPr>
            </w:pPr>
          </w:p>
          <w:p w14:paraId="0A37CF26" w14:textId="106407C4"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b/>
                <w:bCs/>
                <w:sz w:val="20"/>
                <w:szCs w:val="20"/>
                <w:lang w:eastAsia="en-US"/>
              </w:rPr>
              <w:t>Odůvodnění:</w:t>
            </w:r>
          </w:p>
          <w:p w14:paraId="1A1293F0"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Navržená formulace ustanovení je vykládána restriktivně a vylučuje zařízení, která vyžadují určitou součinnost zákazníka při čerpání služby. Takové pojetí představuje změnu oproti předchozí právní úpravě evidence tržeb (EET1), kde byl pojem prodejního automatu vykládán obecně a zahrnoval širší spektrum samoobslužných zařízení.</w:t>
            </w:r>
          </w:p>
          <w:p w14:paraId="55C21B54"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V praxi přitom není ekonomický ani systémový důvod tato zařízení z režimu výjimky vyjímat. U zařízení, jako jsou samoobslužné myčky nebo vysavače, zákazník fakticky pouze využívá technické zařízení poskytující službu, přičemž jeho součinnost (např. najetí vozidlem do mycího prostoru nebo manipulace s vysávací hadicí) je z hlediska charakteru služby srovnatelná s úkony prováděnými u běžných prodejních automatů (např. odebrání kelímku nebo zboží).</w:t>
            </w:r>
          </w:p>
          <w:p w14:paraId="129F47C0"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 xml:space="preserve">Současně se jedná o zařízení, která jsou v řadě případů provozována v </w:t>
            </w:r>
            <w:proofErr w:type="spellStart"/>
            <w:r w:rsidRPr="0035187E">
              <w:rPr>
                <w:rFonts w:ascii="Times New Roman" w:hAnsi="Times New Roman" w:cs="Times New Roman"/>
                <w:sz w:val="20"/>
                <w:szCs w:val="20"/>
                <w:lang w:eastAsia="en-US"/>
              </w:rPr>
              <w:t>offline</w:t>
            </w:r>
            <w:proofErr w:type="spellEnd"/>
            <w:r w:rsidRPr="0035187E">
              <w:rPr>
                <w:rFonts w:ascii="Times New Roman" w:hAnsi="Times New Roman" w:cs="Times New Roman"/>
                <w:sz w:val="20"/>
                <w:szCs w:val="20"/>
                <w:lang w:eastAsia="en-US"/>
              </w:rPr>
              <w:t xml:space="preserve"> režimu a nejsou technologicky připravena na kontinuální online komunikaci se systémem evidence tržeb. Zavedení povinnosti evidence tržeb by proto vyžadovalo zásadní technické úpravy těchto zařízení, což by vedlo k výraznému zvýšení provozních nákladů a v řadě případů by mohlo vést až k ekonomické neudržitelnosti jejich provozu.</w:t>
            </w:r>
          </w:p>
          <w:p w14:paraId="03904940"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Restriktivní výklad by navíc mohl vést ke sporům o právní kvalifikaci těchto činností, zejména o otázku, zda jde o prodej zboží nebo poskytnutí služby. Typicky u samoobslužných myček zákazník službu fakticky pouze pasivně přijímá a míra jeho součinnosti je minimální (najetí do určeného prostoru).</w:t>
            </w:r>
          </w:p>
          <w:p w14:paraId="2410BD19" w14:textId="69D13333"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sz w:val="20"/>
                <w:szCs w:val="20"/>
                <w:lang w:eastAsia="en-US"/>
              </w:rPr>
              <w:t>Navrhujeme proto zachovat výklad odpovídající předchozí právní úpravě evidence tržeb a v důvodové zprávě výslovně uvést, že pojem prodejního automatu zahrnuje i uvedené typy samoobslužných zařízení.</w:t>
            </w:r>
          </w:p>
        </w:tc>
        <w:tc>
          <w:tcPr>
            <w:tcW w:w="1453" w:type="pct"/>
            <w:tcBorders>
              <w:top w:val="single" w:sz="4" w:space="0" w:color="auto"/>
              <w:left w:val="single" w:sz="4" w:space="0" w:color="auto"/>
              <w:right w:val="single" w:sz="4" w:space="0" w:color="auto"/>
            </w:tcBorders>
            <w:shd w:val="clear" w:color="auto" w:fill="auto"/>
          </w:tcPr>
          <w:p w14:paraId="6F146625" w14:textId="77777777" w:rsidR="009B319F" w:rsidRPr="0035187E" w:rsidRDefault="009B319F" w:rsidP="0035187E">
            <w:pPr>
              <w:jc w:val="both"/>
              <w:rPr>
                <w:rFonts w:ascii="Times New Roman" w:hAnsi="Times New Roman" w:cs="Times New Roman"/>
                <w:b/>
                <w:sz w:val="20"/>
                <w:szCs w:val="20"/>
              </w:rPr>
            </w:pPr>
            <w:r w:rsidRPr="0035187E">
              <w:rPr>
                <w:rFonts w:ascii="Times New Roman" w:hAnsi="Times New Roman" w:cs="Times New Roman"/>
                <w:b/>
                <w:sz w:val="20"/>
                <w:szCs w:val="20"/>
              </w:rPr>
              <w:t>Vyhověno.</w:t>
            </w:r>
          </w:p>
          <w:p w14:paraId="64F13988" w14:textId="77777777" w:rsidR="000B4BD4" w:rsidRPr="0035187E" w:rsidRDefault="009B319F" w:rsidP="0035187E">
            <w:pPr>
              <w:jc w:val="both"/>
              <w:rPr>
                <w:rFonts w:ascii="Times New Roman" w:hAnsi="Times New Roman" w:cs="Times New Roman"/>
                <w:sz w:val="20"/>
                <w:szCs w:val="20"/>
              </w:rPr>
            </w:pPr>
            <w:r w:rsidRPr="0035187E">
              <w:rPr>
                <w:rFonts w:ascii="Times New Roman" w:hAnsi="Times New Roman" w:cs="Times New Roman"/>
                <w:sz w:val="20"/>
                <w:szCs w:val="20"/>
              </w:rPr>
              <w:t>Důvodová zpráva byla upravena.</w:t>
            </w:r>
          </w:p>
          <w:p w14:paraId="4B218422" w14:textId="77777777" w:rsidR="00FF60CF" w:rsidRPr="0035187E" w:rsidRDefault="00FF60CF" w:rsidP="0035187E">
            <w:pPr>
              <w:jc w:val="both"/>
              <w:rPr>
                <w:rFonts w:ascii="Times New Roman" w:hAnsi="Times New Roman" w:cs="Times New Roman"/>
                <w:sz w:val="20"/>
                <w:szCs w:val="20"/>
              </w:rPr>
            </w:pPr>
          </w:p>
          <w:p w14:paraId="0E1FEE0A" w14:textId="77777777" w:rsidR="00FF60CF" w:rsidRPr="0035187E" w:rsidRDefault="00FF60CF" w:rsidP="0035187E">
            <w:pPr>
              <w:jc w:val="both"/>
              <w:rPr>
                <w:rFonts w:ascii="Times New Roman" w:hAnsi="Times New Roman" w:cs="Times New Roman"/>
                <w:i/>
                <w:sz w:val="20"/>
                <w:szCs w:val="20"/>
              </w:rPr>
            </w:pPr>
            <w:r w:rsidRPr="0035187E">
              <w:rPr>
                <w:rFonts w:ascii="Times New Roman" w:hAnsi="Times New Roman" w:cs="Times New Roman"/>
                <w:i/>
                <w:sz w:val="20"/>
                <w:szCs w:val="20"/>
              </w:rPr>
              <w:t>Připomínkové místo poděkovalo za vypořádání.</w:t>
            </w:r>
          </w:p>
          <w:p w14:paraId="313340B9" w14:textId="7C9F7C91" w:rsidR="00FF60CF" w:rsidRPr="0035187E" w:rsidRDefault="00FF60CF" w:rsidP="0035187E">
            <w:pPr>
              <w:jc w:val="both"/>
              <w:rPr>
                <w:rFonts w:ascii="Times New Roman" w:hAnsi="Times New Roman" w:cs="Times New Roman"/>
                <w:sz w:val="20"/>
                <w:szCs w:val="20"/>
              </w:rPr>
            </w:pPr>
          </w:p>
        </w:tc>
      </w:tr>
      <w:tr w:rsidR="0035187E" w:rsidRPr="0035187E" w14:paraId="2CE65B31"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823FD15" w14:textId="68D3A1A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144.</w:t>
            </w:r>
          </w:p>
        </w:tc>
        <w:tc>
          <w:tcPr>
            <w:tcW w:w="583" w:type="pct"/>
            <w:tcBorders>
              <w:top w:val="single" w:sz="4" w:space="0" w:color="auto"/>
              <w:left w:val="single" w:sz="4" w:space="0" w:color="auto"/>
              <w:right w:val="single" w:sz="4" w:space="0" w:color="auto"/>
            </w:tcBorders>
            <w:shd w:val="clear" w:color="auto" w:fill="auto"/>
          </w:tcPr>
          <w:p w14:paraId="37B0DD4E" w14:textId="19ED92E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Svaz obchodu a cestovního ruchu České republiky</w:t>
            </w:r>
          </w:p>
        </w:tc>
        <w:tc>
          <w:tcPr>
            <w:tcW w:w="168" w:type="pct"/>
            <w:tcBorders>
              <w:top w:val="single" w:sz="4" w:space="0" w:color="auto"/>
              <w:left w:val="single" w:sz="4" w:space="0" w:color="auto"/>
              <w:right w:val="single" w:sz="4" w:space="0" w:color="auto"/>
            </w:tcBorders>
            <w:shd w:val="clear" w:color="auto" w:fill="auto"/>
          </w:tcPr>
          <w:p w14:paraId="1726C88A" w14:textId="381E074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14.</w:t>
            </w:r>
          </w:p>
        </w:tc>
        <w:tc>
          <w:tcPr>
            <w:tcW w:w="169" w:type="pct"/>
            <w:tcBorders>
              <w:top w:val="single" w:sz="4" w:space="0" w:color="auto"/>
              <w:left w:val="single" w:sz="4" w:space="0" w:color="auto"/>
              <w:right w:val="single" w:sz="4" w:space="0" w:color="auto"/>
            </w:tcBorders>
            <w:shd w:val="clear" w:color="auto" w:fill="auto"/>
          </w:tcPr>
          <w:p w14:paraId="45E80962" w14:textId="730968B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615B7AF" w14:textId="77777777" w:rsidR="000B4BD4" w:rsidRPr="0035187E" w:rsidRDefault="000B4BD4" w:rsidP="0035187E">
            <w:pPr>
              <w:numPr>
                <w:ilvl w:val="0"/>
                <w:numId w:val="19"/>
              </w:numPr>
              <w:suppressAutoHyphens/>
              <w:ind w:left="0" w:firstLine="0"/>
              <w:contextualSpacing/>
              <w:jc w:val="both"/>
              <w:rPr>
                <w:rFonts w:ascii="Times New Roman" w:hAnsi="Times New Roman" w:cs="Times New Roman"/>
                <w:b/>
                <w:bCs/>
                <w:sz w:val="20"/>
                <w:szCs w:val="20"/>
                <w:lang w:eastAsia="en-US"/>
              </w:rPr>
            </w:pPr>
            <w:r w:rsidRPr="0035187E">
              <w:rPr>
                <w:rFonts w:ascii="Times New Roman" w:hAnsi="Times New Roman" w:cs="Times New Roman"/>
                <w:b/>
                <w:bCs/>
                <w:sz w:val="20"/>
                <w:szCs w:val="20"/>
                <w:lang w:eastAsia="en-US"/>
              </w:rPr>
              <w:t xml:space="preserve">Připomínka k § 14 odst. 4 návrhu zákona </w:t>
            </w:r>
          </w:p>
          <w:p w14:paraId="11308953" w14:textId="77777777" w:rsidR="000B4BD4" w:rsidRPr="0035187E" w:rsidRDefault="000B4BD4" w:rsidP="0035187E">
            <w:pPr>
              <w:jc w:val="both"/>
              <w:rPr>
                <w:rFonts w:ascii="Times New Roman" w:hAnsi="Times New Roman" w:cs="Times New Roman"/>
                <w:sz w:val="20"/>
                <w:szCs w:val="20"/>
                <w:lang w:eastAsia="en-US"/>
              </w:rPr>
            </w:pPr>
          </w:p>
          <w:p w14:paraId="6A34ADF5" w14:textId="40FBA688"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Navrhujeme upravit znění § 14 odst. 5 takto:</w:t>
            </w:r>
          </w:p>
          <w:p w14:paraId="020273BD" w14:textId="64AF6943"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lastRenderedPageBreak/>
              <w:t>„</w:t>
            </w:r>
            <w:r w:rsidRPr="0035187E">
              <w:rPr>
                <w:rFonts w:ascii="Times New Roman" w:hAnsi="Times New Roman" w:cs="Times New Roman"/>
                <w:i/>
                <w:iCs/>
                <w:sz w:val="20"/>
                <w:szCs w:val="20"/>
                <w:lang w:eastAsia="en-US"/>
              </w:rPr>
              <w:t xml:space="preserve">Evidovanou tržbou nejsou také tržby z prodeje zboží nebo služeb prostřednictvím samoobslužného zařízení, které se nachází mimo provozovnu a umožňuje platbu pouze v hotovosti </w:t>
            </w:r>
            <w:r w:rsidRPr="0035187E">
              <w:rPr>
                <w:rFonts w:ascii="Times New Roman" w:hAnsi="Times New Roman" w:cs="Times New Roman"/>
                <w:b/>
                <w:bCs/>
                <w:i/>
                <w:iCs/>
                <w:sz w:val="20"/>
                <w:szCs w:val="20"/>
                <w:lang w:eastAsia="en-US"/>
              </w:rPr>
              <w:t>nebo smíšeně v hotovosti a současně i bezhotovostně</w:t>
            </w:r>
            <w:r w:rsidRPr="0035187E">
              <w:rPr>
                <w:rFonts w:ascii="Times New Roman" w:hAnsi="Times New Roman" w:cs="Times New Roman"/>
                <w:i/>
                <w:iCs/>
                <w:sz w:val="20"/>
                <w:szCs w:val="20"/>
                <w:lang w:eastAsia="en-US"/>
              </w:rPr>
              <w:t>, za podmínky, že okolnosti neumožňují nebo zásadně ztěžují evidenci tržeb</w:t>
            </w:r>
            <w:r w:rsidRPr="0035187E">
              <w:rPr>
                <w:rFonts w:ascii="Times New Roman" w:hAnsi="Times New Roman" w:cs="Times New Roman"/>
                <w:sz w:val="20"/>
                <w:szCs w:val="20"/>
                <w:lang w:eastAsia="en-US"/>
              </w:rPr>
              <w:t>.“</w:t>
            </w:r>
          </w:p>
          <w:p w14:paraId="5AD53914" w14:textId="77777777" w:rsidR="000B4BD4" w:rsidRPr="0035187E" w:rsidRDefault="000B4BD4" w:rsidP="0035187E">
            <w:pPr>
              <w:jc w:val="both"/>
              <w:rPr>
                <w:rFonts w:ascii="Times New Roman" w:hAnsi="Times New Roman" w:cs="Times New Roman"/>
                <w:b/>
                <w:bCs/>
                <w:sz w:val="20"/>
                <w:szCs w:val="20"/>
                <w:lang w:eastAsia="en-US"/>
              </w:rPr>
            </w:pPr>
          </w:p>
          <w:p w14:paraId="331EC412" w14:textId="40DC3475"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b/>
                <w:bCs/>
                <w:sz w:val="20"/>
                <w:szCs w:val="20"/>
                <w:lang w:eastAsia="en-US"/>
              </w:rPr>
              <w:t>Odůvodnění:</w:t>
            </w:r>
          </w:p>
          <w:p w14:paraId="3E54B90A"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Navržené znění ustanovení omezuje výjimku pouze na zařízení umožňující platbu výhradně v hotovosti. V praxi však existuje řada samoobslužných zařízení, která umožňují současně hotovostní i bezhotovostní platby (např. prostřednictvím platebních karet nebo mobilních plateb), aniž by byla technicky připravena na online evidenci jednotlivých transakcí v systému evidence tržeb.</w:t>
            </w:r>
          </w:p>
          <w:p w14:paraId="534B7E96"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Vyloučení těchto zařízení z režimu výjimky by vedlo k nepřiměřenému administrativnímu a technickému zatížení jejich provozovatelů, přestože se zpravidla jedná o drobné transakce s nízkou hodnotou a omezeným fiskálním významem.</w:t>
            </w:r>
          </w:p>
          <w:p w14:paraId="71BCD7BB" w14:textId="060C95BF"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sz w:val="20"/>
                <w:szCs w:val="20"/>
                <w:lang w:eastAsia="en-US"/>
              </w:rPr>
              <w:t>Navržená úprava proto umožňuje zachovat výjimku i v případech, kdy zařízení umožňuje vedle hotovostních plateb také drobné bezhotovostní platby, pokud technické nebo provozní okolnosti evidenci tržeb neumožňují nebo ji zásadně ztěžují.</w:t>
            </w:r>
          </w:p>
        </w:tc>
        <w:tc>
          <w:tcPr>
            <w:tcW w:w="1453" w:type="pct"/>
            <w:tcBorders>
              <w:top w:val="single" w:sz="4" w:space="0" w:color="auto"/>
              <w:left w:val="single" w:sz="4" w:space="0" w:color="auto"/>
              <w:right w:val="single" w:sz="4" w:space="0" w:color="auto"/>
            </w:tcBorders>
            <w:shd w:val="clear" w:color="auto" w:fill="auto"/>
          </w:tcPr>
          <w:p w14:paraId="13D0D041" w14:textId="77777777" w:rsidR="00755CF7" w:rsidRPr="0035187E" w:rsidRDefault="00755CF7"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Vyhověno jinak.</w:t>
            </w:r>
          </w:p>
          <w:p w14:paraId="4CD214DF" w14:textId="77777777" w:rsidR="00755CF7" w:rsidRPr="0035187E" w:rsidRDefault="00755CF7"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 ve prospěch vypuštění podmínky formy platby v hotovosti, tzn. může jít o jakoukoli formu platby podle § 6. Bude tedy klíčové materiální kritérium testující objektivní možnost proveditelnosti evidování tržeb.</w:t>
            </w:r>
          </w:p>
          <w:p w14:paraId="3FDE460C" w14:textId="77777777" w:rsidR="00FF60CF" w:rsidRPr="0035187E" w:rsidRDefault="00FF60CF" w:rsidP="0035187E">
            <w:pPr>
              <w:jc w:val="both"/>
              <w:rPr>
                <w:rFonts w:ascii="Times New Roman" w:hAnsi="Times New Roman" w:cs="Times New Roman"/>
                <w:sz w:val="20"/>
                <w:szCs w:val="20"/>
              </w:rPr>
            </w:pPr>
          </w:p>
          <w:p w14:paraId="6FD2B9DB" w14:textId="77777777" w:rsidR="00FF60CF" w:rsidRPr="0035187E" w:rsidRDefault="00FF60CF" w:rsidP="0035187E">
            <w:pPr>
              <w:jc w:val="both"/>
              <w:rPr>
                <w:rFonts w:ascii="Times New Roman" w:hAnsi="Times New Roman" w:cs="Times New Roman"/>
                <w:i/>
                <w:sz w:val="20"/>
                <w:szCs w:val="20"/>
              </w:rPr>
            </w:pPr>
            <w:r w:rsidRPr="0035187E">
              <w:rPr>
                <w:rFonts w:ascii="Times New Roman" w:hAnsi="Times New Roman" w:cs="Times New Roman"/>
                <w:i/>
                <w:sz w:val="20"/>
                <w:szCs w:val="20"/>
              </w:rPr>
              <w:t>Připomínkové místo poděkovalo za vypořádání.</w:t>
            </w:r>
          </w:p>
          <w:p w14:paraId="428A53C6" w14:textId="77777777" w:rsidR="00FF60CF" w:rsidRPr="0035187E" w:rsidRDefault="00FF60CF" w:rsidP="0035187E">
            <w:pPr>
              <w:jc w:val="both"/>
              <w:rPr>
                <w:rFonts w:ascii="Times New Roman" w:hAnsi="Times New Roman" w:cs="Times New Roman"/>
                <w:b/>
                <w:sz w:val="20"/>
                <w:szCs w:val="20"/>
                <w:highlight w:val="cyan"/>
              </w:rPr>
            </w:pPr>
          </w:p>
          <w:p w14:paraId="74AD06AF" w14:textId="18A883B1" w:rsidR="000B4BD4" w:rsidRPr="0035187E" w:rsidRDefault="000B4BD4" w:rsidP="0035187E">
            <w:pPr>
              <w:jc w:val="both"/>
              <w:rPr>
                <w:rFonts w:ascii="Times New Roman" w:hAnsi="Times New Roman" w:cs="Times New Roman"/>
                <w:sz w:val="20"/>
                <w:szCs w:val="20"/>
              </w:rPr>
            </w:pPr>
          </w:p>
        </w:tc>
      </w:tr>
      <w:tr w:rsidR="0035187E" w:rsidRPr="0035187E" w14:paraId="1E285ECE"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C4524C5" w14:textId="4A2AA81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144.</w:t>
            </w:r>
          </w:p>
        </w:tc>
        <w:tc>
          <w:tcPr>
            <w:tcW w:w="583" w:type="pct"/>
            <w:tcBorders>
              <w:top w:val="single" w:sz="4" w:space="0" w:color="auto"/>
              <w:left w:val="single" w:sz="4" w:space="0" w:color="auto"/>
              <w:right w:val="single" w:sz="4" w:space="0" w:color="auto"/>
            </w:tcBorders>
            <w:shd w:val="clear" w:color="auto" w:fill="auto"/>
          </w:tcPr>
          <w:p w14:paraId="23A0555C" w14:textId="617EC52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Svaz obchodu a cestovního ruchu České republiky</w:t>
            </w:r>
          </w:p>
        </w:tc>
        <w:tc>
          <w:tcPr>
            <w:tcW w:w="168" w:type="pct"/>
            <w:tcBorders>
              <w:top w:val="single" w:sz="4" w:space="0" w:color="auto"/>
              <w:left w:val="single" w:sz="4" w:space="0" w:color="auto"/>
              <w:right w:val="single" w:sz="4" w:space="0" w:color="auto"/>
            </w:tcBorders>
            <w:shd w:val="clear" w:color="auto" w:fill="auto"/>
          </w:tcPr>
          <w:p w14:paraId="58F78250" w14:textId="2D92720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15.</w:t>
            </w:r>
          </w:p>
        </w:tc>
        <w:tc>
          <w:tcPr>
            <w:tcW w:w="169" w:type="pct"/>
            <w:tcBorders>
              <w:top w:val="single" w:sz="4" w:space="0" w:color="auto"/>
              <w:left w:val="single" w:sz="4" w:space="0" w:color="auto"/>
              <w:right w:val="single" w:sz="4" w:space="0" w:color="auto"/>
            </w:tcBorders>
            <w:shd w:val="clear" w:color="auto" w:fill="auto"/>
          </w:tcPr>
          <w:p w14:paraId="2A4F1360" w14:textId="662D8B8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C11E786" w14:textId="77777777" w:rsidR="000B4BD4" w:rsidRPr="0035187E" w:rsidRDefault="000B4BD4" w:rsidP="0035187E">
            <w:pPr>
              <w:numPr>
                <w:ilvl w:val="0"/>
                <w:numId w:val="19"/>
              </w:numPr>
              <w:suppressAutoHyphens/>
              <w:ind w:left="0" w:firstLine="0"/>
              <w:contextualSpacing/>
              <w:jc w:val="both"/>
              <w:rPr>
                <w:rFonts w:ascii="Times New Roman" w:hAnsi="Times New Roman" w:cs="Times New Roman"/>
                <w:b/>
                <w:bCs/>
                <w:sz w:val="20"/>
                <w:szCs w:val="20"/>
                <w:lang w:eastAsia="en-US"/>
              </w:rPr>
            </w:pPr>
            <w:r w:rsidRPr="0035187E">
              <w:rPr>
                <w:rFonts w:ascii="Times New Roman" w:hAnsi="Times New Roman" w:cs="Times New Roman"/>
                <w:b/>
                <w:bCs/>
                <w:sz w:val="20"/>
                <w:szCs w:val="20"/>
                <w:lang w:eastAsia="en-US"/>
              </w:rPr>
              <w:t xml:space="preserve">Připomínka k § 20 až 21 návrhu zákona  </w:t>
            </w:r>
          </w:p>
          <w:p w14:paraId="0F094BC0" w14:textId="77777777" w:rsidR="000B4BD4" w:rsidRPr="0035187E" w:rsidRDefault="000B4BD4" w:rsidP="0035187E">
            <w:pPr>
              <w:jc w:val="both"/>
              <w:rPr>
                <w:rFonts w:ascii="Times New Roman" w:hAnsi="Times New Roman" w:cs="Times New Roman"/>
                <w:sz w:val="20"/>
                <w:szCs w:val="20"/>
                <w:lang w:eastAsia="en-US"/>
              </w:rPr>
            </w:pPr>
          </w:p>
          <w:p w14:paraId="35EBDF37" w14:textId="795A0F49"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Navrhujeme doplnit důvodovou zprávu o podrobnější popis postupu při překročení mezní doby odezvy systému evidence tržeb podle § 20 a § 21 návrhu zákona.</w:t>
            </w:r>
          </w:p>
          <w:p w14:paraId="6BBBF6FD" w14:textId="77777777" w:rsidR="000B4BD4" w:rsidRPr="0035187E" w:rsidRDefault="000B4BD4" w:rsidP="0035187E">
            <w:pPr>
              <w:jc w:val="both"/>
              <w:rPr>
                <w:rFonts w:ascii="Times New Roman" w:hAnsi="Times New Roman" w:cs="Times New Roman"/>
                <w:b/>
                <w:bCs/>
                <w:sz w:val="20"/>
                <w:szCs w:val="20"/>
                <w:lang w:eastAsia="en-US"/>
              </w:rPr>
            </w:pPr>
          </w:p>
          <w:p w14:paraId="24FF329C"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b/>
                <w:bCs/>
                <w:sz w:val="20"/>
                <w:szCs w:val="20"/>
                <w:lang w:eastAsia="en-US"/>
              </w:rPr>
              <w:t>Odůvodnění:</w:t>
            </w:r>
          </w:p>
          <w:p w14:paraId="6D455752"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Návrh zákona stanoví pravidla pro evidenci tržeb v případě překročení mezní doby odezvy systému evidence tržeb, avšak neobsahuje bližší popis praktického postupu podnikatele v těchto situacích.</w:t>
            </w:r>
          </w:p>
          <w:p w14:paraId="1833DE07"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Pro zajištění právní jistoty podnikatelům, včasné přípravy (která bude převážně technického charakteru a vyžadující komunikaci s dodavateli SW platebních systémů) a jednotného výkladu právní úpravy považujeme za vhodné doplnit důvodovou zprávu zejména o:</w:t>
            </w:r>
          </w:p>
          <w:p w14:paraId="18D96220" w14:textId="77777777" w:rsidR="000B4BD4" w:rsidRPr="0035187E" w:rsidRDefault="000B4BD4" w:rsidP="0035187E">
            <w:pPr>
              <w:numPr>
                <w:ilvl w:val="0"/>
                <w:numId w:val="23"/>
              </w:numPr>
              <w:tabs>
                <w:tab w:val="clear" w:pos="720"/>
                <w:tab w:val="num" w:pos="245"/>
              </w:tabs>
              <w:suppressAutoHyphens/>
              <w:ind w:left="0" w:firstLine="0"/>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technický popis postupu při překročení mezní doby odezvy,</w:t>
            </w:r>
          </w:p>
          <w:p w14:paraId="66962636" w14:textId="77777777" w:rsidR="000B4BD4" w:rsidRPr="0035187E" w:rsidRDefault="000B4BD4" w:rsidP="0035187E">
            <w:pPr>
              <w:numPr>
                <w:ilvl w:val="0"/>
                <w:numId w:val="23"/>
              </w:numPr>
              <w:tabs>
                <w:tab w:val="clear" w:pos="720"/>
                <w:tab w:val="num" w:pos="245"/>
              </w:tabs>
              <w:suppressAutoHyphens/>
              <w:ind w:left="0" w:firstLine="0"/>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 xml:space="preserve">vymezení okamžiku, kdy je možné přejít do </w:t>
            </w:r>
            <w:proofErr w:type="spellStart"/>
            <w:r w:rsidRPr="0035187E">
              <w:rPr>
                <w:rFonts w:ascii="Times New Roman" w:hAnsi="Times New Roman" w:cs="Times New Roman"/>
                <w:sz w:val="20"/>
                <w:szCs w:val="20"/>
                <w:lang w:eastAsia="en-US"/>
              </w:rPr>
              <w:t>offline</w:t>
            </w:r>
            <w:proofErr w:type="spellEnd"/>
            <w:r w:rsidRPr="0035187E">
              <w:rPr>
                <w:rFonts w:ascii="Times New Roman" w:hAnsi="Times New Roman" w:cs="Times New Roman"/>
                <w:sz w:val="20"/>
                <w:szCs w:val="20"/>
                <w:lang w:eastAsia="en-US"/>
              </w:rPr>
              <w:t xml:space="preserve"> režimu evidence,</w:t>
            </w:r>
          </w:p>
          <w:p w14:paraId="2944D57D" w14:textId="77777777" w:rsidR="000B4BD4" w:rsidRPr="0035187E" w:rsidRDefault="000B4BD4" w:rsidP="0035187E">
            <w:pPr>
              <w:numPr>
                <w:ilvl w:val="0"/>
                <w:numId w:val="23"/>
              </w:numPr>
              <w:tabs>
                <w:tab w:val="clear" w:pos="720"/>
                <w:tab w:val="num" w:pos="245"/>
              </w:tabs>
              <w:suppressAutoHyphens/>
              <w:ind w:left="0" w:firstLine="0"/>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postup při následném odeslání údajů o evidované tržbě do systému evidence tržeb,</w:t>
            </w:r>
          </w:p>
          <w:p w14:paraId="50BED727" w14:textId="77777777" w:rsidR="000B4BD4" w:rsidRPr="0035187E" w:rsidRDefault="000B4BD4" w:rsidP="0035187E">
            <w:pPr>
              <w:numPr>
                <w:ilvl w:val="0"/>
                <w:numId w:val="23"/>
              </w:numPr>
              <w:tabs>
                <w:tab w:val="clear" w:pos="720"/>
                <w:tab w:val="num" w:pos="245"/>
              </w:tabs>
              <w:suppressAutoHyphens/>
              <w:ind w:left="0" w:firstLine="0"/>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řešení opakovaných nebo dlouhodobých výpadků spojení.</w:t>
            </w:r>
          </w:p>
          <w:p w14:paraId="3AB155C4" w14:textId="77777777" w:rsidR="000B4BD4" w:rsidRPr="0035187E" w:rsidRDefault="000B4BD4" w:rsidP="0035187E">
            <w:pPr>
              <w:jc w:val="both"/>
              <w:rPr>
                <w:rFonts w:ascii="Times New Roman" w:hAnsi="Times New Roman" w:cs="Times New Roman"/>
                <w:sz w:val="20"/>
                <w:szCs w:val="20"/>
                <w:lang w:eastAsia="en-US"/>
              </w:rPr>
            </w:pPr>
          </w:p>
          <w:p w14:paraId="36A71B53" w14:textId="7A0F5EB6"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sz w:val="20"/>
                <w:szCs w:val="20"/>
                <w:lang w:eastAsia="en-US"/>
              </w:rPr>
              <w:t>Upřesnění těchto aspektů v důvodové zprávě přispěje k jednotnému výkladu právní úpravy a sníží riziko interpretačních sporů v praxi.</w:t>
            </w:r>
          </w:p>
        </w:tc>
        <w:tc>
          <w:tcPr>
            <w:tcW w:w="1453" w:type="pct"/>
            <w:tcBorders>
              <w:top w:val="single" w:sz="4" w:space="0" w:color="auto"/>
              <w:left w:val="single" w:sz="4" w:space="0" w:color="auto"/>
              <w:right w:val="single" w:sz="4" w:space="0" w:color="auto"/>
            </w:tcBorders>
            <w:shd w:val="clear" w:color="auto" w:fill="auto"/>
          </w:tcPr>
          <w:p w14:paraId="19D9A923" w14:textId="77777777" w:rsidR="00755CF7" w:rsidRPr="0035187E" w:rsidRDefault="00755CF7" w:rsidP="0035187E">
            <w:pPr>
              <w:jc w:val="both"/>
              <w:rPr>
                <w:rFonts w:ascii="Times New Roman" w:hAnsi="Times New Roman" w:cs="Times New Roman"/>
                <w:b/>
                <w:sz w:val="20"/>
                <w:szCs w:val="20"/>
              </w:rPr>
            </w:pPr>
            <w:r w:rsidRPr="0035187E">
              <w:rPr>
                <w:rFonts w:ascii="Times New Roman" w:hAnsi="Times New Roman" w:cs="Times New Roman"/>
                <w:b/>
                <w:sz w:val="20"/>
                <w:szCs w:val="20"/>
              </w:rPr>
              <w:t>Vyhověno.</w:t>
            </w:r>
          </w:p>
          <w:p w14:paraId="1C6137F7" w14:textId="77777777" w:rsidR="000B4BD4" w:rsidRPr="0035187E" w:rsidRDefault="00755CF7" w:rsidP="0035187E">
            <w:pPr>
              <w:jc w:val="both"/>
              <w:rPr>
                <w:rFonts w:ascii="Times New Roman" w:hAnsi="Times New Roman" w:cs="Times New Roman"/>
                <w:sz w:val="20"/>
                <w:szCs w:val="20"/>
              </w:rPr>
            </w:pPr>
            <w:r w:rsidRPr="0035187E">
              <w:rPr>
                <w:rFonts w:ascii="Times New Roman" w:hAnsi="Times New Roman" w:cs="Times New Roman"/>
                <w:sz w:val="20"/>
                <w:szCs w:val="20"/>
              </w:rPr>
              <w:t>Důvodová zpráva byla upravena</w:t>
            </w:r>
            <w:r w:rsidR="00FF60CF" w:rsidRPr="0035187E">
              <w:rPr>
                <w:rFonts w:ascii="Times New Roman" w:hAnsi="Times New Roman" w:cs="Times New Roman"/>
                <w:sz w:val="20"/>
                <w:szCs w:val="20"/>
              </w:rPr>
              <w:t>.</w:t>
            </w:r>
          </w:p>
          <w:p w14:paraId="05B1D57A" w14:textId="77777777" w:rsidR="00FF60CF" w:rsidRPr="0035187E" w:rsidRDefault="00FF60CF" w:rsidP="0035187E">
            <w:pPr>
              <w:jc w:val="both"/>
              <w:rPr>
                <w:rFonts w:ascii="Times New Roman" w:hAnsi="Times New Roman" w:cs="Times New Roman"/>
                <w:sz w:val="20"/>
                <w:szCs w:val="20"/>
              </w:rPr>
            </w:pPr>
          </w:p>
          <w:p w14:paraId="6B733FB0" w14:textId="77777777" w:rsidR="00FF60CF" w:rsidRPr="0035187E" w:rsidRDefault="00FF60CF" w:rsidP="0035187E">
            <w:pPr>
              <w:jc w:val="both"/>
              <w:rPr>
                <w:rFonts w:ascii="Times New Roman" w:hAnsi="Times New Roman" w:cs="Times New Roman"/>
                <w:i/>
                <w:sz w:val="20"/>
                <w:szCs w:val="20"/>
              </w:rPr>
            </w:pPr>
            <w:r w:rsidRPr="0035187E">
              <w:rPr>
                <w:rFonts w:ascii="Times New Roman" w:hAnsi="Times New Roman" w:cs="Times New Roman"/>
                <w:i/>
                <w:sz w:val="20"/>
                <w:szCs w:val="20"/>
              </w:rPr>
              <w:t>Připomínkové místo poděkovalo za vypořádání.</w:t>
            </w:r>
          </w:p>
          <w:p w14:paraId="43D003A3" w14:textId="53DDFBD3" w:rsidR="00FF60CF" w:rsidRPr="0035187E" w:rsidRDefault="00FF60CF" w:rsidP="0035187E">
            <w:pPr>
              <w:jc w:val="both"/>
              <w:rPr>
                <w:rFonts w:ascii="Times New Roman" w:hAnsi="Times New Roman" w:cs="Times New Roman"/>
                <w:sz w:val="20"/>
                <w:szCs w:val="20"/>
              </w:rPr>
            </w:pPr>
          </w:p>
        </w:tc>
      </w:tr>
      <w:tr w:rsidR="0035187E" w:rsidRPr="0035187E" w14:paraId="4845ADBE"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4F38BE6F" w14:textId="575E6AB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144.</w:t>
            </w:r>
          </w:p>
        </w:tc>
        <w:tc>
          <w:tcPr>
            <w:tcW w:w="583" w:type="pct"/>
            <w:tcBorders>
              <w:top w:val="single" w:sz="4" w:space="0" w:color="auto"/>
              <w:left w:val="single" w:sz="4" w:space="0" w:color="auto"/>
              <w:right w:val="single" w:sz="4" w:space="0" w:color="auto"/>
            </w:tcBorders>
            <w:shd w:val="clear" w:color="auto" w:fill="auto"/>
          </w:tcPr>
          <w:p w14:paraId="4EEE8649" w14:textId="5C30F0D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Svaz obchodu a cestovního ruchu České republiky</w:t>
            </w:r>
          </w:p>
        </w:tc>
        <w:tc>
          <w:tcPr>
            <w:tcW w:w="168" w:type="pct"/>
            <w:tcBorders>
              <w:top w:val="single" w:sz="4" w:space="0" w:color="auto"/>
              <w:left w:val="single" w:sz="4" w:space="0" w:color="auto"/>
              <w:right w:val="single" w:sz="4" w:space="0" w:color="auto"/>
            </w:tcBorders>
            <w:shd w:val="clear" w:color="auto" w:fill="auto"/>
          </w:tcPr>
          <w:p w14:paraId="2FA26FD1" w14:textId="33ACEFF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16.</w:t>
            </w:r>
          </w:p>
        </w:tc>
        <w:tc>
          <w:tcPr>
            <w:tcW w:w="169" w:type="pct"/>
            <w:tcBorders>
              <w:top w:val="single" w:sz="4" w:space="0" w:color="auto"/>
              <w:left w:val="single" w:sz="4" w:space="0" w:color="auto"/>
              <w:right w:val="single" w:sz="4" w:space="0" w:color="auto"/>
            </w:tcBorders>
            <w:shd w:val="clear" w:color="auto" w:fill="auto"/>
          </w:tcPr>
          <w:p w14:paraId="05A881D7" w14:textId="0C7E21F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F27700D" w14:textId="77777777" w:rsidR="000B4BD4" w:rsidRPr="0035187E" w:rsidRDefault="000B4BD4" w:rsidP="0035187E">
            <w:pPr>
              <w:numPr>
                <w:ilvl w:val="0"/>
                <w:numId w:val="19"/>
              </w:numPr>
              <w:suppressAutoHyphens/>
              <w:ind w:left="0" w:firstLine="0"/>
              <w:contextualSpacing/>
              <w:jc w:val="both"/>
              <w:rPr>
                <w:rFonts w:ascii="Times New Roman" w:hAnsi="Times New Roman" w:cs="Times New Roman"/>
                <w:b/>
                <w:bCs/>
                <w:sz w:val="20"/>
                <w:szCs w:val="20"/>
                <w:lang w:eastAsia="en-US"/>
              </w:rPr>
            </w:pPr>
            <w:r w:rsidRPr="0035187E">
              <w:rPr>
                <w:rFonts w:ascii="Times New Roman" w:hAnsi="Times New Roman" w:cs="Times New Roman"/>
                <w:b/>
                <w:bCs/>
                <w:sz w:val="20"/>
                <w:szCs w:val="20"/>
                <w:lang w:eastAsia="en-US"/>
              </w:rPr>
              <w:t xml:space="preserve">Připomínka k § 23 návrhu zákona  </w:t>
            </w:r>
          </w:p>
          <w:p w14:paraId="17025D52"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Navrhujeme doplnit důvodovou zprávu o bližší popis způsobu kontroly plnění povinností subjektů při evidenci tržeb.</w:t>
            </w:r>
          </w:p>
          <w:p w14:paraId="0F947896" w14:textId="77777777" w:rsidR="000B4BD4" w:rsidRPr="0035187E" w:rsidRDefault="000B4BD4" w:rsidP="0035187E">
            <w:pPr>
              <w:jc w:val="both"/>
              <w:rPr>
                <w:rFonts w:ascii="Times New Roman" w:hAnsi="Times New Roman" w:cs="Times New Roman"/>
                <w:b/>
                <w:bCs/>
                <w:sz w:val="20"/>
                <w:szCs w:val="20"/>
                <w:lang w:eastAsia="en-US"/>
              </w:rPr>
            </w:pPr>
          </w:p>
          <w:p w14:paraId="50C2C7EA" w14:textId="1407F025"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b/>
                <w:bCs/>
                <w:sz w:val="20"/>
                <w:szCs w:val="20"/>
                <w:lang w:eastAsia="en-US"/>
              </w:rPr>
              <w:t>Odůvodnění:</w:t>
            </w:r>
          </w:p>
          <w:p w14:paraId="5B7C2D87"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lastRenderedPageBreak/>
              <w:t xml:space="preserve">Návrh zákona stanoví povinnosti subjektů evidujících tržby, avšak důvodová zpráva neobsahuje bližší informace o tom, jakým způsobem bude v praxi probíhat kontrola jejich plnění ze strany správce daně. I to je podstatná informace, které ovlivní způsob technické přípravy tak, aby byl podnikatel schopen dostát požadavkům veřejné správy při kontrole plnění povinností řádně a včas. Požadavky na podklady předkládané veřejné správě (zejm. rozsah, struktura, časové období) je nutné předložit dodavatelům SW ve fázi implementace (vývoje SW).  </w:t>
            </w:r>
          </w:p>
          <w:p w14:paraId="45EB85DC" w14:textId="77777777" w:rsidR="000B4BD4" w:rsidRPr="0035187E" w:rsidRDefault="000B4BD4" w:rsidP="0035187E">
            <w:pPr>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Pro zajištění transparentnosti právní úpravy a právní jistoty podnikatelů považujeme za vhodné doplnit důvodovou zprávu zejména o:</w:t>
            </w:r>
          </w:p>
          <w:p w14:paraId="777B1F63" w14:textId="77777777" w:rsidR="000B4BD4" w:rsidRPr="0035187E" w:rsidRDefault="000B4BD4" w:rsidP="0035187E">
            <w:pPr>
              <w:numPr>
                <w:ilvl w:val="0"/>
                <w:numId w:val="24"/>
              </w:numPr>
              <w:tabs>
                <w:tab w:val="clear" w:pos="720"/>
                <w:tab w:val="num" w:pos="387"/>
              </w:tabs>
              <w:suppressAutoHyphens/>
              <w:ind w:left="0" w:firstLine="0"/>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základní principy kontrolních postupů správce daně,</w:t>
            </w:r>
          </w:p>
          <w:p w14:paraId="49700A55" w14:textId="77777777" w:rsidR="000B4BD4" w:rsidRPr="0035187E" w:rsidRDefault="000B4BD4" w:rsidP="0035187E">
            <w:pPr>
              <w:numPr>
                <w:ilvl w:val="0"/>
                <w:numId w:val="24"/>
              </w:numPr>
              <w:tabs>
                <w:tab w:val="clear" w:pos="720"/>
                <w:tab w:val="num" w:pos="387"/>
              </w:tabs>
              <w:suppressAutoHyphens/>
              <w:ind w:left="0" w:firstLine="0"/>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využívání analytických nástrojů při vyhodnocování evidovaných tržeb,</w:t>
            </w:r>
          </w:p>
          <w:p w14:paraId="6A4931F9" w14:textId="77777777" w:rsidR="000B4BD4" w:rsidRPr="0035187E" w:rsidRDefault="000B4BD4" w:rsidP="0035187E">
            <w:pPr>
              <w:numPr>
                <w:ilvl w:val="0"/>
                <w:numId w:val="24"/>
              </w:numPr>
              <w:tabs>
                <w:tab w:val="clear" w:pos="720"/>
                <w:tab w:val="num" w:pos="387"/>
              </w:tabs>
              <w:suppressAutoHyphens/>
              <w:ind w:left="0" w:firstLine="0"/>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způsob provádění místních šetření nebo kontrol na místě,</w:t>
            </w:r>
          </w:p>
          <w:p w14:paraId="150F0828" w14:textId="77777777" w:rsidR="000B4BD4" w:rsidRPr="0035187E" w:rsidRDefault="000B4BD4" w:rsidP="0035187E">
            <w:pPr>
              <w:numPr>
                <w:ilvl w:val="0"/>
                <w:numId w:val="24"/>
              </w:numPr>
              <w:tabs>
                <w:tab w:val="clear" w:pos="720"/>
                <w:tab w:val="num" w:pos="387"/>
              </w:tabs>
              <w:suppressAutoHyphens/>
              <w:ind w:left="0" w:firstLine="0"/>
              <w:jc w:val="both"/>
              <w:rPr>
                <w:rFonts w:ascii="Times New Roman" w:hAnsi="Times New Roman" w:cs="Times New Roman"/>
                <w:sz w:val="20"/>
                <w:szCs w:val="20"/>
                <w:lang w:eastAsia="en-US"/>
              </w:rPr>
            </w:pPr>
            <w:r w:rsidRPr="0035187E">
              <w:rPr>
                <w:rFonts w:ascii="Times New Roman" w:hAnsi="Times New Roman" w:cs="Times New Roman"/>
                <w:sz w:val="20"/>
                <w:szCs w:val="20"/>
                <w:lang w:eastAsia="en-US"/>
              </w:rPr>
              <w:t>návaznost kontrol na sankční mechanismy podle návrhu zákona.</w:t>
            </w:r>
          </w:p>
          <w:p w14:paraId="3B4D1725" w14:textId="77777777" w:rsidR="000B4BD4" w:rsidRPr="0035187E" w:rsidRDefault="000B4BD4" w:rsidP="0035187E">
            <w:pPr>
              <w:jc w:val="both"/>
              <w:rPr>
                <w:rFonts w:ascii="Times New Roman" w:hAnsi="Times New Roman" w:cs="Times New Roman"/>
                <w:sz w:val="20"/>
                <w:szCs w:val="20"/>
                <w:lang w:eastAsia="en-US"/>
              </w:rPr>
            </w:pPr>
          </w:p>
          <w:p w14:paraId="2C89D193" w14:textId="30941096"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sz w:val="20"/>
                <w:szCs w:val="20"/>
                <w:lang w:eastAsia="en-US"/>
              </w:rPr>
              <w:t>Doplnění těchto informací v důvodové zprávě umožní lepší pochopení fungování systému evidence tržeb a přispěje k jeho předvídatelnosti pro podnikatelskou sféru</w:t>
            </w:r>
          </w:p>
        </w:tc>
        <w:tc>
          <w:tcPr>
            <w:tcW w:w="1453" w:type="pct"/>
            <w:tcBorders>
              <w:top w:val="single" w:sz="4" w:space="0" w:color="auto"/>
              <w:left w:val="single" w:sz="4" w:space="0" w:color="auto"/>
              <w:right w:val="single" w:sz="4" w:space="0" w:color="auto"/>
            </w:tcBorders>
            <w:shd w:val="clear" w:color="auto" w:fill="auto"/>
          </w:tcPr>
          <w:p w14:paraId="2B424492" w14:textId="77777777" w:rsidR="00755CF7" w:rsidRPr="0035187E" w:rsidRDefault="00755CF7"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Vysvětleno.</w:t>
            </w:r>
          </w:p>
          <w:p w14:paraId="5979B567" w14:textId="77777777" w:rsidR="000B4BD4" w:rsidRPr="0035187E" w:rsidRDefault="00755CF7"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Je potřeba upozornit na to, že právní předpis i jeho důvodová zpráva, z povahy věci nemohou dopředu předvídat přesný postup aplikační praxe správců daně. Jde totiž o proměnlivou veličinu, která závisí na mnoha faktorech. Požadavek připomínkového místa </w:t>
            </w:r>
            <w:r w:rsidRPr="0035187E">
              <w:rPr>
                <w:rFonts w:ascii="Times New Roman" w:hAnsi="Times New Roman" w:cs="Times New Roman"/>
                <w:sz w:val="20"/>
                <w:szCs w:val="20"/>
              </w:rPr>
              <w:lastRenderedPageBreak/>
              <w:t>je tak do jisté míry nesplnitelný. Poskytnuté informace by tak mohly být postupem času zkreslené a nepřesné. Nadto platí, že některé taktické postupy jsou interní záležitostí správce daně.</w:t>
            </w:r>
          </w:p>
          <w:p w14:paraId="3E5D73BB" w14:textId="77777777" w:rsidR="000D7B67" w:rsidRPr="0035187E" w:rsidRDefault="000D7B67" w:rsidP="0035187E">
            <w:pPr>
              <w:jc w:val="both"/>
              <w:rPr>
                <w:rFonts w:ascii="Times New Roman" w:hAnsi="Times New Roman" w:cs="Times New Roman"/>
                <w:sz w:val="20"/>
                <w:szCs w:val="20"/>
              </w:rPr>
            </w:pPr>
          </w:p>
          <w:p w14:paraId="3E39BE48" w14:textId="10D518D2" w:rsidR="000D7B67" w:rsidRPr="0035187E" w:rsidRDefault="000D7B67" w:rsidP="0035187E">
            <w:pPr>
              <w:jc w:val="both"/>
              <w:rPr>
                <w:rFonts w:ascii="Times New Roman" w:hAnsi="Times New Roman" w:cs="Times New Roman"/>
                <w:iCs/>
                <w:sz w:val="20"/>
                <w:szCs w:val="20"/>
              </w:rPr>
            </w:pPr>
            <w:r w:rsidRPr="0035187E">
              <w:rPr>
                <w:rFonts w:ascii="Times New Roman" w:hAnsi="Times New Roman" w:cs="Times New Roman"/>
                <w:i/>
                <w:sz w:val="20"/>
                <w:szCs w:val="20"/>
              </w:rPr>
              <w:t>Vyjádření připomínkového místa: Bere se na vědomí.</w:t>
            </w:r>
          </w:p>
        </w:tc>
      </w:tr>
      <w:tr w:rsidR="0035187E" w:rsidRPr="0035187E" w14:paraId="5198F542"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F9B7C18" w14:textId="7777777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148.</w:t>
            </w:r>
          </w:p>
        </w:tc>
        <w:tc>
          <w:tcPr>
            <w:tcW w:w="583" w:type="pct"/>
            <w:tcBorders>
              <w:top w:val="single" w:sz="4" w:space="0" w:color="auto"/>
              <w:left w:val="single" w:sz="4" w:space="0" w:color="auto"/>
              <w:right w:val="single" w:sz="4" w:space="0" w:color="auto"/>
            </w:tcBorders>
            <w:shd w:val="clear" w:color="auto" w:fill="auto"/>
          </w:tcPr>
          <w:p w14:paraId="2AF46276" w14:textId="7777777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Unie </w:t>
            </w:r>
            <w:proofErr w:type="spellStart"/>
            <w:r w:rsidRPr="0035187E">
              <w:rPr>
                <w:rFonts w:ascii="Times New Roman" w:hAnsi="Times New Roman" w:cs="Times New Roman"/>
                <w:sz w:val="20"/>
                <w:szCs w:val="20"/>
              </w:rPr>
              <w:t>destilatérů</w:t>
            </w:r>
            <w:proofErr w:type="spellEnd"/>
          </w:p>
        </w:tc>
        <w:tc>
          <w:tcPr>
            <w:tcW w:w="168" w:type="pct"/>
            <w:tcBorders>
              <w:top w:val="single" w:sz="4" w:space="0" w:color="auto"/>
              <w:left w:val="single" w:sz="4" w:space="0" w:color="auto"/>
              <w:right w:val="single" w:sz="4" w:space="0" w:color="auto"/>
            </w:tcBorders>
            <w:shd w:val="clear" w:color="auto" w:fill="auto"/>
          </w:tcPr>
          <w:p w14:paraId="7C72161D" w14:textId="1AD810B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3FC76127" w14:textId="06D9AB1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59DC69E" w14:textId="77777777"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Ačkoliv chápeme důvody jeho zavedení a obecně tento krok podporujeme, pro náš specifický obor může jeho aplikace představovat významné riziko. V případě, že by se tato rizika naplnila, mohlo by dojít k rozvoji černého trhu (a tedy i k nižšímu výběru daní) a zároveň ke zvýšení zdravotních rizik.</w:t>
            </w:r>
          </w:p>
          <w:p w14:paraId="554A8A9A" w14:textId="77777777"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V současnosti působíme jako jeden z posledních efektivních nástrojů omezujících černý trh. Zavedení EET v navrhované podobě může tuto roli zásadně narušit.</w:t>
            </w:r>
          </w:p>
          <w:p w14:paraId="5EE6F081" w14:textId="433E5323" w:rsidR="000B4BD4" w:rsidRPr="0035187E" w:rsidRDefault="000B4BD4" w:rsidP="0035187E">
            <w:pPr>
              <w:pStyle w:val="Zkladntext21"/>
              <w:framePr w:hSpace="0" w:wrap="auto" w:vAnchor="margin" w:hAnchor="text" w:yAlign="inline"/>
              <w:tabs>
                <w:tab w:val="left" w:pos="0"/>
              </w:tabs>
              <w:rPr>
                <w:rFonts w:ascii="Times New Roman" w:hAnsi="Times New Roman"/>
                <w:b w:val="0"/>
                <w:sz w:val="20"/>
              </w:rPr>
            </w:pPr>
            <w:r w:rsidRPr="0035187E">
              <w:rPr>
                <w:rFonts w:ascii="Times New Roman" w:hAnsi="Times New Roman"/>
                <w:b w:val="0"/>
                <w:sz w:val="20"/>
              </w:rPr>
              <w:t>Podrobné odůvodnění našich připomínek uvádíme v příloze.</w:t>
            </w:r>
          </w:p>
        </w:tc>
        <w:tc>
          <w:tcPr>
            <w:tcW w:w="1453" w:type="pct"/>
            <w:tcBorders>
              <w:top w:val="single" w:sz="4" w:space="0" w:color="auto"/>
              <w:left w:val="single" w:sz="4" w:space="0" w:color="auto"/>
              <w:right w:val="single" w:sz="4" w:space="0" w:color="auto"/>
            </w:tcBorders>
            <w:shd w:val="clear" w:color="auto" w:fill="auto"/>
          </w:tcPr>
          <w:p w14:paraId="5CA56ECF" w14:textId="5AF0C13B"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Bere se na vědomí.</w:t>
            </w:r>
          </w:p>
        </w:tc>
      </w:tr>
      <w:tr w:rsidR="0035187E" w:rsidRPr="0035187E" w14:paraId="2D70A4D3"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A15697A" w14:textId="256D991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148.</w:t>
            </w:r>
          </w:p>
        </w:tc>
        <w:tc>
          <w:tcPr>
            <w:tcW w:w="583" w:type="pct"/>
            <w:tcBorders>
              <w:top w:val="single" w:sz="4" w:space="0" w:color="auto"/>
              <w:left w:val="single" w:sz="4" w:space="0" w:color="auto"/>
              <w:right w:val="single" w:sz="4" w:space="0" w:color="auto"/>
            </w:tcBorders>
            <w:shd w:val="clear" w:color="auto" w:fill="auto"/>
          </w:tcPr>
          <w:p w14:paraId="227C746B" w14:textId="49EE95B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xml:space="preserve">Unie </w:t>
            </w:r>
            <w:proofErr w:type="spellStart"/>
            <w:r w:rsidRPr="0035187E">
              <w:rPr>
                <w:rFonts w:ascii="Times New Roman" w:hAnsi="Times New Roman" w:cs="Times New Roman"/>
                <w:sz w:val="20"/>
                <w:szCs w:val="20"/>
              </w:rPr>
              <w:t>destilatérů</w:t>
            </w:r>
            <w:proofErr w:type="spellEnd"/>
          </w:p>
        </w:tc>
        <w:tc>
          <w:tcPr>
            <w:tcW w:w="168" w:type="pct"/>
            <w:tcBorders>
              <w:top w:val="single" w:sz="4" w:space="0" w:color="auto"/>
              <w:left w:val="single" w:sz="4" w:space="0" w:color="auto"/>
              <w:right w:val="single" w:sz="4" w:space="0" w:color="auto"/>
            </w:tcBorders>
            <w:shd w:val="clear" w:color="auto" w:fill="auto"/>
          </w:tcPr>
          <w:p w14:paraId="1B8AF388" w14:textId="743DE26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w:t>
            </w:r>
          </w:p>
        </w:tc>
        <w:tc>
          <w:tcPr>
            <w:tcW w:w="169" w:type="pct"/>
            <w:tcBorders>
              <w:top w:val="single" w:sz="4" w:space="0" w:color="auto"/>
              <w:left w:val="single" w:sz="4" w:space="0" w:color="auto"/>
              <w:right w:val="single" w:sz="4" w:space="0" w:color="auto"/>
            </w:tcBorders>
            <w:shd w:val="clear" w:color="auto" w:fill="auto"/>
          </w:tcPr>
          <w:p w14:paraId="3CAD66E6" w14:textId="0523531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053752B" w14:textId="77777777" w:rsidR="000B4BD4" w:rsidRPr="0035187E" w:rsidRDefault="000B4BD4" w:rsidP="0035187E">
            <w:pPr>
              <w:pStyle w:val="Zkladntext21"/>
              <w:framePr w:hSpace="0" w:wrap="auto" w:vAnchor="margin" w:hAnchor="text" w:yAlign="inline"/>
              <w:tabs>
                <w:tab w:val="left" w:pos="0"/>
              </w:tabs>
              <w:rPr>
                <w:rFonts w:ascii="Times New Roman" w:hAnsi="Times New Roman"/>
                <w:bCs/>
                <w:sz w:val="20"/>
              </w:rPr>
            </w:pPr>
            <w:r w:rsidRPr="0035187E">
              <w:rPr>
                <w:rFonts w:ascii="Times New Roman" w:hAnsi="Times New Roman"/>
                <w:bCs/>
                <w:sz w:val="20"/>
              </w:rPr>
              <w:t>Zásadní připomínka</w:t>
            </w:r>
          </w:p>
          <w:p w14:paraId="6B858BBC" w14:textId="48174CD8" w:rsidR="000B4BD4" w:rsidRPr="0035187E" w:rsidRDefault="000B4BD4" w:rsidP="0035187E">
            <w:pPr>
              <w:pStyle w:val="Zkladntext21"/>
              <w:framePr w:hSpace="0" w:wrap="auto" w:vAnchor="margin" w:hAnchor="text" w:yAlign="inline"/>
              <w:tabs>
                <w:tab w:val="left" w:pos="0"/>
              </w:tabs>
              <w:rPr>
                <w:rFonts w:ascii="Times New Roman" w:hAnsi="Times New Roman"/>
                <w:b w:val="0"/>
                <w:sz w:val="20"/>
              </w:rPr>
            </w:pPr>
            <w:r w:rsidRPr="0035187E">
              <w:rPr>
                <w:rFonts w:ascii="Times New Roman" w:hAnsi="Times New Roman"/>
                <w:b w:val="0"/>
                <w:sz w:val="20"/>
              </w:rPr>
              <w:t>Navrhujeme výslovné vynětí tržeb z pěstitelského pálení z režimu evidence tržeb.</w:t>
            </w:r>
          </w:p>
          <w:p w14:paraId="739A637C" w14:textId="77777777" w:rsidR="000B4BD4" w:rsidRPr="0035187E" w:rsidRDefault="000B4BD4" w:rsidP="0035187E">
            <w:pPr>
              <w:pStyle w:val="Zkladntext21"/>
              <w:framePr w:wrap="auto"/>
              <w:tabs>
                <w:tab w:val="left" w:pos="0"/>
              </w:tabs>
              <w:rPr>
                <w:rFonts w:ascii="Times New Roman" w:hAnsi="Times New Roman"/>
                <w:bCs/>
                <w:sz w:val="20"/>
              </w:rPr>
            </w:pPr>
            <w:r w:rsidRPr="0035187E">
              <w:rPr>
                <w:rFonts w:ascii="Times New Roman" w:hAnsi="Times New Roman"/>
                <w:bCs/>
                <w:sz w:val="20"/>
              </w:rPr>
              <w:t>Odůvodnění</w:t>
            </w:r>
          </w:p>
          <w:p w14:paraId="04E7928C" w14:textId="77777777" w:rsidR="000B4BD4" w:rsidRPr="0035187E" w:rsidRDefault="000B4BD4" w:rsidP="0035187E">
            <w:pPr>
              <w:pStyle w:val="Zkladntext21"/>
              <w:framePr w:wrap="auto"/>
              <w:tabs>
                <w:tab w:val="left" w:pos="0"/>
              </w:tabs>
              <w:rPr>
                <w:rFonts w:ascii="Times New Roman" w:hAnsi="Times New Roman"/>
                <w:bCs/>
                <w:sz w:val="20"/>
              </w:rPr>
            </w:pPr>
            <w:r w:rsidRPr="0035187E">
              <w:rPr>
                <w:rFonts w:ascii="Times New Roman" w:hAnsi="Times New Roman"/>
                <w:bCs/>
                <w:sz w:val="20"/>
              </w:rPr>
              <w:t>1. Specifická povaha činnosti</w:t>
            </w:r>
          </w:p>
          <w:p w14:paraId="42EDBA22" w14:textId="77777777"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Pěstitelské pálení představuje specifickou službu:</w:t>
            </w:r>
          </w:p>
          <w:p w14:paraId="350A89D0" w14:textId="77777777"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 zpracování vlastního ovoce pěstitele</w:t>
            </w:r>
          </w:p>
          <w:p w14:paraId="7055B3C5" w14:textId="77777777"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 výstup není běžným obchodním produktem</w:t>
            </w:r>
          </w:p>
          <w:p w14:paraId="22DE8A26" w14:textId="77777777"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 nejde o standardní maloobchodní prodej</w:t>
            </w:r>
          </w:p>
          <w:p w14:paraId="4E6697C4" w14:textId="77777777" w:rsidR="000B4BD4" w:rsidRPr="0035187E" w:rsidRDefault="000B4BD4" w:rsidP="0035187E">
            <w:pPr>
              <w:pStyle w:val="Zkladntext21"/>
              <w:framePr w:wrap="auto"/>
              <w:tabs>
                <w:tab w:val="left" w:pos="0"/>
              </w:tabs>
              <w:rPr>
                <w:rFonts w:ascii="Times New Roman" w:hAnsi="Times New Roman"/>
                <w:bCs/>
                <w:sz w:val="20"/>
              </w:rPr>
            </w:pPr>
            <w:r w:rsidRPr="0035187E">
              <w:rPr>
                <w:rFonts w:ascii="Times New Roman" w:hAnsi="Times New Roman"/>
                <w:bCs/>
                <w:sz w:val="20"/>
              </w:rPr>
              <w:t>2. Nulové riziko daňových úniků</w:t>
            </w:r>
          </w:p>
          <w:p w14:paraId="50D90A60" w14:textId="77777777"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Segment je:</w:t>
            </w:r>
          </w:p>
          <w:p w14:paraId="316FEC5A" w14:textId="77777777"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 regulován zákonem o spotřební dani</w:t>
            </w:r>
          </w:p>
          <w:p w14:paraId="2DCB0C9E" w14:textId="77777777"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 evidován na úrovni produkce</w:t>
            </w:r>
          </w:p>
          <w:p w14:paraId="02178282" w14:textId="77777777" w:rsidR="000B4BD4" w:rsidRPr="0035187E" w:rsidRDefault="000B4BD4" w:rsidP="0035187E">
            <w:pPr>
              <w:pStyle w:val="Zkladntext21"/>
              <w:framePr w:hSpace="0" w:wrap="auto" w:vAnchor="margin" w:hAnchor="text" w:yAlign="inline"/>
              <w:tabs>
                <w:tab w:val="left" w:pos="0"/>
              </w:tabs>
              <w:rPr>
                <w:rFonts w:ascii="Times New Roman" w:hAnsi="Times New Roman"/>
                <w:b w:val="0"/>
                <w:sz w:val="20"/>
              </w:rPr>
            </w:pPr>
            <w:r w:rsidRPr="0035187E">
              <w:rPr>
                <w:rFonts w:ascii="Times New Roman" w:hAnsi="Times New Roman"/>
                <w:b w:val="0"/>
                <w:sz w:val="20"/>
              </w:rPr>
              <w:t>• kontrolován celní správou</w:t>
            </w:r>
          </w:p>
          <w:p w14:paraId="18CC3CD7" w14:textId="77777777"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Evidence objemu i daňového zatížení již existuje v nejdetailnější možné míře.</w:t>
            </w:r>
          </w:p>
          <w:p w14:paraId="6E46C298" w14:textId="77777777"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Zavedení EET tady nepřináší dodatečný fiskální efekt.</w:t>
            </w:r>
          </w:p>
          <w:p w14:paraId="2BA42DCB" w14:textId="77777777" w:rsidR="000B4BD4" w:rsidRPr="0035187E" w:rsidRDefault="000B4BD4" w:rsidP="0035187E">
            <w:pPr>
              <w:pStyle w:val="Zkladntext21"/>
              <w:framePr w:wrap="auto"/>
              <w:tabs>
                <w:tab w:val="left" w:pos="0"/>
              </w:tabs>
              <w:rPr>
                <w:rFonts w:ascii="Times New Roman" w:hAnsi="Times New Roman"/>
                <w:bCs/>
                <w:sz w:val="20"/>
              </w:rPr>
            </w:pPr>
            <w:r w:rsidRPr="0035187E">
              <w:rPr>
                <w:rFonts w:ascii="Times New Roman" w:hAnsi="Times New Roman"/>
                <w:bCs/>
                <w:sz w:val="20"/>
              </w:rPr>
              <w:t>3. Duplicitní evidence</w:t>
            </w:r>
          </w:p>
          <w:p w14:paraId="547D7FDD" w14:textId="77777777"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Pěstitelské pálení již dnes podléhá:</w:t>
            </w:r>
          </w:p>
          <w:p w14:paraId="6D9F272F" w14:textId="77777777"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 evidenci kvasu a pěstitele</w:t>
            </w:r>
          </w:p>
          <w:p w14:paraId="0DAF377B" w14:textId="77777777"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 evidenci produkce</w:t>
            </w:r>
          </w:p>
          <w:p w14:paraId="15F01179" w14:textId="77777777"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lastRenderedPageBreak/>
              <w:t>• evidenci spotřební daně</w:t>
            </w:r>
          </w:p>
          <w:p w14:paraId="4CEFF5C5" w14:textId="77777777" w:rsidR="000B4BD4" w:rsidRPr="0035187E" w:rsidRDefault="000B4BD4" w:rsidP="0035187E">
            <w:pPr>
              <w:pStyle w:val="Zkladntext21"/>
              <w:framePr w:hSpace="0" w:wrap="auto" w:vAnchor="margin" w:hAnchor="text" w:yAlign="inline"/>
              <w:tabs>
                <w:tab w:val="left" w:pos="0"/>
              </w:tabs>
              <w:rPr>
                <w:rFonts w:ascii="Times New Roman" w:hAnsi="Times New Roman"/>
                <w:b w:val="0"/>
                <w:sz w:val="20"/>
              </w:rPr>
            </w:pPr>
            <w:r w:rsidRPr="0035187E">
              <w:rPr>
                <w:rFonts w:ascii="Times New Roman" w:hAnsi="Times New Roman"/>
                <w:b w:val="0"/>
                <w:sz w:val="20"/>
              </w:rPr>
              <w:t>EET zavádí paralelní evidenci stejného plnění.</w:t>
            </w:r>
          </w:p>
          <w:p w14:paraId="6A38EB79" w14:textId="77777777" w:rsidR="000B4BD4" w:rsidRPr="0035187E" w:rsidRDefault="000B4BD4" w:rsidP="0035187E">
            <w:pPr>
              <w:pStyle w:val="Zkladntext21"/>
              <w:framePr w:wrap="auto"/>
              <w:tabs>
                <w:tab w:val="left" w:pos="0"/>
              </w:tabs>
              <w:rPr>
                <w:rFonts w:ascii="Times New Roman" w:hAnsi="Times New Roman"/>
                <w:bCs/>
                <w:sz w:val="20"/>
              </w:rPr>
            </w:pPr>
            <w:r w:rsidRPr="0035187E">
              <w:rPr>
                <w:rFonts w:ascii="Times New Roman" w:hAnsi="Times New Roman"/>
                <w:bCs/>
                <w:sz w:val="20"/>
              </w:rPr>
              <w:t>4. Nerealizovatelnost evidence</w:t>
            </w:r>
          </w:p>
          <w:p w14:paraId="24AE832F" w14:textId="77777777"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Návrh zákona stanoví:</w:t>
            </w:r>
          </w:p>
          <w:p w14:paraId="55EB7013" w14:textId="77777777"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 evidovaná tržba vzniká převzetím hotovosti</w:t>
            </w:r>
          </w:p>
          <w:p w14:paraId="4437661D" w14:textId="77777777"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 hotovostní platby jsou evidované tržby</w:t>
            </w:r>
          </w:p>
          <w:p w14:paraId="1C553EE1" w14:textId="77777777"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Praktické dopady:</w:t>
            </w:r>
          </w:p>
          <w:p w14:paraId="0D59F723" w14:textId="77777777"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 nutnost evidovat každou platbu v reálném čase</w:t>
            </w:r>
          </w:p>
          <w:p w14:paraId="4F6AB26F" w14:textId="77777777"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 nutnost digitálního zařízení a připojení</w:t>
            </w:r>
          </w:p>
          <w:p w14:paraId="4B4C396B" w14:textId="77777777"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 nutnost obsluhy systému</w:t>
            </w:r>
          </w:p>
          <w:p w14:paraId="4591B7F5" w14:textId="77777777"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Zákazník přiveze ovoce. Pálenice připraví kvas a vypálí jej. Zákazník zboží neodebere. Přesto je palírna povinna odvést spotřební daň. Má daň evidovat jako tržbu, která se nerealizovala nebo jak?</w:t>
            </w:r>
          </w:p>
          <w:p w14:paraId="29D3C8AD" w14:textId="77777777" w:rsidR="000B4BD4" w:rsidRPr="0035187E" w:rsidRDefault="000B4BD4" w:rsidP="0035187E">
            <w:pPr>
              <w:pStyle w:val="Zkladntext21"/>
              <w:framePr w:wrap="auto"/>
              <w:tabs>
                <w:tab w:val="left" w:pos="0"/>
              </w:tabs>
              <w:rPr>
                <w:rFonts w:ascii="Times New Roman" w:hAnsi="Times New Roman"/>
                <w:bCs/>
                <w:sz w:val="20"/>
              </w:rPr>
            </w:pPr>
            <w:r w:rsidRPr="0035187E">
              <w:rPr>
                <w:rFonts w:ascii="Times New Roman" w:hAnsi="Times New Roman"/>
                <w:bCs/>
                <w:sz w:val="20"/>
              </w:rPr>
              <w:t>5. Speciﬁka segmentu</w:t>
            </w:r>
          </w:p>
          <w:p w14:paraId="3CC66565" w14:textId="77777777"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Pěstitelské pálenice jsou typicky:</w:t>
            </w:r>
          </w:p>
          <w:p w14:paraId="222CB7A6" w14:textId="77777777"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 malé a sezónní provozy</w:t>
            </w:r>
          </w:p>
          <w:p w14:paraId="288E1A9F" w14:textId="77777777"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 umístěné ve venkovských oblastech</w:t>
            </w:r>
          </w:p>
          <w:p w14:paraId="6EA00BE4" w14:textId="77777777"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 s vysokým podílem hotovostních plateb</w:t>
            </w:r>
          </w:p>
          <w:p w14:paraId="0CF52AA2" w14:textId="77777777"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 často provozované osobami vyššího věku</w:t>
            </w:r>
          </w:p>
          <w:p w14:paraId="3471459F" w14:textId="77777777"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Návrh neobsahuje:</w:t>
            </w:r>
          </w:p>
          <w:p w14:paraId="7888A426" w14:textId="77777777"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 xml:space="preserve">• </w:t>
            </w:r>
            <w:proofErr w:type="spellStart"/>
            <w:r w:rsidRPr="0035187E">
              <w:rPr>
                <w:rFonts w:ascii="Times New Roman" w:hAnsi="Times New Roman"/>
                <w:b w:val="0"/>
                <w:sz w:val="20"/>
              </w:rPr>
              <w:t>oﬄine</w:t>
            </w:r>
            <w:proofErr w:type="spellEnd"/>
            <w:r w:rsidRPr="0035187E">
              <w:rPr>
                <w:rFonts w:ascii="Times New Roman" w:hAnsi="Times New Roman"/>
                <w:b w:val="0"/>
                <w:sz w:val="20"/>
              </w:rPr>
              <w:t xml:space="preserve"> režim</w:t>
            </w:r>
          </w:p>
          <w:p w14:paraId="2D0E3945" w14:textId="77777777"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 zjednodušený režim</w:t>
            </w:r>
          </w:p>
          <w:p w14:paraId="15B7E276" w14:textId="77777777"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 technické úlevy</w:t>
            </w:r>
          </w:p>
          <w:p w14:paraId="4A778CE7" w14:textId="77777777" w:rsidR="000B4BD4" w:rsidRPr="0035187E" w:rsidRDefault="000B4BD4" w:rsidP="0035187E">
            <w:pPr>
              <w:pStyle w:val="Zkladntext21"/>
              <w:framePr w:wrap="auto"/>
              <w:tabs>
                <w:tab w:val="left" w:pos="0"/>
              </w:tabs>
              <w:rPr>
                <w:rFonts w:ascii="Times New Roman" w:hAnsi="Times New Roman"/>
                <w:bCs/>
                <w:sz w:val="20"/>
              </w:rPr>
            </w:pPr>
            <w:r w:rsidRPr="0035187E">
              <w:rPr>
                <w:rFonts w:ascii="Times New Roman" w:hAnsi="Times New Roman"/>
                <w:bCs/>
                <w:sz w:val="20"/>
              </w:rPr>
              <w:t>6. Nepřiměřenost opatření</w:t>
            </w:r>
          </w:p>
          <w:p w14:paraId="6765510F" w14:textId="77777777"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Deklarovaný cíl:</w:t>
            </w:r>
          </w:p>
          <w:p w14:paraId="34E38FCE" w14:textId="77777777"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 snížení administrativní zátěže</w:t>
            </w:r>
          </w:p>
          <w:p w14:paraId="1910A622" w14:textId="77777777"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 technologická neutralita</w:t>
            </w:r>
          </w:p>
          <w:p w14:paraId="2EC22717" w14:textId="77777777"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Reálný dopad:</w:t>
            </w:r>
          </w:p>
          <w:p w14:paraId="696274CB" w14:textId="77777777"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 zvýšení zátěže</w:t>
            </w:r>
          </w:p>
          <w:p w14:paraId="01278EFA" w14:textId="77777777"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 disproporční dopad na malé subjekty již zatížené totožnou evidencí</w:t>
            </w:r>
          </w:p>
          <w:p w14:paraId="65A4D0A1" w14:textId="77777777" w:rsidR="000B4BD4" w:rsidRPr="0035187E" w:rsidRDefault="000B4BD4" w:rsidP="0035187E">
            <w:pPr>
              <w:pStyle w:val="Zkladntext21"/>
              <w:framePr w:wrap="auto"/>
              <w:tabs>
                <w:tab w:val="left" w:pos="0"/>
              </w:tabs>
              <w:rPr>
                <w:rFonts w:ascii="Times New Roman" w:hAnsi="Times New Roman"/>
                <w:bCs/>
                <w:sz w:val="20"/>
              </w:rPr>
            </w:pPr>
            <w:r w:rsidRPr="0035187E">
              <w:rPr>
                <w:rFonts w:ascii="Times New Roman" w:hAnsi="Times New Roman"/>
                <w:bCs/>
                <w:sz w:val="20"/>
              </w:rPr>
              <w:t>7. Rozpor s principem proporcionality</w:t>
            </w:r>
          </w:p>
          <w:p w14:paraId="7EE49916" w14:textId="77777777"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 přínos opatření = nulový</w:t>
            </w:r>
          </w:p>
          <w:p w14:paraId="22D1DC2D" w14:textId="77777777"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 náklady = reálné a okamžité</w:t>
            </w:r>
          </w:p>
          <w:p w14:paraId="0EBAD2F0" w14:textId="77777777"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Opatření je nepřiměřené</w:t>
            </w:r>
          </w:p>
          <w:p w14:paraId="33601F0D" w14:textId="77777777" w:rsidR="000B4BD4" w:rsidRPr="0035187E" w:rsidRDefault="000B4BD4" w:rsidP="0035187E">
            <w:pPr>
              <w:pStyle w:val="Zkladntext21"/>
              <w:framePr w:wrap="auto"/>
              <w:tabs>
                <w:tab w:val="left" w:pos="0"/>
              </w:tabs>
              <w:rPr>
                <w:rFonts w:ascii="Times New Roman" w:hAnsi="Times New Roman"/>
                <w:bCs/>
                <w:sz w:val="20"/>
              </w:rPr>
            </w:pPr>
            <w:r w:rsidRPr="0035187E">
              <w:rPr>
                <w:rFonts w:ascii="Times New Roman" w:hAnsi="Times New Roman"/>
                <w:bCs/>
                <w:sz w:val="20"/>
              </w:rPr>
              <w:t>Návrh řešení</w:t>
            </w:r>
          </w:p>
          <w:p w14:paraId="09940154" w14:textId="77777777"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Doplnit výjimku:</w:t>
            </w:r>
          </w:p>
          <w:p w14:paraId="63514BC3" w14:textId="53181B26" w:rsidR="000B4BD4" w:rsidRPr="0035187E" w:rsidRDefault="000B4BD4" w:rsidP="0035187E">
            <w:pPr>
              <w:pStyle w:val="Zkladntext21"/>
              <w:framePr w:wrap="auto"/>
              <w:tabs>
                <w:tab w:val="left" w:pos="0"/>
              </w:tabs>
              <w:rPr>
                <w:rFonts w:ascii="Times New Roman" w:hAnsi="Times New Roman"/>
                <w:b w:val="0"/>
                <w:sz w:val="20"/>
              </w:rPr>
            </w:pPr>
            <w:r w:rsidRPr="0035187E">
              <w:rPr>
                <w:rFonts w:ascii="Times New Roman" w:hAnsi="Times New Roman"/>
                <w:b w:val="0"/>
                <w:sz w:val="20"/>
              </w:rPr>
              <w:t>„Z evidence tržeb jsou vyňaty tržby z pěstitelského pálení podle zvláštního právního předpisu.“</w:t>
            </w:r>
          </w:p>
        </w:tc>
        <w:tc>
          <w:tcPr>
            <w:tcW w:w="1453" w:type="pct"/>
            <w:tcBorders>
              <w:top w:val="single" w:sz="4" w:space="0" w:color="auto"/>
              <w:left w:val="single" w:sz="4" w:space="0" w:color="auto"/>
              <w:right w:val="single" w:sz="4" w:space="0" w:color="auto"/>
            </w:tcBorders>
            <w:shd w:val="clear" w:color="auto" w:fill="auto"/>
          </w:tcPr>
          <w:p w14:paraId="6208C956" w14:textId="3310BA19" w:rsidR="000B4BD4" w:rsidRPr="0035187E" w:rsidRDefault="0047231C"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Nevyhověno.</w:t>
            </w:r>
            <w:r w:rsidR="00FD289F" w:rsidRPr="0035187E">
              <w:rPr>
                <w:rFonts w:ascii="Times New Roman" w:hAnsi="Times New Roman" w:cs="Times New Roman"/>
                <w:b/>
                <w:sz w:val="20"/>
                <w:szCs w:val="20"/>
              </w:rPr>
              <w:t xml:space="preserve"> </w:t>
            </w:r>
          </w:p>
          <w:p w14:paraId="547A4A66" w14:textId="77777777" w:rsidR="00FD289F" w:rsidRPr="0035187E" w:rsidRDefault="0047231C" w:rsidP="0035187E">
            <w:pPr>
              <w:jc w:val="both"/>
              <w:rPr>
                <w:rFonts w:ascii="Times New Roman" w:hAnsi="Times New Roman" w:cs="Times New Roman"/>
                <w:sz w:val="20"/>
                <w:szCs w:val="20"/>
              </w:rPr>
            </w:pPr>
            <w:r w:rsidRPr="0035187E">
              <w:rPr>
                <w:rFonts w:ascii="Times New Roman" w:hAnsi="Times New Roman" w:cs="Times New Roman"/>
                <w:sz w:val="20"/>
                <w:szCs w:val="20"/>
              </w:rPr>
              <w:t>Prodej produktů pěstitelského pálení nepředstavuje výjimku, u které by z její podstaty měl být dán důvod k vynětí z povinnosti evidence tržeb.</w:t>
            </w:r>
            <w:r w:rsidR="008F239E" w:rsidRPr="0035187E">
              <w:rPr>
                <w:rFonts w:ascii="Times New Roman" w:hAnsi="Times New Roman" w:cs="Times New Roman"/>
                <w:sz w:val="20"/>
                <w:szCs w:val="20"/>
              </w:rPr>
              <w:t xml:space="preserve"> </w:t>
            </w:r>
          </w:p>
          <w:p w14:paraId="15D30571" w14:textId="23C00F46" w:rsidR="00FD289F" w:rsidRPr="0035187E" w:rsidRDefault="00FD289F" w:rsidP="0035187E">
            <w:pPr>
              <w:jc w:val="both"/>
              <w:rPr>
                <w:rFonts w:ascii="Times New Roman" w:hAnsi="Times New Roman" w:cs="Times New Roman"/>
                <w:sz w:val="20"/>
                <w:szCs w:val="20"/>
              </w:rPr>
            </w:pPr>
            <w:r w:rsidRPr="0035187E">
              <w:rPr>
                <w:rFonts w:ascii="Times New Roman" w:hAnsi="Times New Roman" w:cs="Times New Roman"/>
                <w:b/>
                <w:sz w:val="20"/>
                <w:szCs w:val="20"/>
              </w:rPr>
              <w:t>Vysvětleno.</w:t>
            </w:r>
          </w:p>
          <w:p w14:paraId="1888B37B" w14:textId="42ECE9D2" w:rsidR="0047231C" w:rsidRPr="0035187E" w:rsidRDefault="008F239E" w:rsidP="0035187E">
            <w:pPr>
              <w:jc w:val="both"/>
              <w:rPr>
                <w:rFonts w:ascii="Times New Roman" w:hAnsi="Times New Roman" w:cs="Times New Roman"/>
                <w:sz w:val="20"/>
                <w:szCs w:val="20"/>
              </w:rPr>
            </w:pPr>
            <w:r w:rsidRPr="0035187E">
              <w:rPr>
                <w:rFonts w:ascii="Times New Roman" w:hAnsi="Times New Roman" w:cs="Times New Roman"/>
                <w:sz w:val="20"/>
                <w:szCs w:val="20"/>
              </w:rPr>
              <w:t>Evidenční povinnost se nevztahuje na výrobu ani nerealizované prodeje, nýbrž pouze to, co je hrazeno zákazníkem v rámci tzv. kontaktní platby a tvoří tzv. rozhodný příjmem ve smyslu § 8 návrhu.</w:t>
            </w:r>
          </w:p>
          <w:p w14:paraId="40D4593F" w14:textId="2394A4F3" w:rsidR="008F239E" w:rsidRPr="0035187E" w:rsidRDefault="008F239E" w:rsidP="0035187E">
            <w:pPr>
              <w:jc w:val="both"/>
              <w:rPr>
                <w:rFonts w:ascii="Times New Roman" w:hAnsi="Times New Roman" w:cs="Times New Roman"/>
                <w:sz w:val="20"/>
                <w:szCs w:val="20"/>
              </w:rPr>
            </w:pPr>
          </w:p>
        </w:tc>
      </w:tr>
      <w:tr w:rsidR="0035187E" w:rsidRPr="0035187E" w14:paraId="43980F99" w14:textId="77777777" w:rsidTr="0035187E">
        <w:trPr>
          <w:trHeight w:val="513"/>
        </w:trPr>
        <w:tc>
          <w:tcPr>
            <w:tcW w:w="227" w:type="pct"/>
            <w:tcBorders>
              <w:top w:val="single" w:sz="4" w:space="0" w:color="auto"/>
              <w:left w:val="single" w:sz="4" w:space="0" w:color="auto"/>
              <w:bottom w:val="single" w:sz="4" w:space="0" w:color="auto"/>
              <w:right w:val="single" w:sz="4" w:space="0" w:color="auto"/>
            </w:tcBorders>
            <w:shd w:val="clear" w:color="auto" w:fill="auto"/>
          </w:tcPr>
          <w:p w14:paraId="17DC8246" w14:textId="391DEB7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152.</w:t>
            </w:r>
          </w:p>
        </w:tc>
        <w:tc>
          <w:tcPr>
            <w:tcW w:w="583" w:type="pct"/>
            <w:tcBorders>
              <w:top w:val="single" w:sz="4" w:space="0" w:color="auto"/>
              <w:left w:val="single" w:sz="4" w:space="0" w:color="auto"/>
              <w:bottom w:val="single" w:sz="4" w:space="0" w:color="auto"/>
              <w:right w:val="single" w:sz="4" w:space="0" w:color="auto"/>
            </w:tcBorders>
            <w:shd w:val="clear" w:color="auto" w:fill="auto"/>
          </w:tcPr>
          <w:p w14:paraId="017E63D9" w14:textId="748D74E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Asociace poskytovatelů nebankovních úvěrů</w:t>
            </w:r>
          </w:p>
        </w:tc>
        <w:tc>
          <w:tcPr>
            <w:tcW w:w="168" w:type="pct"/>
            <w:tcBorders>
              <w:top w:val="single" w:sz="4" w:space="0" w:color="auto"/>
              <w:left w:val="single" w:sz="4" w:space="0" w:color="auto"/>
              <w:bottom w:val="single" w:sz="4" w:space="0" w:color="auto"/>
              <w:right w:val="single" w:sz="4" w:space="0" w:color="auto"/>
            </w:tcBorders>
            <w:shd w:val="clear" w:color="auto" w:fill="auto"/>
          </w:tcPr>
          <w:p w14:paraId="68C92C24" w14:textId="46B741F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08AF48D7" w14:textId="7F6A6F1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3F33D90" w14:textId="31353880"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Zásadní připomínka k části první, hlavě II, dílu 3, § 12 odst. 2</w:t>
            </w:r>
          </w:p>
          <w:p w14:paraId="61C54A4F"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5E2F1E28" w14:textId="6E52075C" w:rsidR="000B4BD4" w:rsidRPr="0035187E" w:rsidRDefault="000B4BD4" w:rsidP="0035187E">
            <w:pPr>
              <w:autoSpaceDE w:val="0"/>
              <w:autoSpaceDN w:val="0"/>
              <w:adjustRightInd w:val="0"/>
              <w:jc w:val="both"/>
              <w:rPr>
                <w:rFonts w:ascii="Times New Roman" w:hAnsi="Times New Roman" w:cs="Times New Roman"/>
                <w:i/>
                <w:iCs/>
                <w:sz w:val="20"/>
                <w:szCs w:val="20"/>
              </w:rPr>
            </w:pPr>
            <w:r w:rsidRPr="0035187E">
              <w:rPr>
                <w:rFonts w:ascii="Times New Roman" w:hAnsi="Times New Roman" w:cs="Times New Roman"/>
                <w:i/>
                <w:iCs/>
                <w:sz w:val="20"/>
                <w:szCs w:val="20"/>
              </w:rPr>
              <w:t>Navrhujeme v § 12 odst. 2 na konci písmene h) tečku nahradit čárkou a doplnit nové písmeno i), které zní: „i) nebankovního poskytovatele spotřebitelského úvěru.“.</w:t>
            </w:r>
          </w:p>
          <w:p w14:paraId="40F8D054" w14:textId="77777777" w:rsidR="000B4BD4" w:rsidRPr="0035187E" w:rsidRDefault="000B4BD4" w:rsidP="0035187E">
            <w:pPr>
              <w:autoSpaceDE w:val="0"/>
              <w:autoSpaceDN w:val="0"/>
              <w:adjustRightInd w:val="0"/>
              <w:jc w:val="both"/>
              <w:rPr>
                <w:rFonts w:ascii="Times New Roman" w:hAnsi="Times New Roman" w:cs="Times New Roman"/>
                <w:i/>
                <w:iCs/>
                <w:sz w:val="20"/>
                <w:szCs w:val="20"/>
              </w:rPr>
            </w:pPr>
          </w:p>
          <w:p w14:paraId="50A4BBBF" w14:textId="77777777" w:rsidR="000B4BD4" w:rsidRPr="0035187E" w:rsidRDefault="000B4BD4" w:rsidP="0035187E">
            <w:pPr>
              <w:autoSpaceDE w:val="0"/>
              <w:autoSpaceDN w:val="0"/>
              <w:adjustRightInd w:val="0"/>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Odůvodnění:</w:t>
            </w:r>
          </w:p>
          <w:p w14:paraId="61D441F2"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Navrhujeme doplnit nebankovní poskytovatele spotřebitelského úvěru do seznamu poplatníků z oblasti finančního trhu, kteří jsou vyňati z povinnosti evidovat tržby. Máme za to, že nezahrnutí nebankovních poskytovatelů v navrhovaném seznamu představuje ze strany předkladatele opomenutí. </w:t>
            </w:r>
          </w:p>
          <w:p w14:paraId="49CDC5F5"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1DD860BE" w14:textId="77777777"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Stejně jako v případě ostatních poplatníků v této kategorii je již v současnosti transparentní kontrola nebankovních poskytovatelů pro účely správy daně zajištěna řadou dalších právních mechanismů. Zejména je třeba upozornit, že nebankovní poskytovatelé spotřebitelských úvěrů stejně jako banky, pojišťovny a další vyňaté finanční instituce shodně podléhají přísnému dohledu ze strany České národní banky (ČNB), pokud jde o povinnosti dle zákona o spotřebitelském úvěru, nebo Finančního analytického úřadu (FAU), pokud jde o povinnosti dle zákona o některých opatřeních proti legalizaci výnosů z trestné činnosti a financování terorismu (AML). Z dohledových povinností tak vyplývá pravidelné a detailní poskytování finančních výkazů a AML ukazatelů poskytovatele ČNB. Z pravidel AML zároveň vyplývá adresnost každé finanční operace spotřebitele, která je spojena s konkrétním rodným číslem, číslem smlouvy a historií spotřebitele. Riziko zatajení tržeb nebankovními poskytovateli spotřebních úvěrů proto není žádné. </w:t>
            </w:r>
          </w:p>
          <w:p w14:paraId="63DED67B"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1F49196E" w14:textId="03BDF4C1"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U subjektů finančního trhu předkladatel argumentuje, že evidování jejich tržeb by bylo </w:t>
            </w:r>
            <w:r w:rsidRPr="0035187E">
              <w:rPr>
                <w:rFonts w:ascii="Times New Roman" w:hAnsi="Times New Roman" w:cs="Times New Roman"/>
                <w:i/>
                <w:iCs/>
                <w:sz w:val="20"/>
                <w:szCs w:val="20"/>
              </w:rPr>
              <w:t>„nehospodárné“</w:t>
            </w:r>
            <w:r w:rsidRPr="0035187E">
              <w:rPr>
                <w:rFonts w:ascii="Times New Roman" w:hAnsi="Times New Roman" w:cs="Times New Roman"/>
                <w:sz w:val="20"/>
                <w:szCs w:val="20"/>
              </w:rPr>
              <w:t>, neboť jejich hotovostní tržby jsou „mizivé v poměru k nákladům“, které by musely na evidenci vynaložit. Tato premisa přitom plně dopadá i na nebankovní poskytovatele úvěrů, kde drtivá většina transakcí (poskytnutí i splácení úvěru) probíhá v současnosti bezhotovostně, přičemž tento trend dlouhodobě posiluje. Nelze proto očekávat, že by případné zavedení evidence tržeb i pro nebankovní poskytovatele mělo významný fiskální přínos.</w:t>
            </w:r>
          </w:p>
          <w:p w14:paraId="4F5AC1A3"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3E59D179" w14:textId="15212959"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Mimo to je vhodné také připomenout, že finanční služby jako celek, tedy včetně poskytování spotřebitelských úvěrů, jsou v současnosti vyňaty z daně z přidané hodnoty. Riziko nezákonné optimalizace tržeb ze strany subjektů v tomto segmentu je tedy z povahy věci oproti jiným významně nižší. Zároveň ani není známo, že by poskytovatelů finančních služeb využívali optimalizace tržeb, pokud jde o jiné daně.</w:t>
            </w:r>
          </w:p>
          <w:p w14:paraId="4FF326F6"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3D3260BD" w14:textId="68F70121"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 xml:space="preserve">Předkladatel deklaruje mimo jiné cíl </w:t>
            </w:r>
            <w:r w:rsidRPr="0035187E">
              <w:rPr>
                <w:rFonts w:ascii="Times New Roman" w:hAnsi="Times New Roman" w:cs="Times New Roman"/>
                <w:i/>
                <w:iCs/>
                <w:sz w:val="20"/>
                <w:szCs w:val="20"/>
              </w:rPr>
              <w:t>„</w:t>
            </w:r>
            <w:proofErr w:type="spellStart"/>
            <w:r w:rsidRPr="0035187E">
              <w:rPr>
                <w:rFonts w:ascii="Times New Roman" w:hAnsi="Times New Roman" w:cs="Times New Roman"/>
                <w:i/>
                <w:iCs/>
                <w:sz w:val="20"/>
                <w:szCs w:val="20"/>
              </w:rPr>
              <w:t>eliminova</w:t>
            </w:r>
            <w:proofErr w:type="spellEnd"/>
            <w:r w:rsidRPr="0035187E">
              <w:rPr>
                <w:rFonts w:ascii="Times New Roman" w:hAnsi="Times New Roman" w:cs="Times New Roman"/>
                <w:i/>
                <w:iCs/>
                <w:sz w:val="20"/>
                <w:szCs w:val="20"/>
              </w:rPr>
              <w:t>[t] nadbytečnou finanční a administrativní zátěž na straně dotčených subjektů“</w:t>
            </w:r>
            <w:r w:rsidRPr="0035187E">
              <w:rPr>
                <w:rFonts w:ascii="Times New Roman" w:hAnsi="Times New Roman" w:cs="Times New Roman"/>
                <w:sz w:val="20"/>
                <w:szCs w:val="20"/>
              </w:rPr>
              <w:t>. Uvalení povinnosti na sektor, který je již nyní digitálně i procesně monitorován ČNB, by bylo v přímém rozporu s tímto prohlášením.</w:t>
            </w:r>
          </w:p>
          <w:p w14:paraId="66F349CB"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3E71900E" w14:textId="14C948CD" w:rsidR="000B4BD4" w:rsidRPr="0035187E" w:rsidRDefault="000B4BD4" w:rsidP="0035187E">
            <w:pPr>
              <w:autoSpaceDE w:val="0"/>
              <w:autoSpaceDN w:val="0"/>
              <w:adjustRightInd w:val="0"/>
              <w:jc w:val="both"/>
              <w:rPr>
                <w:rFonts w:ascii="Times New Roman" w:hAnsi="Times New Roman" w:cs="Times New Roman"/>
                <w:sz w:val="20"/>
                <w:szCs w:val="20"/>
              </w:rPr>
            </w:pPr>
            <w:r w:rsidRPr="0035187E">
              <w:rPr>
                <w:rFonts w:ascii="Times New Roman" w:hAnsi="Times New Roman" w:cs="Times New Roman"/>
                <w:sz w:val="20"/>
                <w:szCs w:val="20"/>
              </w:rPr>
              <w:t>I když někteří nebankovní poskytovatelé mají provozovny, charakter jejich služby (finanční produkt) nevykazuje osobní prvek, který představuje významné riziko zatajení tržby, v takové míře, jako je tomu u jiných podnikatelských segmentů (např. maloobchod, gastronomie), na které návrh zákona primárně cílí.</w:t>
            </w:r>
          </w:p>
          <w:p w14:paraId="53161F38" w14:textId="77777777" w:rsidR="000B4BD4" w:rsidRPr="0035187E" w:rsidRDefault="000B4BD4" w:rsidP="0035187E">
            <w:pPr>
              <w:autoSpaceDE w:val="0"/>
              <w:autoSpaceDN w:val="0"/>
              <w:adjustRightInd w:val="0"/>
              <w:jc w:val="both"/>
              <w:rPr>
                <w:rFonts w:ascii="Times New Roman" w:hAnsi="Times New Roman" w:cs="Times New Roman"/>
                <w:sz w:val="20"/>
                <w:szCs w:val="20"/>
              </w:rPr>
            </w:pPr>
          </w:p>
          <w:p w14:paraId="478A1681" w14:textId="5A9AEB33" w:rsidR="000B4BD4" w:rsidRPr="0035187E" w:rsidRDefault="000B4BD4" w:rsidP="0035187E">
            <w:pPr>
              <w:autoSpaceDE w:val="0"/>
              <w:autoSpaceDN w:val="0"/>
              <w:adjustRightInd w:val="0"/>
              <w:jc w:val="both"/>
              <w:rPr>
                <w:rFonts w:ascii="Times New Roman" w:hAnsi="Times New Roman" w:cs="Times New Roman"/>
                <w:b/>
                <w:sz w:val="20"/>
                <w:szCs w:val="20"/>
              </w:rPr>
            </w:pPr>
            <w:r w:rsidRPr="0035187E">
              <w:rPr>
                <w:rFonts w:ascii="Times New Roman" w:hAnsi="Times New Roman" w:cs="Times New Roman"/>
                <w:sz w:val="20"/>
                <w:szCs w:val="20"/>
              </w:rPr>
              <w:lastRenderedPageBreak/>
              <w:t>Nezahrnutí nebankovních poskytovatelů za současného vynětí bank a dalších finančních institucí by konečně bylo v rozporu s principem rovného zacházení, když se z povahy věci jedná o subjekty se srovnatelným způsobem i stupněm regulace.</w:t>
            </w:r>
          </w:p>
        </w:tc>
        <w:tc>
          <w:tcPr>
            <w:tcW w:w="1453" w:type="pct"/>
            <w:tcBorders>
              <w:top w:val="single" w:sz="4" w:space="0" w:color="auto"/>
              <w:left w:val="single" w:sz="4" w:space="0" w:color="auto"/>
              <w:bottom w:val="single" w:sz="4" w:space="0" w:color="auto"/>
              <w:right w:val="single" w:sz="4" w:space="0" w:color="auto"/>
            </w:tcBorders>
            <w:shd w:val="clear" w:color="auto" w:fill="auto"/>
          </w:tcPr>
          <w:p w14:paraId="3194393E" w14:textId="77777777" w:rsidR="000B4BD4" w:rsidRPr="0035187E" w:rsidRDefault="0047231C"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Vyhověno.</w:t>
            </w:r>
          </w:p>
          <w:p w14:paraId="3A5B49DC" w14:textId="77777777" w:rsidR="0047231C" w:rsidRPr="0035187E" w:rsidRDefault="0047231C" w:rsidP="0035187E">
            <w:pPr>
              <w:jc w:val="both"/>
              <w:rPr>
                <w:rFonts w:ascii="Times New Roman" w:hAnsi="Times New Roman" w:cs="Times New Roman"/>
                <w:sz w:val="20"/>
                <w:szCs w:val="20"/>
              </w:rPr>
            </w:pPr>
            <w:r w:rsidRPr="0035187E">
              <w:rPr>
                <w:rFonts w:ascii="Times New Roman" w:hAnsi="Times New Roman" w:cs="Times New Roman"/>
                <w:sz w:val="20"/>
                <w:szCs w:val="20"/>
              </w:rPr>
              <w:t>Materiál byl upraven.</w:t>
            </w:r>
          </w:p>
          <w:p w14:paraId="5C24A1ED" w14:textId="77777777" w:rsidR="0047231C" w:rsidRPr="0035187E" w:rsidRDefault="0047231C" w:rsidP="0035187E">
            <w:pPr>
              <w:jc w:val="both"/>
              <w:rPr>
                <w:rFonts w:ascii="Times New Roman" w:hAnsi="Times New Roman" w:cs="Times New Roman"/>
                <w:sz w:val="20"/>
                <w:szCs w:val="20"/>
              </w:rPr>
            </w:pPr>
          </w:p>
          <w:p w14:paraId="178E27C3" w14:textId="7A17850C" w:rsidR="0047231C" w:rsidRPr="0035187E" w:rsidRDefault="0047231C" w:rsidP="0035187E">
            <w:pPr>
              <w:jc w:val="both"/>
              <w:rPr>
                <w:rFonts w:ascii="Times New Roman" w:hAnsi="Times New Roman" w:cs="Times New Roman"/>
                <w:sz w:val="20"/>
                <w:szCs w:val="20"/>
              </w:rPr>
            </w:pPr>
          </w:p>
        </w:tc>
      </w:tr>
      <w:tr w:rsidR="0035187E" w:rsidRPr="0035187E" w14:paraId="26207E6C" w14:textId="77777777" w:rsidTr="0035187E">
        <w:trPr>
          <w:trHeight w:val="513"/>
        </w:trPr>
        <w:tc>
          <w:tcPr>
            <w:tcW w:w="227" w:type="pct"/>
            <w:tcBorders>
              <w:top w:val="single" w:sz="4" w:space="0" w:color="auto"/>
              <w:left w:val="single" w:sz="4" w:space="0" w:color="auto"/>
              <w:bottom w:val="single" w:sz="4" w:space="0" w:color="auto"/>
              <w:right w:val="single" w:sz="4" w:space="0" w:color="auto"/>
            </w:tcBorders>
            <w:shd w:val="clear" w:color="auto" w:fill="auto"/>
          </w:tcPr>
          <w:p w14:paraId="37F7C514" w14:textId="446AE15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153.</w:t>
            </w:r>
          </w:p>
        </w:tc>
        <w:tc>
          <w:tcPr>
            <w:tcW w:w="583" w:type="pct"/>
            <w:tcBorders>
              <w:top w:val="single" w:sz="4" w:space="0" w:color="auto"/>
              <w:left w:val="single" w:sz="4" w:space="0" w:color="auto"/>
              <w:bottom w:val="single" w:sz="4" w:space="0" w:color="auto"/>
              <w:right w:val="single" w:sz="4" w:space="0" w:color="auto"/>
            </w:tcBorders>
            <w:shd w:val="clear" w:color="auto" w:fill="auto"/>
          </w:tcPr>
          <w:p w14:paraId="3750635D" w14:textId="05F311C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Burza cenných papírů, a.s.</w:t>
            </w:r>
          </w:p>
        </w:tc>
        <w:tc>
          <w:tcPr>
            <w:tcW w:w="168" w:type="pct"/>
            <w:tcBorders>
              <w:top w:val="single" w:sz="4" w:space="0" w:color="auto"/>
              <w:left w:val="single" w:sz="4" w:space="0" w:color="auto"/>
              <w:bottom w:val="single" w:sz="4" w:space="0" w:color="auto"/>
              <w:right w:val="single" w:sz="4" w:space="0" w:color="auto"/>
            </w:tcBorders>
            <w:shd w:val="clear" w:color="auto" w:fill="auto"/>
          </w:tcPr>
          <w:p w14:paraId="2200AB1F" w14:textId="2D104823"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0EB190EB" w14:textId="64AC3E9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ED4F2B0"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Dobrý den,</w:t>
            </w:r>
          </w:p>
          <w:p w14:paraId="28DE2B73"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jménem Burzy cenných papírů, a.s. Vás kontaktujeme v rámci připomínkového řízení k návrhu zákona o evidenci tržeb a o změně některých dalších zákonů. </w:t>
            </w:r>
          </w:p>
          <w:p w14:paraId="6E35A6C1"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Jako přímo dotčený subjekt Vám předkládáme následující připomínku </w:t>
            </w:r>
          </w:p>
          <w:p w14:paraId="1B4B1B00" w14:textId="77777777" w:rsidR="000B4BD4" w:rsidRPr="0035187E" w:rsidRDefault="000B4BD4" w:rsidP="0035187E">
            <w:pPr>
              <w:jc w:val="both"/>
              <w:rPr>
                <w:rFonts w:ascii="Times New Roman" w:hAnsi="Times New Roman" w:cs="Times New Roman"/>
                <w:sz w:val="20"/>
                <w:szCs w:val="20"/>
              </w:rPr>
            </w:pPr>
          </w:p>
          <w:p w14:paraId="2B577D3B"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u w:val="single"/>
              </w:rPr>
              <w:t>k § 12 odst. 2 k návrhu zákona o evidenci tržeb a o změně některých dalších zákonů</w:t>
            </w:r>
          </w:p>
          <w:p w14:paraId="566C1D0B" w14:textId="77777777" w:rsidR="000B4BD4" w:rsidRPr="0035187E" w:rsidRDefault="000B4BD4" w:rsidP="0035187E">
            <w:pPr>
              <w:jc w:val="both"/>
              <w:rPr>
                <w:rFonts w:ascii="Times New Roman" w:hAnsi="Times New Roman" w:cs="Times New Roman"/>
                <w:sz w:val="20"/>
                <w:szCs w:val="20"/>
              </w:rPr>
            </w:pPr>
          </w:p>
          <w:p w14:paraId="0CA31C52"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Doporučujeme rozšířit výčet poplatníků vyňatých z evidence tržeb o evropský regulovaný trh, mnohostranný obchodní systém a organizovaný obchodní systém. </w:t>
            </w:r>
          </w:p>
          <w:p w14:paraId="688229CA" w14:textId="77777777" w:rsidR="000B4BD4" w:rsidRPr="0035187E" w:rsidRDefault="000B4BD4" w:rsidP="0035187E">
            <w:pPr>
              <w:jc w:val="both"/>
              <w:rPr>
                <w:rFonts w:ascii="Times New Roman" w:hAnsi="Times New Roman" w:cs="Times New Roman"/>
                <w:sz w:val="20"/>
                <w:szCs w:val="20"/>
              </w:rPr>
            </w:pPr>
          </w:p>
          <w:p w14:paraId="648A0678"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b/>
                <w:bCs/>
                <w:sz w:val="20"/>
                <w:szCs w:val="20"/>
              </w:rPr>
              <w:t>Odůvodnění:</w:t>
            </w:r>
          </w:p>
          <w:p w14:paraId="1E270C80"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Obdobně jako centrální depozitář a obchodníci s cennými papíry výše uvedené obchodní systémy již podléhají přísné finanční regulaci a dozoru České národní banky. Jejich přímé platby jsou ojedinělé a řádně evidované. Přínos k monitorování citlivých finančních toků a šedé zóny by byl nulový. Považujeme proto zahrnutí obchodních systémů do evidence tržeb za zbytečnou administrativní zátěž bez hmatatelného přínosu.</w:t>
            </w:r>
          </w:p>
          <w:p w14:paraId="5B175B59" w14:textId="77777777" w:rsidR="000B4BD4" w:rsidRPr="0035187E" w:rsidRDefault="000B4BD4" w:rsidP="0035187E">
            <w:pPr>
              <w:jc w:val="both"/>
              <w:rPr>
                <w:rFonts w:ascii="Times New Roman" w:hAnsi="Times New Roman" w:cs="Times New Roman"/>
                <w:sz w:val="20"/>
                <w:szCs w:val="20"/>
              </w:rPr>
            </w:pPr>
          </w:p>
          <w:p w14:paraId="4D1133E1" w14:textId="3AD53224" w:rsidR="000B4BD4" w:rsidRPr="0035187E" w:rsidRDefault="000B4BD4" w:rsidP="0035187E">
            <w:pPr>
              <w:jc w:val="both"/>
              <w:rPr>
                <w:rFonts w:ascii="Times New Roman" w:hAnsi="Times New Roman" w:cs="Times New Roman"/>
                <w:b/>
                <w:sz w:val="20"/>
                <w:szCs w:val="20"/>
              </w:rPr>
            </w:pPr>
            <w:r w:rsidRPr="0035187E">
              <w:rPr>
                <w:rFonts w:ascii="Times New Roman" w:hAnsi="Times New Roman" w:cs="Times New Roman"/>
                <w:sz w:val="20"/>
                <w:szCs w:val="20"/>
              </w:rPr>
              <w:t>V případě potřeby bližších informací Vám jsme k dispozici.</w:t>
            </w:r>
          </w:p>
        </w:tc>
        <w:tc>
          <w:tcPr>
            <w:tcW w:w="1453" w:type="pct"/>
            <w:tcBorders>
              <w:top w:val="single" w:sz="4" w:space="0" w:color="auto"/>
              <w:left w:val="single" w:sz="4" w:space="0" w:color="auto"/>
              <w:bottom w:val="single" w:sz="4" w:space="0" w:color="auto"/>
              <w:right w:val="single" w:sz="4" w:space="0" w:color="auto"/>
            </w:tcBorders>
            <w:shd w:val="clear" w:color="auto" w:fill="auto"/>
          </w:tcPr>
          <w:p w14:paraId="6DAE1F16" w14:textId="7CF1BDDD" w:rsidR="00FD289F" w:rsidRPr="006C450C" w:rsidRDefault="006C450C" w:rsidP="0035187E">
            <w:pPr>
              <w:jc w:val="both"/>
              <w:rPr>
                <w:rFonts w:ascii="Times New Roman" w:hAnsi="Times New Roman" w:cs="Times New Roman"/>
                <w:b/>
                <w:sz w:val="20"/>
                <w:szCs w:val="20"/>
              </w:rPr>
            </w:pPr>
            <w:r w:rsidRPr="006C450C">
              <w:rPr>
                <w:rFonts w:ascii="Times New Roman" w:hAnsi="Times New Roman" w:cs="Times New Roman"/>
                <w:b/>
                <w:sz w:val="20"/>
                <w:szCs w:val="20"/>
              </w:rPr>
              <w:t>Vyhověno částečně.</w:t>
            </w:r>
          </w:p>
          <w:p w14:paraId="28001488" w14:textId="7B4D34BC" w:rsidR="000B4BD4" w:rsidRPr="0035187E" w:rsidRDefault="006C450C" w:rsidP="0035187E">
            <w:pPr>
              <w:jc w:val="both"/>
              <w:rPr>
                <w:rFonts w:ascii="Times New Roman" w:hAnsi="Times New Roman" w:cs="Times New Roman"/>
                <w:sz w:val="20"/>
                <w:szCs w:val="20"/>
              </w:rPr>
            </w:pPr>
            <w:r w:rsidRPr="006C450C">
              <w:rPr>
                <w:rFonts w:ascii="Times New Roman" w:hAnsi="Times New Roman" w:cs="Times New Roman"/>
                <w:sz w:val="20"/>
                <w:szCs w:val="20"/>
              </w:rPr>
              <w:t>Materiál byl doplněn</w:t>
            </w:r>
            <w:r>
              <w:rPr>
                <w:rFonts w:ascii="Times New Roman" w:hAnsi="Times New Roman" w:cs="Times New Roman"/>
                <w:sz w:val="20"/>
                <w:szCs w:val="20"/>
              </w:rPr>
              <w:t xml:space="preserve"> ve prospěch vynětí tržeb </w:t>
            </w:r>
            <w:r w:rsidR="00095F04">
              <w:rPr>
                <w:rFonts w:ascii="Times New Roman" w:hAnsi="Times New Roman" w:cs="Times New Roman"/>
                <w:sz w:val="20"/>
                <w:szCs w:val="20"/>
              </w:rPr>
              <w:t>„</w:t>
            </w:r>
            <w:r w:rsidR="00095F04" w:rsidRPr="00095F04">
              <w:rPr>
                <w:rFonts w:ascii="Times New Roman" w:hAnsi="Times New Roman" w:cs="Times New Roman"/>
                <w:sz w:val="20"/>
                <w:szCs w:val="20"/>
              </w:rPr>
              <w:t>organizátora regulovaného trhu</w:t>
            </w:r>
            <w:r w:rsidR="00095F04">
              <w:rPr>
                <w:rFonts w:ascii="Times New Roman" w:hAnsi="Times New Roman" w:cs="Times New Roman"/>
                <w:sz w:val="20"/>
                <w:szCs w:val="20"/>
              </w:rPr>
              <w:t>“. V případě zahraničních entit není s ohledem na teritoriální působnost zákona vynětí normovat.</w:t>
            </w:r>
          </w:p>
        </w:tc>
      </w:tr>
      <w:tr w:rsidR="0035187E" w:rsidRPr="0035187E" w14:paraId="344B3E5A" w14:textId="77777777" w:rsidTr="0035187E">
        <w:trPr>
          <w:trHeight w:val="513"/>
        </w:trPr>
        <w:tc>
          <w:tcPr>
            <w:tcW w:w="227" w:type="pct"/>
            <w:tcBorders>
              <w:top w:val="single" w:sz="4" w:space="0" w:color="auto"/>
              <w:left w:val="single" w:sz="4" w:space="0" w:color="auto"/>
              <w:bottom w:val="single" w:sz="4" w:space="0" w:color="auto"/>
              <w:right w:val="single" w:sz="4" w:space="0" w:color="auto"/>
            </w:tcBorders>
            <w:shd w:val="clear" w:color="auto" w:fill="auto"/>
          </w:tcPr>
          <w:p w14:paraId="34822C3B" w14:textId="5A82711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154.</w:t>
            </w:r>
          </w:p>
        </w:tc>
        <w:tc>
          <w:tcPr>
            <w:tcW w:w="583" w:type="pct"/>
            <w:tcBorders>
              <w:top w:val="single" w:sz="4" w:space="0" w:color="auto"/>
              <w:left w:val="single" w:sz="4" w:space="0" w:color="auto"/>
              <w:bottom w:val="single" w:sz="4" w:space="0" w:color="auto"/>
              <w:right w:val="single" w:sz="4" w:space="0" w:color="auto"/>
            </w:tcBorders>
            <w:shd w:val="clear" w:color="auto" w:fill="auto"/>
          </w:tcPr>
          <w:p w14:paraId="00E7B512" w14:textId="679C26A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Allegro</w:t>
            </w:r>
          </w:p>
        </w:tc>
        <w:tc>
          <w:tcPr>
            <w:tcW w:w="168" w:type="pct"/>
            <w:tcBorders>
              <w:top w:val="single" w:sz="4" w:space="0" w:color="auto"/>
              <w:left w:val="single" w:sz="4" w:space="0" w:color="auto"/>
              <w:bottom w:val="single" w:sz="4" w:space="0" w:color="auto"/>
              <w:right w:val="single" w:sz="4" w:space="0" w:color="auto"/>
            </w:tcBorders>
            <w:shd w:val="clear" w:color="auto" w:fill="auto"/>
          </w:tcPr>
          <w:p w14:paraId="541A1AA7" w14:textId="0A990EF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087D4B78" w14:textId="61574FA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A8B1B2A" w14:textId="77777777" w:rsidR="000B4BD4" w:rsidRPr="0035187E" w:rsidRDefault="000B4BD4" w:rsidP="0035187E">
            <w:pPr>
              <w:jc w:val="both"/>
              <w:rPr>
                <w:rFonts w:ascii="Times New Roman" w:eastAsia="Aptos" w:hAnsi="Times New Roman" w:cs="Times New Roman"/>
                <w:b/>
                <w:bCs/>
                <w:kern w:val="2"/>
                <w:sz w:val="20"/>
                <w:szCs w:val="20"/>
                <w:lang w:eastAsia="en-US"/>
                <w14:ligatures w14:val="standardContextual"/>
              </w:rPr>
            </w:pPr>
            <w:r w:rsidRPr="0035187E">
              <w:rPr>
                <w:rFonts w:ascii="Times New Roman" w:eastAsia="Aptos" w:hAnsi="Times New Roman" w:cs="Times New Roman"/>
                <w:b/>
                <w:bCs/>
                <w:kern w:val="2"/>
                <w:sz w:val="20"/>
                <w:szCs w:val="20"/>
                <w:lang w:eastAsia="en-US"/>
                <w14:ligatures w14:val="standardContextual"/>
              </w:rPr>
              <w:t xml:space="preserve">Připomínky k důvodové zprávě k návrhu zákona o evidenci tržeb </w:t>
            </w:r>
          </w:p>
          <w:p w14:paraId="659DE4F6" w14:textId="36F13ABF" w:rsidR="000B4BD4" w:rsidRPr="0035187E" w:rsidRDefault="000B4BD4" w:rsidP="0035187E">
            <w:pPr>
              <w:ind w:firstLine="426"/>
              <w:jc w:val="both"/>
              <w:rPr>
                <w:rFonts w:ascii="Times New Roman" w:eastAsia="Aptos" w:hAnsi="Times New Roman" w:cs="Times New Roman"/>
                <w:kern w:val="2"/>
                <w:sz w:val="20"/>
                <w:szCs w:val="20"/>
                <w:lang w:eastAsia="en-US"/>
                <w14:ligatures w14:val="standardContextual"/>
              </w:rPr>
            </w:pPr>
            <w:r w:rsidRPr="0035187E">
              <w:rPr>
                <w:rFonts w:ascii="Times New Roman" w:eastAsia="Aptos" w:hAnsi="Times New Roman" w:cs="Times New Roman"/>
                <w:kern w:val="2"/>
                <w:sz w:val="20"/>
                <w:szCs w:val="20"/>
                <w:lang w:eastAsia="en-US"/>
                <w14:ligatures w14:val="standardContextual"/>
              </w:rPr>
              <w:t>Připomínky uplatňujeme z důvodu právní jistoty a jednotného výkladu dopadu zákona na distanční e-</w:t>
            </w:r>
            <w:proofErr w:type="spellStart"/>
            <w:r w:rsidRPr="0035187E">
              <w:rPr>
                <w:rFonts w:ascii="Times New Roman" w:eastAsia="Aptos" w:hAnsi="Times New Roman" w:cs="Times New Roman"/>
                <w:kern w:val="2"/>
                <w:sz w:val="20"/>
                <w:szCs w:val="20"/>
                <w:lang w:eastAsia="en-US"/>
                <w14:ligatures w14:val="standardContextual"/>
              </w:rPr>
              <w:t>commerce</w:t>
            </w:r>
            <w:proofErr w:type="spellEnd"/>
            <w:r w:rsidRPr="0035187E">
              <w:rPr>
                <w:rFonts w:ascii="Times New Roman" w:eastAsia="Aptos" w:hAnsi="Times New Roman" w:cs="Times New Roman"/>
                <w:kern w:val="2"/>
                <w:sz w:val="20"/>
                <w:szCs w:val="20"/>
                <w:lang w:eastAsia="en-US"/>
                <w14:ligatures w14:val="standardContextual"/>
              </w:rPr>
              <w:t xml:space="preserve"> a online tržiště. Cílem je výslovně potvrdit, že běžný model dobírky (COD), kdy inkaso provádí dopravce / provozovatel výdejního místa bez přímého či nepřímého zastoupení a částka je prodejci poukázána převodem na účet, nemá být považován za „kontaktní platbu“ ani za důvod k povinné infrastruktuře evidence pro online rozhraní. Současně je cílem připomínek jasně odlišit tento logistický model od situace, kdy by platforma jednala vlastním jménem na účet prodejce.</w:t>
            </w:r>
          </w:p>
          <w:p w14:paraId="5F6781EF" w14:textId="77777777" w:rsidR="000B4BD4" w:rsidRPr="0035187E" w:rsidRDefault="000B4BD4" w:rsidP="0035187E">
            <w:pPr>
              <w:ind w:firstLine="426"/>
              <w:jc w:val="both"/>
              <w:rPr>
                <w:rFonts w:ascii="Times New Roman" w:eastAsia="Aptos" w:hAnsi="Times New Roman" w:cs="Times New Roman"/>
                <w:kern w:val="2"/>
                <w:sz w:val="20"/>
                <w:szCs w:val="20"/>
                <w:lang w:eastAsia="en-US"/>
                <w14:ligatures w14:val="standardContextual"/>
              </w:rPr>
            </w:pPr>
          </w:p>
          <w:p w14:paraId="75658EE0" w14:textId="77777777" w:rsidR="000B4BD4" w:rsidRPr="0035187E" w:rsidRDefault="000B4BD4" w:rsidP="0035187E">
            <w:pPr>
              <w:jc w:val="both"/>
              <w:rPr>
                <w:rFonts w:ascii="Times New Roman" w:eastAsia="Aptos" w:hAnsi="Times New Roman" w:cs="Times New Roman"/>
                <w:b/>
                <w:bCs/>
                <w:kern w:val="2"/>
                <w:sz w:val="20"/>
                <w:szCs w:val="20"/>
                <w:lang w:eastAsia="en-US"/>
                <w14:ligatures w14:val="standardContextual"/>
              </w:rPr>
            </w:pPr>
            <w:r w:rsidRPr="0035187E">
              <w:rPr>
                <w:rFonts w:ascii="Times New Roman" w:eastAsia="Aptos" w:hAnsi="Times New Roman" w:cs="Times New Roman"/>
                <w:b/>
                <w:bCs/>
                <w:kern w:val="2"/>
                <w:sz w:val="20"/>
                <w:szCs w:val="20"/>
                <w:lang w:eastAsia="en-US"/>
                <w14:ligatures w14:val="standardContextual"/>
              </w:rPr>
              <w:t xml:space="preserve">1. Připomínky k § 4 důvodové zprávy: </w:t>
            </w:r>
          </w:p>
          <w:p w14:paraId="54271B96" w14:textId="77777777" w:rsidR="000B4BD4" w:rsidRPr="0035187E" w:rsidRDefault="000B4BD4" w:rsidP="0035187E">
            <w:pPr>
              <w:ind w:firstLine="426"/>
              <w:jc w:val="both"/>
              <w:rPr>
                <w:rFonts w:ascii="Times New Roman" w:eastAsia="Aptos" w:hAnsi="Times New Roman" w:cs="Times New Roman"/>
                <w:kern w:val="2"/>
                <w:sz w:val="20"/>
                <w:szCs w:val="20"/>
                <w:lang w:eastAsia="en-US"/>
                <w14:ligatures w14:val="standardContextual"/>
              </w:rPr>
            </w:pPr>
            <w:r w:rsidRPr="0035187E">
              <w:rPr>
                <w:rFonts w:ascii="Times New Roman" w:eastAsia="Aptos" w:hAnsi="Times New Roman" w:cs="Times New Roman"/>
                <w:kern w:val="2"/>
                <w:sz w:val="20"/>
                <w:szCs w:val="20"/>
                <w:lang w:eastAsia="en-US"/>
                <w14:ligatures w14:val="standardContextual"/>
              </w:rPr>
              <w:t>1.1 Důvodová zpráva správně uvádí, že koncepce zákona na tržby z e-shopů primárně necílí, pokud je úhrada realizována výlučně bezhotovostně. Současně však uvádí, že pokud obchodní model předpokládá možnost úhrady i v hotovosti, dopadne povinnost vytvořit infrastrukturu pro evidenci tržeb i na tuto evidenční jednotku. Bez explicitního dovysvětlení může být tato formulace vykládána tak, že jakákoli možnost dobírky automaticky znamená povinnost evidence pro e-shop, a to i v případech, kdy hotovost inkasuje dopravce / provozovatel výdejního místa a prostředky jsou následně poukázány prodejci bezhotovostně.</w:t>
            </w:r>
          </w:p>
          <w:p w14:paraId="7B5A3F34" w14:textId="77777777" w:rsidR="000B4BD4" w:rsidRPr="0035187E" w:rsidRDefault="000B4BD4" w:rsidP="0035187E">
            <w:pPr>
              <w:ind w:firstLine="426"/>
              <w:jc w:val="both"/>
              <w:rPr>
                <w:rFonts w:ascii="Times New Roman" w:eastAsia="Aptos" w:hAnsi="Times New Roman" w:cs="Times New Roman"/>
                <w:kern w:val="2"/>
                <w:sz w:val="20"/>
                <w:szCs w:val="20"/>
                <w:lang w:eastAsia="en-US"/>
                <w14:ligatures w14:val="standardContextual"/>
              </w:rPr>
            </w:pPr>
            <w:r w:rsidRPr="0035187E">
              <w:rPr>
                <w:rFonts w:ascii="Times New Roman" w:eastAsia="Aptos" w:hAnsi="Times New Roman" w:cs="Times New Roman"/>
                <w:kern w:val="2"/>
                <w:sz w:val="20"/>
                <w:szCs w:val="20"/>
                <w:lang w:eastAsia="en-US"/>
                <w14:ligatures w14:val="standardContextual"/>
              </w:rPr>
              <w:t>Navrhujeme doplnit do části „K § 4“, písm. b) (za větu o možnosti úhrady i v hotovosti) následující upřesnění:</w:t>
            </w:r>
          </w:p>
          <w:p w14:paraId="50379571" w14:textId="77777777" w:rsidR="000B4BD4" w:rsidRPr="0035187E" w:rsidRDefault="000B4BD4" w:rsidP="0035187E">
            <w:pPr>
              <w:ind w:firstLine="426"/>
              <w:jc w:val="both"/>
              <w:rPr>
                <w:rFonts w:ascii="Times New Roman" w:eastAsia="Aptos" w:hAnsi="Times New Roman" w:cs="Times New Roman"/>
                <w:i/>
                <w:iCs/>
                <w:kern w:val="2"/>
                <w:sz w:val="20"/>
                <w:szCs w:val="20"/>
                <w:lang w:eastAsia="en-US"/>
                <w14:ligatures w14:val="standardContextual"/>
              </w:rPr>
            </w:pPr>
            <w:r w:rsidRPr="0035187E">
              <w:rPr>
                <w:rFonts w:ascii="Times New Roman" w:eastAsia="Aptos" w:hAnsi="Times New Roman" w:cs="Times New Roman"/>
                <w:i/>
                <w:iCs/>
                <w:kern w:val="2"/>
                <w:sz w:val="20"/>
                <w:szCs w:val="20"/>
                <w:lang w:eastAsia="en-US"/>
                <w14:ligatures w14:val="standardContextual"/>
              </w:rPr>
              <w:lastRenderedPageBreak/>
              <w:t>„Za možnost úhrady v hotovosti ve smyslu věty výše je třeba považovat pouze takové případy, kdy hotovostní úhrada naplňuje znaky kontaktní platby podle § 7. V praxi e-</w:t>
            </w:r>
            <w:proofErr w:type="spellStart"/>
            <w:r w:rsidRPr="0035187E">
              <w:rPr>
                <w:rFonts w:ascii="Times New Roman" w:eastAsia="Aptos" w:hAnsi="Times New Roman" w:cs="Times New Roman"/>
                <w:i/>
                <w:iCs/>
                <w:kern w:val="2"/>
                <w:sz w:val="20"/>
                <w:szCs w:val="20"/>
                <w:lang w:eastAsia="en-US"/>
                <w14:ligatures w14:val="standardContextual"/>
              </w:rPr>
              <w:t>commerce</w:t>
            </w:r>
            <w:proofErr w:type="spellEnd"/>
            <w:r w:rsidRPr="0035187E">
              <w:rPr>
                <w:rFonts w:ascii="Times New Roman" w:eastAsia="Aptos" w:hAnsi="Times New Roman" w:cs="Times New Roman"/>
                <w:i/>
                <w:iCs/>
                <w:kern w:val="2"/>
                <w:sz w:val="20"/>
                <w:szCs w:val="20"/>
                <w:lang w:eastAsia="en-US"/>
                <w14:ligatures w14:val="standardContextual"/>
              </w:rPr>
              <w:t xml:space="preserve"> zejména platí, že úhrada formou dobírky, kdy hotovost vybírá dopravce / provozovatel výdejního místa, který nejedná v přímém ani nepřímém zastoupení poplatníka, a částka je následně poplatníkovi poukázána bezhotovostním převodem na jeho účet, by neměla být považována za naplňující znaky kontaktní platby.“</w:t>
            </w:r>
          </w:p>
          <w:p w14:paraId="7F6CEB16" w14:textId="77777777" w:rsidR="000B4BD4" w:rsidRPr="0035187E" w:rsidRDefault="000B4BD4" w:rsidP="0035187E">
            <w:pPr>
              <w:ind w:firstLine="426"/>
              <w:jc w:val="both"/>
              <w:rPr>
                <w:rFonts w:ascii="Times New Roman" w:eastAsia="Aptos" w:hAnsi="Times New Roman" w:cs="Times New Roman"/>
                <w:kern w:val="2"/>
                <w:sz w:val="20"/>
                <w:szCs w:val="20"/>
                <w:lang w:eastAsia="en-US"/>
                <w14:ligatures w14:val="standardContextual"/>
              </w:rPr>
            </w:pPr>
            <w:r w:rsidRPr="0035187E">
              <w:rPr>
                <w:rFonts w:ascii="Times New Roman" w:eastAsia="Aptos" w:hAnsi="Times New Roman" w:cs="Times New Roman"/>
                <w:b/>
                <w:bCs/>
                <w:kern w:val="2"/>
                <w:sz w:val="20"/>
                <w:szCs w:val="20"/>
                <w:lang w:eastAsia="en-US"/>
                <w14:ligatures w14:val="standardContextual"/>
              </w:rPr>
              <w:t>Cíl doplnění:</w:t>
            </w:r>
            <w:r w:rsidRPr="0035187E">
              <w:rPr>
                <w:rFonts w:ascii="Times New Roman" w:eastAsia="Aptos" w:hAnsi="Times New Roman" w:cs="Times New Roman"/>
                <w:kern w:val="2"/>
                <w:sz w:val="20"/>
                <w:szCs w:val="20"/>
                <w:lang w:eastAsia="en-US"/>
                <w14:ligatures w14:val="standardContextual"/>
              </w:rPr>
              <w:t xml:space="preserve"> zabránit výkladu, že jakákoli platba na dobírku automaticky zakládá povinnost evidence tržeb pro e-shop, s přihlédnutím k tomu, že částka z dobírky je následně převedena na bankovní účet prodávajícího.</w:t>
            </w:r>
          </w:p>
          <w:p w14:paraId="10839F6F" w14:textId="77777777" w:rsidR="000B4BD4" w:rsidRPr="0035187E" w:rsidRDefault="000B4BD4" w:rsidP="0035187E">
            <w:pPr>
              <w:ind w:firstLine="426"/>
              <w:jc w:val="both"/>
              <w:rPr>
                <w:rFonts w:ascii="Times New Roman" w:eastAsia="Aptos" w:hAnsi="Times New Roman" w:cs="Times New Roman"/>
                <w:kern w:val="2"/>
                <w:sz w:val="20"/>
                <w:szCs w:val="20"/>
                <w:lang w:eastAsia="en-US"/>
                <w14:ligatures w14:val="standardContextual"/>
              </w:rPr>
            </w:pPr>
            <w:r w:rsidRPr="0035187E">
              <w:rPr>
                <w:rFonts w:ascii="Times New Roman" w:eastAsia="Aptos" w:hAnsi="Times New Roman" w:cs="Times New Roman"/>
                <w:kern w:val="2"/>
                <w:sz w:val="20"/>
                <w:szCs w:val="20"/>
                <w:lang w:eastAsia="en-US"/>
                <w14:ligatures w14:val="standardContextual"/>
              </w:rPr>
              <w:t>1.2 V části věnované online rozhraní a online tržišti chybí výslovné vyjasnění, že samotné provozování online tržiště (software/rozhraní provozované jiným podnikatelem než prodávajícím) nezakládá povinnost evidovat tržby prodávajících jen z titulu provozu rozhraní. To je důležité pro jednotný výklad role provozovatele platformy vs. prodávajícího a pro odlišení od situací, kdy by platforma jednala v režimu nepřímého zastoupení nebo byla pověřena evidencí.</w:t>
            </w:r>
          </w:p>
          <w:p w14:paraId="2488234B" w14:textId="77777777" w:rsidR="000B4BD4" w:rsidRPr="0035187E" w:rsidRDefault="000B4BD4" w:rsidP="0035187E">
            <w:pPr>
              <w:ind w:firstLine="426"/>
              <w:jc w:val="both"/>
              <w:rPr>
                <w:rFonts w:ascii="Times New Roman" w:eastAsia="Aptos" w:hAnsi="Times New Roman" w:cs="Times New Roman"/>
                <w:kern w:val="2"/>
                <w:sz w:val="20"/>
                <w:szCs w:val="20"/>
                <w:lang w:eastAsia="en-US"/>
                <w14:ligatures w14:val="standardContextual"/>
              </w:rPr>
            </w:pPr>
            <w:r w:rsidRPr="0035187E">
              <w:rPr>
                <w:rFonts w:ascii="Times New Roman" w:eastAsia="Aptos" w:hAnsi="Times New Roman" w:cs="Times New Roman"/>
                <w:kern w:val="2"/>
                <w:sz w:val="20"/>
                <w:szCs w:val="20"/>
                <w:lang w:eastAsia="en-US"/>
                <w14:ligatures w14:val="standardContextual"/>
              </w:rPr>
              <w:t>Navrhujeme doplnit do části „K § 4“, písm. b) (v návaznosti na definice „on-line rozhraní“ / „on-line tržiště“) následující text:</w:t>
            </w:r>
          </w:p>
          <w:p w14:paraId="15BEB00B" w14:textId="77777777" w:rsidR="000B4BD4" w:rsidRPr="0035187E" w:rsidRDefault="000B4BD4" w:rsidP="0035187E">
            <w:pPr>
              <w:ind w:firstLine="426"/>
              <w:jc w:val="both"/>
              <w:rPr>
                <w:rFonts w:ascii="Times New Roman" w:eastAsia="Aptos" w:hAnsi="Times New Roman" w:cs="Times New Roman"/>
                <w:i/>
                <w:iCs/>
                <w:kern w:val="2"/>
                <w:sz w:val="20"/>
                <w:szCs w:val="20"/>
                <w:lang w:eastAsia="en-US"/>
                <w14:ligatures w14:val="standardContextual"/>
              </w:rPr>
            </w:pPr>
            <w:r w:rsidRPr="0035187E">
              <w:rPr>
                <w:rFonts w:ascii="Times New Roman" w:eastAsia="Aptos" w:hAnsi="Times New Roman" w:cs="Times New Roman"/>
                <w:i/>
                <w:iCs/>
                <w:kern w:val="2"/>
                <w:sz w:val="20"/>
                <w:szCs w:val="20"/>
                <w:lang w:eastAsia="en-US"/>
                <w14:ligatures w14:val="standardContextual"/>
              </w:rPr>
              <w:t>„V případě online tržišť se existence online rozhraní jako evidenční jednotky posuzuje vždy ve vztahu ke konkrétnímu poplatníkovi, jemuž plyne rozhodný příjem z dané činnosti. Samotný provozovatel online tržiště není povinen evidovat tržby prodávajících pouze z titulu provozu rozhraní. Povinnost evidence by na něj dopadala typicky jen tehdy, pokud by jednal vlastním jménem na účet jiného poplatníka (nepřímé zastoupení dle § 10), případně pokud by byl pověřen evidováním tržeb dle § 11, nebo pokud by přijímal kontaktní platby jako zástupce poplatníka.“</w:t>
            </w:r>
          </w:p>
          <w:p w14:paraId="49C4EE85" w14:textId="094A0CA6" w:rsidR="000B4BD4" w:rsidRPr="0035187E" w:rsidRDefault="000B4BD4" w:rsidP="0035187E">
            <w:pPr>
              <w:ind w:firstLine="426"/>
              <w:jc w:val="both"/>
              <w:rPr>
                <w:rFonts w:ascii="Times New Roman" w:hAnsi="Times New Roman" w:cs="Times New Roman"/>
                <w:sz w:val="20"/>
                <w:szCs w:val="20"/>
              </w:rPr>
            </w:pPr>
            <w:r w:rsidRPr="0035187E">
              <w:rPr>
                <w:rFonts w:ascii="Times New Roman" w:eastAsia="Aptos" w:hAnsi="Times New Roman" w:cs="Times New Roman"/>
                <w:b/>
                <w:bCs/>
                <w:kern w:val="2"/>
                <w:sz w:val="20"/>
                <w:szCs w:val="20"/>
                <w:lang w:eastAsia="en-US"/>
                <w14:ligatures w14:val="standardContextual"/>
              </w:rPr>
              <w:t>Cíl doplnění:</w:t>
            </w:r>
            <w:r w:rsidRPr="0035187E">
              <w:rPr>
                <w:rFonts w:ascii="Times New Roman" w:eastAsia="Aptos" w:hAnsi="Times New Roman" w:cs="Times New Roman"/>
                <w:kern w:val="2"/>
                <w:sz w:val="20"/>
                <w:szCs w:val="20"/>
                <w:lang w:eastAsia="en-US"/>
                <w14:ligatures w14:val="standardContextual"/>
              </w:rPr>
              <w:t xml:space="preserve"> odlišit běžný </w:t>
            </w:r>
            <w:proofErr w:type="spellStart"/>
            <w:r w:rsidRPr="0035187E">
              <w:rPr>
                <w:rFonts w:ascii="Times New Roman" w:eastAsia="Aptos" w:hAnsi="Times New Roman" w:cs="Times New Roman"/>
                <w:kern w:val="2"/>
                <w:sz w:val="20"/>
                <w:szCs w:val="20"/>
                <w:lang w:eastAsia="en-US"/>
                <w14:ligatures w14:val="standardContextual"/>
              </w:rPr>
              <w:t>marketplace</w:t>
            </w:r>
            <w:proofErr w:type="spellEnd"/>
            <w:r w:rsidRPr="0035187E">
              <w:rPr>
                <w:rFonts w:ascii="Times New Roman" w:eastAsia="Aptos" w:hAnsi="Times New Roman" w:cs="Times New Roman"/>
                <w:kern w:val="2"/>
                <w:sz w:val="20"/>
                <w:szCs w:val="20"/>
                <w:lang w:eastAsia="en-US"/>
                <w14:ligatures w14:val="standardContextual"/>
              </w:rPr>
              <w:t xml:space="preserve"> model („platforma není prodávající ani zástupce“) od situací, kdy je platforma povinna evidovat tržby, jsou-li splněny podmínky kontaktní platby.</w:t>
            </w:r>
          </w:p>
        </w:tc>
        <w:tc>
          <w:tcPr>
            <w:tcW w:w="1453" w:type="pct"/>
            <w:tcBorders>
              <w:top w:val="single" w:sz="4" w:space="0" w:color="auto"/>
              <w:left w:val="single" w:sz="4" w:space="0" w:color="auto"/>
              <w:bottom w:val="single" w:sz="4" w:space="0" w:color="auto"/>
              <w:right w:val="single" w:sz="4" w:space="0" w:color="auto"/>
            </w:tcBorders>
            <w:shd w:val="clear" w:color="auto" w:fill="auto"/>
          </w:tcPr>
          <w:p w14:paraId="56E32004" w14:textId="77777777" w:rsidR="000B4BD4" w:rsidRPr="0035187E" w:rsidRDefault="00371FEE"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Vysvětleno.</w:t>
            </w:r>
          </w:p>
          <w:p w14:paraId="2C1313DE" w14:textId="2AA16B50" w:rsidR="00371FEE" w:rsidRPr="0035187E" w:rsidRDefault="00371FEE" w:rsidP="0035187E">
            <w:pPr>
              <w:jc w:val="both"/>
              <w:rPr>
                <w:rFonts w:ascii="Times New Roman" w:hAnsi="Times New Roman" w:cs="Times New Roman"/>
                <w:sz w:val="20"/>
                <w:szCs w:val="20"/>
              </w:rPr>
            </w:pPr>
            <w:r w:rsidRPr="0035187E">
              <w:rPr>
                <w:rFonts w:ascii="Times New Roman" w:hAnsi="Times New Roman" w:cs="Times New Roman"/>
                <w:sz w:val="20"/>
                <w:szCs w:val="20"/>
              </w:rPr>
              <w:t>Vymezení toho, co lze považovat za evidovanou tržbu upravují § 5 až 8. Z pohledu formy platby je pak klíčový § 7, který vymezuje tzv. kontaktní platbu. Platba „na dobírku“ je díky odstavci 2 tohoto ustanovení výjimkou z pravidla, kdy hotovostní způsob úhrady naplní formální znak pro evidovanou tržbu. Odůvodnění je proto logicky uvedeno u tohoto ustanovení. Ustanovení § 4 se naopak soustředí na vymezení tzv. evidenční jednotky. Návrh zákona i jeho odůvodnění je třeba vnímat jako systematicky uspořádaný celek.</w:t>
            </w:r>
          </w:p>
          <w:p w14:paraId="6711C123" w14:textId="54567468" w:rsidR="00761946" w:rsidRPr="0035187E" w:rsidRDefault="00761946" w:rsidP="0035187E">
            <w:pPr>
              <w:jc w:val="both"/>
              <w:rPr>
                <w:rFonts w:ascii="Times New Roman" w:hAnsi="Times New Roman" w:cs="Times New Roman"/>
                <w:sz w:val="20"/>
                <w:szCs w:val="20"/>
              </w:rPr>
            </w:pPr>
          </w:p>
          <w:p w14:paraId="13BCA502" w14:textId="01586EF9" w:rsidR="00761946" w:rsidRPr="0035187E" w:rsidRDefault="00761946" w:rsidP="0035187E">
            <w:pPr>
              <w:jc w:val="both"/>
              <w:rPr>
                <w:rFonts w:ascii="Times New Roman" w:hAnsi="Times New Roman" w:cs="Times New Roman"/>
                <w:sz w:val="20"/>
                <w:szCs w:val="20"/>
              </w:rPr>
            </w:pPr>
          </w:p>
          <w:p w14:paraId="38A5E939" w14:textId="596FE19F" w:rsidR="00761946" w:rsidRPr="0035187E" w:rsidRDefault="00761946" w:rsidP="0035187E">
            <w:pPr>
              <w:jc w:val="both"/>
              <w:rPr>
                <w:rFonts w:ascii="Times New Roman" w:hAnsi="Times New Roman" w:cs="Times New Roman"/>
                <w:sz w:val="20"/>
                <w:szCs w:val="20"/>
              </w:rPr>
            </w:pPr>
          </w:p>
          <w:p w14:paraId="342F7877" w14:textId="2241F109" w:rsidR="00761946" w:rsidRPr="0035187E" w:rsidRDefault="00761946" w:rsidP="0035187E">
            <w:pPr>
              <w:jc w:val="both"/>
              <w:rPr>
                <w:rFonts w:ascii="Times New Roman" w:hAnsi="Times New Roman" w:cs="Times New Roman"/>
                <w:sz w:val="20"/>
                <w:szCs w:val="20"/>
              </w:rPr>
            </w:pPr>
          </w:p>
          <w:p w14:paraId="56C8B372" w14:textId="2E139632" w:rsidR="00761946" w:rsidRPr="0035187E" w:rsidRDefault="00761946" w:rsidP="0035187E">
            <w:pPr>
              <w:jc w:val="both"/>
              <w:rPr>
                <w:rFonts w:ascii="Times New Roman" w:hAnsi="Times New Roman" w:cs="Times New Roman"/>
                <w:sz w:val="20"/>
                <w:szCs w:val="20"/>
              </w:rPr>
            </w:pPr>
          </w:p>
          <w:p w14:paraId="4075CC0A" w14:textId="2103F61E" w:rsidR="00761946" w:rsidRPr="0035187E" w:rsidRDefault="00761946" w:rsidP="0035187E">
            <w:pPr>
              <w:jc w:val="both"/>
              <w:rPr>
                <w:rFonts w:ascii="Times New Roman" w:hAnsi="Times New Roman" w:cs="Times New Roman"/>
                <w:sz w:val="20"/>
                <w:szCs w:val="20"/>
              </w:rPr>
            </w:pPr>
          </w:p>
          <w:p w14:paraId="3005995E" w14:textId="78C41003" w:rsidR="00761946" w:rsidRPr="0035187E" w:rsidRDefault="00761946" w:rsidP="0035187E">
            <w:pPr>
              <w:jc w:val="both"/>
              <w:rPr>
                <w:rFonts w:ascii="Times New Roman" w:hAnsi="Times New Roman" w:cs="Times New Roman"/>
                <w:sz w:val="20"/>
                <w:szCs w:val="20"/>
              </w:rPr>
            </w:pPr>
          </w:p>
          <w:p w14:paraId="14A74611" w14:textId="65CD59EB" w:rsidR="00761946" w:rsidRPr="0035187E" w:rsidRDefault="00761946" w:rsidP="0035187E">
            <w:pPr>
              <w:jc w:val="both"/>
              <w:rPr>
                <w:rFonts w:ascii="Times New Roman" w:hAnsi="Times New Roman" w:cs="Times New Roman"/>
                <w:sz w:val="20"/>
                <w:szCs w:val="20"/>
              </w:rPr>
            </w:pPr>
          </w:p>
          <w:p w14:paraId="11FF6B75" w14:textId="111190E1" w:rsidR="00761946" w:rsidRPr="0035187E" w:rsidRDefault="00761946" w:rsidP="0035187E">
            <w:pPr>
              <w:jc w:val="both"/>
              <w:rPr>
                <w:rFonts w:ascii="Times New Roman" w:hAnsi="Times New Roman" w:cs="Times New Roman"/>
                <w:sz w:val="20"/>
                <w:szCs w:val="20"/>
              </w:rPr>
            </w:pPr>
          </w:p>
          <w:p w14:paraId="69EFBC30" w14:textId="38873E45" w:rsidR="00761946" w:rsidRPr="0035187E" w:rsidRDefault="00761946" w:rsidP="0035187E">
            <w:pPr>
              <w:jc w:val="both"/>
              <w:rPr>
                <w:rFonts w:ascii="Times New Roman" w:hAnsi="Times New Roman" w:cs="Times New Roman"/>
                <w:sz w:val="20"/>
                <w:szCs w:val="20"/>
              </w:rPr>
            </w:pPr>
          </w:p>
          <w:p w14:paraId="376CB7CE" w14:textId="634FDB6D" w:rsidR="00761946" w:rsidRPr="0035187E" w:rsidRDefault="00761946" w:rsidP="0035187E">
            <w:pPr>
              <w:jc w:val="both"/>
              <w:rPr>
                <w:rFonts w:ascii="Times New Roman" w:hAnsi="Times New Roman" w:cs="Times New Roman"/>
                <w:sz w:val="20"/>
                <w:szCs w:val="20"/>
              </w:rPr>
            </w:pPr>
          </w:p>
          <w:p w14:paraId="09A1D777" w14:textId="08C92D41" w:rsidR="00761946" w:rsidRPr="0035187E" w:rsidRDefault="00761946" w:rsidP="0035187E">
            <w:pPr>
              <w:jc w:val="both"/>
              <w:rPr>
                <w:rFonts w:ascii="Times New Roman" w:hAnsi="Times New Roman" w:cs="Times New Roman"/>
                <w:sz w:val="20"/>
                <w:szCs w:val="20"/>
              </w:rPr>
            </w:pPr>
          </w:p>
          <w:p w14:paraId="28D9C452" w14:textId="27B28125" w:rsidR="00761946" w:rsidRPr="0035187E" w:rsidRDefault="00761946" w:rsidP="0035187E">
            <w:pPr>
              <w:jc w:val="both"/>
              <w:rPr>
                <w:rFonts w:ascii="Times New Roman" w:hAnsi="Times New Roman" w:cs="Times New Roman"/>
                <w:sz w:val="20"/>
                <w:szCs w:val="20"/>
              </w:rPr>
            </w:pPr>
          </w:p>
          <w:p w14:paraId="06114030" w14:textId="555AC9C5" w:rsidR="00761946" w:rsidRPr="0035187E" w:rsidRDefault="00761946" w:rsidP="0035187E">
            <w:pPr>
              <w:jc w:val="both"/>
              <w:rPr>
                <w:rFonts w:ascii="Times New Roman" w:hAnsi="Times New Roman" w:cs="Times New Roman"/>
                <w:sz w:val="20"/>
                <w:szCs w:val="20"/>
              </w:rPr>
            </w:pPr>
          </w:p>
          <w:p w14:paraId="16FB636F" w14:textId="6DA8246A" w:rsidR="00761946" w:rsidRPr="0035187E" w:rsidRDefault="00761946" w:rsidP="0035187E">
            <w:pPr>
              <w:jc w:val="both"/>
              <w:rPr>
                <w:rFonts w:ascii="Times New Roman" w:hAnsi="Times New Roman" w:cs="Times New Roman"/>
                <w:sz w:val="20"/>
                <w:szCs w:val="20"/>
              </w:rPr>
            </w:pPr>
          </w:p>
          <w:p w14:paraId="6689DC7C" w14:textId="5BB080E4" w:rsidR="00761946" w:rsidRPr="0035187E" w:rsidRDefault="00761946" w:rsidP="0035187E">
            <w:pPr>
              <w:jc w:val="both"/>
              <w:rPr>
                <w:rFonts w:ascii="Times New Roman" w:hAnsi="Times New Roman" w:cs="Times New Roman"/>
                <w:sz w:val="20"/>
                <w:szCs w:val="20"/>
              </w:rPr>
            </w:pPr>
          </w:p>
          <w:p w14:paraId="1D4D8246" w14:textId="77777777" w:rsidR="00B37EE3" w:rsidRPr="0035187E" w:rsidRDefault="00B37EE3" w:rsidP="0035187E">
            <w:pPr>
              <w:jc w:val="both"/>
              <w:rPr>
                <w:rFonts w:ascii="Times New Roman" w:hAnsi="Times New Roman" w:cs="Times New Roman"/>
                <w:sz w:val="20"/>
                <w:szCs w:val="20"/>
              </w:rPr>
            </w:pPr>
          </w:p>
          <w:p w14:paraId="1D841E66" w14:textId="77777777" w:rsidR="00761946" w:rsidRPr="0035187E" w:rsidRDefault="00761946" w:rsidP="0035187E">
            <w:pPr>
              <w:jc w:val="both"/>
              <w:rPr>
                <w:rFonts w:ascii="Times New Roman" w:hAnsi="Times New Roman" w:cs="Times New Roman"/>
                <w:b/>
                <w:sz w:val="20"/>
                <w:szCs w:val="20"/>
              </w:rPr>
            </w:pPr>
            <w:r w:rsidRPr="0035187E">
              <w:rPr>
                <w:rFonts w:ascii="Times New Roman" w:hAnsi="Times New Roman" w:cs="Times New Roman"/>
                <w:b/>
                <w:sz w:val="20"/>
                <w:szCs w:val="20"/>
              </w:rPr>
              <w:t>Vyhověno.</w:t>
            </w:r>
          </w:p>
          <w:p w14:paraId="22FF3970" w14:textId="33E6CC41" w:rsidR="00761946" w:rsidRPr="0035187E" w:rsidRDefault="00761946" w:rsidP="0035187E">
            <w:pPr>
              <w:jc w:val="both"/>
              <w:rPr>
                <w:rFonts w:ascii="Times New Roman" w:hAnsi="Times New Roman" w:cs="Times New Roman"/>
                <w:sz w:val="20"/>
                <w:szCs w:val="20"/>
              </w:rPr>
            </w:pPr>
            <w:r w:rsidRPr="0035187E">
              <w:rPr>
                <w:rFonts w:ascii="Times New Roman" w:hAnsi="Times New Roman" w:cs="Times New Roman"/>
                <w:sz w:val="20"/>
                <w:szCs w:val="20"/>
              </w:rPr>
              <w:t>Text důvodové zprávy byl v daném duchu doplněn.</w:t>
            </w:r>
          </w:p>
        </w:tc>
      </w:tr>
      <w:tr w:rsidR="0035187E" w:rsidRPr="0035187E" w14:paraId="16D98582" w14:textId="77777777" w:rsidTr="0035187E">
        <w:trPr>
          <w:trHeight w:val="513"/>
        </w:trPr>
        <w:tc>
          <w:tcPr>
            <w:tcW w:w="227" w:type="pct"/>
            <w:tcBorders>
              <w:top w:val="single" w:sz="4" w:space="0" w:color="auto"/>
              <w:left w:val="single" w:sz="4" w:space="0" w:color="auto"/>
              <w:bottom w:val="single" w:sz="4" w:space="0" w:color="auto"/>
              <w:right w:val="single" w:sz="4" w:space="0" w:color="auto"/>
            </w:tcBorders>
            <w:shd w:val="clear" w:color="auto" w:fill="auto"/>
          </w:tcPr>
          <w:p w14:paraId="7AAF25E4" w14:textId="1D2F78C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154.</w:t>
            </w:r>
          </w:p>
        </w:tc>
        <w:tc>
          <w:tcPr>
            <w:tcW w:w="583" w:type="pct"/>
            <w:tcBorders>
              <w:top w:val="single" w:sz="4" w:space="0" w:color="auto"/>
              <w:left w:val="single" w:sz="4" w:space="0" w:color="auto"/>
              <w:bottom w:val="single" w:sz="4" w:space="0" w:color="auto"/>
              <w:right w:val="single" w:sz="4" w:space="0" w:color="auto"/>
            </w:tcBorders>
            <w:shd w:val="clear" w:color="auto" w:fill="auto"/>
          </w:tcPr>
          <w:p w14:paraId="2C4DA15A" w14:textId="413814A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Allegro</w:t>
            </w:r>
          </w:p>
        </w:tc>
        <w:tc>
          <w:tcPr>
            <w:tcW w:w="168" w:type="pct"/>
            <w:tcBorders>
              <w:top w:val="single" w:sz="4" w:space="0" w:color="auto"/>
              <w:left w:val="single" w:sz="4" w:space="0" w:color="auto"/>
              <w:bottom w:val="single" w:sz="4" w:space="0" w:color="auto"/>
              <w:right w:val="single" w:sz="4" w:space="0" w:color="auto"/>
            </w:tcBorders>
            <w:shd w:val="clear" w:color="auto" w:fill="auto"/>
          </w:tcPr>
          <w:p w14:paraId="3933C78C" w14:textId="23E242E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127B1523" w14:textId="3A2E775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F0F8997" w14:textId="34F4050D" w:rsidR="000B4BD4" w:rsidRPr="0035187E" w:rsidRDefault="000B4BD4" w:rsidP="0035187E">
            <w:pPr>
              <w:ind w:left="4"/>
              <w:jc w:val="both"/>
              <w:rPr>
                <w:rFonts w:ascii="Times New Roman" w:eastAsia="Aptos" w:hAnsi="Times New Roman"/>
                <w:b/>
                <w:bCs/>
                <w:kern w:val="2"/>
                <w:sz w:val="20"/>
                <w:szCs w:val="20"/>
                <w14:ligatures w14:val="standardContextual"/>
              </w:rPr>
            </w:pPr>
            <w:r w:rsidRPr="0035187E">
              <w:rPr>
                <w:rFonts w:ascii="Times New Roman" w:eastAsia="Aptos" w:hAnsi="Times New Roman"/>
                <w:b/>
                <w:bCs/>
                <w:kern w:val="2"/>
                <w:sz w:val="20"/>
                <w:szCs w:val="20"/>
                <w:lang w:eastAsia="en-US"/>
                <w14:ligatures w14:val="standardContextual"/>
              </w:rPr>
              <w:t>2.Připomínka</w:t>
            </w:r>
            <w:r w:rsidRPr="0035187E">
              <w:rPr>
                <w:rFonts w:ascii="Times New Roman" w:eastAsia="Aptos" w:hAnsi="Times New Roman"/>
                <w:b/>
                <w:bCs/>
                <w:kern w:val="2"/>
                <w:sz w:val="20"/>
                <w:szCs w:val="20"/>
                <w14:ligatures w14:val="standardContextual"/>
              </w:rPr>
              <w:t xml:space="preserve"> k § 7 důvodové zprávy</w:t>
            </w:r>
          </w:p>
          <w:p w14:paraId="721E3CB2" w14:textId="77777777" w:rsidR="000B4BD4" w:rsidRPr="0035187E" w:rsidRDefault="000B4BD4" w:rsidP="0035187E">
            <w:pPr>
              <w:ind w:firstLine="426"/>
              <w:jc w:val="both"/>
              <w:rPr>
                <w:rFonts w:ascii="Times New Roman" w:eastAsia="Aptos" w:hAnsi="Times New Roman" w:cs="Times New Roman"/>
                <w:kern w:val="2"/>
                <w:sz w:val="20"/>
                <w:szCs w:val="20"/>
                <w:lang w:eastAsia="en-US"/>
                <w14:ligatures w14:val="standardContextual"/>
              </w:rPr>
            </w:pPr>
            <w:r w:rsidRPr="0035187E">
              <w:rPr>
                <w:rFonts w:ascii="Times New Roman" w:eastAsia="Aptos" w:hAnsi="Times New Roman" w:cs="Times New Roman"/>
                <w:kern w:val="2"/>
                <w:sz w:val="20"/>
                <w:szCs w:val="20"/>
                <w:lang w:eastAsia="en-US"/>
                <w14:ligatures w14:val="standardContextual"/>
              </w:rPr>
              <w:t>Text důvodové zprávy uvádí, že „prostředníkem“ je osoba odlišná od poplatníka, jeho zaměstnance a dalších osob jednajících na jeho účet. V praxi však může vznikat interpretační nejistota, zda dopravce / provozovatel výdejního místa při inkasu dobírky nespadá pod „osobu jednající na účet“ poplatníka (zejména je-li inkaso smluvně upraveno), a tím pádem, zda je výjimka v konkrétních případech použitelná. Zejména kurýři působící na základě přepravní smlouvy by neměli být považováni za osoby jednající na účet (jménem) poplatníka, ale za prostředníky.</w:t>
            </w:r>
          </w:p>
          <w:p w14:paraId="0D0B6683" w14:textId="77777777" w:rsidR="000B4BD4" w:rsidRPr="0035187E" w:rsidRDefault="000B4BD4" w:rsidP="0035187E">
            <w:pPr>
              <w:ind w:firstLine="426"/>
              <w:jc w:val="both"/>
              <w:rPr>
                <w:rFonts w:ascii="Times New Roman" w:eastAsia="Aptos" w:hAnsi="Times New Roman" w:cs="Times New Roman"/>
                <w:kern w:val="2"/>
                <w:sz w:val="20"/>
                <w:szCs w:val="20"/>
                <w:lang w:eastAsia="en-US"/>
                <w14:ligatures w14:val="standardContextual"/>
              </w:rPr>
            </w:pPr>
            <w:r w:rsidRPr="0035187E">
              <w:rPr>
                <w:rFonts w:ascii="Times New Roman" w:eastAsia="Aptos" w:hAnsi="Times New Roman" w:cs="Times New Roman"/>
                <w:kern w:val="2"/>
                <w:sz w:val="20"/>
                <w:szCs w:val="20"/>
                <w:lang w:eastAsia="en-US"/>
                <w14:ligatures w14:val="standardContextual"/>
              </w:rPr>
              <w:t>Navrhujeme proto doplnit do důvodové zprávy k § 7 následující upřesnění:</w:t>
            </w:r>
          </w:p>
          <w:p w14:paraId="09686E29" w14:textId="77777777" w:rsidR="000B4BD4" w:rsidRPr="0035187E" w:rsidRDefault="000B4BD4" w:rsidP="0035187E">
            <w:pPr>
              <w:ind w:firstLine="426"/>
              <w:jc w:val="both"/>
              <w:rPr>
                <w:rFonts w:ascii="Times New Roman" w:eastAsia="Aptos" w:hAnsi="Times New Roman" w:cs="Times New Roman"/>
                <w:i/>
                <w:iCs/>
                <w:kern w:val="2"/>
                <w:sz w:val="20"/>
                <w:szCs w:val="20"/>
                <w:lang w:eastAsia="en-US"/>
                <w14:ligatures w14:val="standardContextual"/>
              </w:rPr>
            </w:pPr>
            <w:r w:rsidRPr="0035187E">
              <w:rPr>
                <w:rFonts w:ascii="Times New Roman" w:eastAsia="Aptos" w:hAnsi="Times New Roman" w:cs="Times New Roman"/>
                <w:i/>
                <w:iCs/>
                <w:kern w:val="2"/>
                <w:sz w:val="20"/>
                <w:szCs w:val="20"/>
                <w:lang w:eastAsia="en-US"/>
                <w14:ligatures w14:val="standardContextual"/>
              </w:rPr>
              <w:t xml:space="preserve">„Dopravce (včetně kurýra) / provozovatel výdejního místa (případně operátor poštovních služeb) by měl být považován za prostředníka ve smyslu této výjimky, pokud nejedná v přímém ani nepřímém zastoupení poplatníka a inkasované prostředky jsou následně poukázány bezhotovostním převodem na účet poplatníka. V takovém případě by dobírka zpravidla neměla být považována za kontaktní </w:t>
            </w:r>
            <w:proofErr w:type="gramStart"/>
            <w:r w:rsidRPr="0035187E">
              <w:rPr>
                <w:rFonts w:ascii="Times New Roman" w:eastAsia="Aptos" w:hAnsi="Times New Roman" w:cs="Times New Roman"/>
                <w:i/>
                <w:iCs/>
                <w:kern w:val="2"/>
                <w:sz w:val="20"/>
                <w:szCs w:val="20"/>
                <w:lang w:eastAsia="en-US"/>
                <w14:ligatures w14:val="standardContextual"/>
              </w:rPr>
              <w:t>platbu..</w:t>
            </w:r>
            <w:proofErr w:type="gramEnd"/>
            <w:r w:rsidRPr="0035187E">
              <w:rPr>
                <w:rFonts w:ascii="Times New Roman" w:eastAsia="Aptos" w:hAnsi="Times New Roman" w:cs="Times New Roman"/>
                <w:i/>
                <w:iCs/>
                <w:kern w:val="2"/>
                <w:sz w:val="20"/>
                <w:szCs w:val="20"/>
                <w:lang w:eastAsia="en-US"/>
                <w14:ligatures w14:val="standardContextual"/>
              </w:rPr>
              <w:t>“</w:t>
            </w:r>
          </w:p>
          <w:p w14:paraId="0656C1B6" w14:textId="77777777" w:rsidR="000B4BD4" w:rsidRPr="0035187E" w:rsidRDefault="000B4BD4" w:rsidP="0035187E">
            <w:pPr>
              <w:ind w:firstLine="284"/>
              <w:jc w:val="both"/>
              <w:rPr>
                <w:rFonts w:ascii="Times New Roman" w:eastAsia="Aptos" w:hAnsi="Times New Roman" w:cs="Times New Roman"/>
                <w:kern w:val="2"/>
                <w:sz w:val="20"/>
                <w:szCs w:val="20"/>
                <w:lang w:eastAsia="en-US"/>
                <w14:ligatures w14:val="standardContextual"/>
              </w:rPr>
            </w:pPr>
            <w:r w:rsidRPr="0035187E">
              <w:rPr>
                <w:rFonts w:ascii="Times New Roman" w:eastAsia="Aptos" w:hAnsi="Times New Roman" w:cs="Times New Roman"/>
                <w:b/>
                <w:bCs/>
                <w:kern w:val="2"/>
                <w:sz w:val="20"/>
                <w:szCs w:val="20"/>
                <w:lang w:eastAsia="en-US"/>
                <w14:ligatures w14:val="standardContextual"/>
              </w:rPr>
              <w:t>Cíl doplnění:</w:t>
            </w:r>
          </w:p>
          <w:p w14:paraId="49521A0A" w14:textId="77777777" w:rsidR="000B4BD4" w:rsidRPr="0035187E" w:rsidRDefault="000B4BD4" w:rsidP="0035187E">
            <w:pPr>
              <w:numPr>
                <w:ilvl w:val="0"/>
                <w:numId w:val="91"/>
              </w:numPr>
              <w:ind w:left="0" w:firstLine="0"/>
              <w:contextualSpacing/>
              <w:jc w:val="both"/>
              <w:rPr>
                <w:rFonts w:ascii="Times New Roman" w:eastAsia="Aptos" w:hAnsi="Times New Roman" w:cs="Times New Roman"/>
                <w:kern w:val="2"/>
                <w:sz w:val="20"/>
                <w:szCs w:val="20"/>
                <w:lang w:eastAsia="en-US"/>
                <w14:ligatures w14:val="standardContextual"/>
              </w:rPr>
            </w:pPr>
            <w:r w:rsidRPr="0035187E">
              <w:rPr>
                <w:rFonts w:ascii="Times New Roman" w:eastAsia="Aptos" w:hAnsi="Times New Roman" w:cs="Times New Roman"/>
                <w:kern w:val="2"/>
                <w:sz w:val="20"/>
                <w:szCs w:val="20"/>
                <w:lang w:eastAsia="en-US"/>
                <w14:ligatures w14:val="standardContextual"/>
              </w:rPr>
              <w:lastRenderedPageBreak/>
              <w:t>výslovně potvrdit, že standardní dobírka inkasovaná dopravcem/provozovatelem výdejního místa a následně poukázaná převodem na účet poplatníka představuje zamýšlený případ výjimky,</w:t>
            </w:r>
          </w:p>
          <w:p w14:paraId="6DBDD0F0" w14:textId="77777777" w:rsidR="000B4BD4" w:rsidRPr="0035187E" w:rsidRDefault="000B4BD4" w:rsidP="0035187E">
            <w:pPr>
              <w:numPr>
                <w:ilvl w:val="0"/>
                <w:numId w:val="91"/>
              </w:numPr>
              <w:ind w:left="0" w:firstLine="0"/>
              <w:contextualSpacing/>
              <w:jc w:val="both"/>
              <w:rPr>
                <w:rFonts w:ascii="Times New Roman" w:eastAsia="Aptos" w:hAnsi="Times New Roman" w:cs="Times New Roman"/>
                <w:kern w:val="2"/>
                <w:sz w:val="20"/>
                <w:szCs w:val="20"/>
                <w:lang w:eastAsia="en-US"/>
                <w14:ligatures w14:val="standardContextual"/>
              </w:rPr>
            </w:pPr>
            <w:r w:rsidRPr="0035187E">
              <w:rPr>
                <w:rFonts w:ascii="Times New Roman" w:eastAsia="Aptos" w:hAnsi="Times New Roman" w:cs="Times New Roman"/>
                <w:kern w:val="2"/>
                <w:sz w:val="20"/>
                <w:szCs w:val="20"/>
                <w:lang w:eastAsia="en-US"/>
                <w14:ligatures w14:val="standardContextual"/>
              </w:rPr>
              <w:t>omezit riziko výkladu „dobírka = vždy kontaktní platba“,</w:t>
            </w:r>
          </w:p>
          <w:p w14:paraId="16E699F0" w14:textId="28E33603" w:rsidR="000B4BD4" w:rsidRPr="0035187E" w:rsidRDefault="000B4BD4" w:rsidP="0035187E">
            <w:pPr>
              <w:numPr>
                <w:ilvl w:val="0"/>
                <w:numId w:val="91"/>
              </w:numPr>
              <w:ind w:left="0" w:firstLine="0"/>
              <w:contextualSpacing/>
              <w:jc w:val="both"/>
              <w:rPr>
                <w:rFonts w:ascii="Times New Roman" w:hAnsi="Times New Roman" w:cs="Times New Roman"/>
                <w:sz w:val="20"/>
                <w:szCs w:val="20"/>
              </w:rPr>
            </w:pPr>
            <w:r w:rsidRPr="0035187E">
              <w:rPr>
                <w:rFonts w:ascii="Times New Roman" w:eastAsia="Aptos" w:hAnsi="Times New Roman" w:cs="Times New Roman"/>
                <w:kern w:val="2"/>
                <w:sz w:val="20"/>
                <w:szCs w:val="20"/>
                <w:lang w:eastAsia="en-US"/>
                <w14:ligatures w14:val="standardContextual"/>
              </w:rPr>
              <w:t>odstranit nejasnost, zda se dopravce/provozovatel výdejního místa při inkasu dobírky automaticky považuje za osobu „jednající na účet“ poplatníka.</w:t>
            </w:r>
          </w:p>
        </w:tc>
        <w:tc>
          <w:tcPr>
            <w:tcW w:w="1453" w:type="pct"/>
            <w:tcBorders>
              <w:top w:val="single" w:sz="4" w:space="0" w:color="auto"/>
              <w:left w:val="single" w:sz="4" w:space="0" w:color="auto"/>
              <w:bottom w:val="single" w:sz="4" w:space="0" w:color="auto"/>
              <w:right w:val="single" w:sz="4" w:space="0" w:color="auto"/>
            </w:tcBorders>
            <w:shd w:val="clear" w:color="auto" w:fill="auto"/>
          </w:tcPr>
          <w:p w14:paraId="0563C348" w14:textId="77777777" w:rsidR="000B4BD4" w:rsidRPr="0035187E" w:rsidRDefault="00F86DBE"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Vyhověno jinak.</w:t>
            </w:r>
          </w:p>
          <w:p w14:paraId="0BF26784" w14:textId="4427DF6E" w:rsidR="00F86DBE" w:rsidRPr="0035187E" w:rsidRDefault="00F86DBE" w:rsidP="0035187E">
            <w:pPr>
              <w:jc w:val="both"/>
              <w:rPr>
                <w:rFonts w:ascii="Times New Roman" w:hAnsi="Times New Roman" w:cs="Times New Roman"/>
                <w:sz w:val="20"/>
                <w:szCs w:val="20"/>
              </w:rPr>
            </w:pPr>
            <w:r w:rsidRPr="0035187E">
              <w:rPr>
                <w:rFonts w:ascii="Times New Roman" w:hAnsi="Times New Roman" w:cs="Times New Roman"/>
                <w:sz w:val="20"/>
                <w:szCs w:val="20"/>
              </w:rPr>
              <w:t>Návrh zákona byl v § 7 odst. 2 upraven tak, aby výjimka týkající se zprostředkování platby byla vztažena pouze na realizaci formou poštovní služby. Jakékoli jiné zprostředkování převzetí platby (lhostejno zda v rámci přímého či nepřímého zastoupení, anebo prostřednictvím jiného právního vztahu). Díky tomu nedojde k vytvoření nežádoucího stimulu k obcházení povinnosti evidovat tržby, které zevrubně popisuje připomínkové místo. Tím dojde i k vyjasnění zamýšleného obsahu dané normy.</w:t>
            </w:r>
          </w:p>
          <w:p w14:paraId="27AC44D6" w14:textId="6FFBC21B" w:rsidR="00F86DBE" w:rsidRPr="0035187E" w:rsidRDefault="00F86DBE" w:rsidP="0035187E">
            <w:pPr>
              <w:jc w:val="both"/>
              <w:rPr>
                <w:rFonts w:ascii="Times New Roman" w:hAnsi="Times New Roman" w:cs="Times New Roman"/>
                <w:sz w:val="20"/>
                <w:szCs w:val="20"/>
              </w:rPr>
            </w:pPr>
          </w:p>
        </w:tc>
      </w:tr>
      <w:tr w:rsidR="0035187E" w:rsidRPr="0035187E" w14:paraId="43049E94" w14:textId="77777777" w:rsidTr="0035187E">
        <w:trPr>
          <w:trHeight w:val="513"/>
        </w:trPr>
        <w:tc>
          <w:tcPr>
            <w:tcW w:w="227" w:type="pct"/>
            <w:tcBorders>
              <w:top w:val="single" w:sz="4" w:space="0" w:color="auto"/>
              <w:left w:val="single" w:sz="4" w:space="0" w:color="auto"/>
              <w:bottom w:val="single" w:sz="4" w:space="0" w:color="auto"/>
              <w:right w:val="single" w:sz="4" w:space="0" w:color="auto"/>
            </w:tcBorders>
            <w:shd w:val="clear" w:color="auto" w:fill="auto"/>
          </w:tcPr>
          <w:p w14:paraId="420E0E51" w14:textId="1F7DE9C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154.</w:t>
            </w:r>
          </w:p>
        </w:tc>
        <w:tc>
          <w:tcPr>
            <w:tcW w:w="583" w:type="pct"/>
            <w:tcBorders>
              <w:top w:val="single" w:sz="4" w:space="0" w:color="auto"/>
              <w:left w:val="single" w:sz="4" w:space="0" w:color="auto"/>
              <w:bottom w:val="single" w:sz="4" w:space="0" w:color="auto"/>
              <w:right w:val="single" w:sz="4" w:space="0" w:color="auto"/>
            </w:tcBorders>
            <w:shd w:val="clear" w:color="auto" w:fill="auto"/>
          </w:tcPr>
          <w:p w14:paraId="30481C42" w14:textId="3C7EEC6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Allegro</w:t>
            </w:r>
          </w:p>
        </w:tc>
        <w:tc>
          <w:tcPr>
            <w:tcW w:w="168" w:type="pct"/>
            <w:tcBorders>
              <w:top w:val="single" w:sz="4" w:space="0" w:color="auto"/>
              <w:left w:val="single" w:sz="4" w:space="0" w:color="auto"/>
              <w:bottom w:val="single" w:sz="4" w:space="0" w:color="auto"/>
              <w:right w:val="single" w:sz="4" w:space="0" w:color="auto"/>
            </w:tcBorders>
            <w:shd w:val="clear" w:color="auto" w:fill="auto"/>
          </w:tcPr>
          <w:p w14:paraId="5970E83E" w14:textId="0473188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3.</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5B8A6B50" w14:textId="4E7FB83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7C42035F" w14:textId="77777777" w:rsidR="000B4BD4" w:rsidRPr="0035187E" w:rsidRDefault="000B4BD4" w:rsidP="0035187E">
            <w:pPr>
              <w:jc w:val="both"/>
              <w:rPr>
                <w:rFonts w:ascii="Times New Roman" w:eastAsia="Aptos" w:hAnsi="Times New Roman" w:cs="Times New Roman"/>
                <w:b/>
                <w:bCs/>
                <w:kern w:val="2"/>
                <w:sz w:val="20"/>
                <w:szCs w:val="20"/>
                <w:lang w:eastAsia="en-US"/>
                <w14:ligatures w14:val="standardContextual"/>
              </w:rPr>
            </w:pPr>
            <w:r w:rsidRPr="0035187E">
              <w:rPr>
                <w:rFonts w:ascii="Times New Roman" w:eastAsia="Aptos" w:hAnsi="Times New Roman" w:cs="Times New Roman"/>
                <w:b/>
                <w:bCs/>
                <w:kern w:val="2"/>
                <w:sz w:val="20"/>
                <w:szCs w:val="20"/>
                <w:lang w:eastAsia="en-US"/>
                <w14:ligatures w14:val="standardContextual"/>
              </w:rPr>
              <w:t>3. Připomínka k § 10 důvodové zprávy</w:t>
            </w:r>
          </w:p>
          <w:p w14:paraId="0B885C8F" w14:textId="77777777" w:rsidR="000B4BD4" w:rsidRPr="0035187E" w:rsidRDefault="000B4BD4" w:rsidP="0035187E">
            <w:pPr>
              <w:ind w:firstLine="426"/>
              <w:jc w:val="both"/>
              <w:rPr>
                <w:rFonts w:ascii="Times New Roman" w:eastAsia="Aptos" w:hAnsi="Times New Roman" w:cs="Times New Roman"/>
                <w:kern w:val="2"/>
                <w:sz w:val="20"/>
                <w:szCs w:val="20"/>
                <w:lang w:eastAsia="en-US"/>
                <w14:ligatures w14:val="standardContextual"/>
              </w:rPr>
            </w:pPr>
            <w:r w:rsidRPr="0035187E">
              <w:rPr>
                <w:rFonts w:ascii="Times New Roman" w:eastAsia="Aptos" w:hAnsi="Times New Roman" w:cs="Times New Roman"/>
                <w:kern w:val="2"/>
                <w:sz w:val="20"/>
                <w:szCs w:val="20"/>
                <w:lang w:eastAsia="en-US"/>
                <w14:ligatures w14:val="standardContextual"/>
              </w:rPr>
              <w:t>Důvodová zpráva správně odlišuje nepřímé zastoupení (komisionář) od situace inkasa dobírky při doručení a uvádí, že u dobírky eviduje tržbu prodávající; při bezhotovostním postoupení částky prodávajícímu se zpravidla uplatní výjimka z naplnění formálního znaku evidované tržby. V praxi je však vhodné tento výklad doplnit, aby nevznikaly pochybnosti. Formulace, že zprostředkovateli z dobírky „neplyne žádný příjem (marže)“, může být mylně vykládána tak, že pokud dopravce nebo provozovatel výdejního místa obdrží odměnu za přepravní či inkasní službu, nejde už o „typickou“ dobírku. Odměna za službu však není příjmem z úhrady ceny zboží. Současně doporučujeme výslovně propojit závěr o dobírce s § 7 odst. 2 (zprostředkování bez přímého či nepřímého zastoupení a následné převodem na účet poplatníka), aby nevznikal výklad „dobírka = vždy režim § 10 / vždy kontaktní platba“. U online modelů (</w:t>
            </w:r>
            <w:proofErr w:type="spellStart"/>
            <w:r w:rsidRPr="0035187E">
              <w:rPr>
                <w:rFonts w:ascii="Times New Roman" w:eastAsia="Aptos" w:hAnsi="Times New Roman" w:cs="Times New Roman"/>
                <w:kern w:val="2"/>
                <w:sz w:val="20"/>
                <w:szCs w:val="20"/>
                <w:lang w:eastAsia="en-US"/>
                <w14:ligatures w14:val="standardContextual"/>
              </w:rPr>
              <w:t>marketplace</w:t>
            </w:r>
            <w:proofErr w:type="spellEnd"/>
            <w:r w:rsidRPr="0035187E">
              <w:rPr>
                <w:rFonts w:ascii="Times New Roman" w:eastAsia="Aptos" w:hAnsi="Times New Roman" w:cs="Times New Roman"/>
                <w:kern w:val="2"/>
                <w:sz w:val="20"/>
                <w:szCs w:val="20"/>
                <w:lang w:eastAsia="en-US"/>
                <w14:ligatures w14:val="standardContextual"/>
              </w:rPr>
              <w:t>) je pak praktické připomenout, že pouhé logistické nebo technické zajištění inkasa (včetně případné platformní integrace) není samo o sobě nepřímé zastoupení, pokud subjekt nejedná vlastním jménem na účet jiného ve smyslu § 10.</w:t>
            </w:r>
          </w:p>
          <w:p w14:paraId="095395F8" w14:textId="77777777" w:rsidR="000B4BD4" w:rsidRPr="0035187E" w:rsidRDefault="000B4BD4" w:rsidP="0035187E">
            <w:pPr>
              <w:ind w:firstLine="426"/>
              <w:jc w:val="both"/>
              <w:rPr>
                <w:rFonts w:ascii="Times New Roman" w:eastAsia="Aptos" w:hAnsi="Times New Roman" w:cs="Times New Roman"/>
                <w:kern w:val="2"/>
                <w:sz w:val="20"/>
                <w:szCs w:val="20"/>
                <w:lang w:eastAsia="en-US"/>
                <w14:ligatures w14:val="standardContextual"/>
              </w:rPr>
            </w:pPr>
            <w:r w:rsidRPr="0035187E">
              <w:rPr>
                <w:rFonts w:ascii="Times New Roman" w:eastAsia="Aptos" w:hAnsi="Times New Roman" w:cs="Times New Roman"/>
                <w:kern w:val="2"/>
                <w:sz w:val="20"/>
                <w:szCs w:val="20"/>
                <w:lang w:eastAsia="en-US"/>
                <w14:ligatures w14:val="standardContextual"/>
              </w:rPr>
              <w:t xml:space="preserve">Navrhujeme proto doplnit do důvodové zprávy k § 10 (bezprostředně za odstavec začínající „Od nepřímého zastoupení je třeba odlišit situaci…“, resp. za pasáž o dobírce) následující upřesnění: </w:t>
            </w:r>
          </w:p>
          <w:p w14:paraId="66AD1186" w14:textId="77777777" w:rsidR="000B4BD4" w:rsidRPr="0035187E" w:rsidRDefault="000B4BD4" w:rsidP="0035187E">
            <w:pPr>
              <w:ind w:firstLine="426"/>
              <w:jc w:val="both"/>
              <w:rPr>
                <w:rFonts w:ascii="Times New Roman" w:eastAsia="Aptos" w:hAnsi="Times New Roman" w:cs="Times New Roman"/>
                <w:i/>
                <w:iCs/>
                <w:kern w:val="2"/>
                <w:sz w:val="20"/>
                <w:szCs w:val="20"/>
                <w:lang w:eastAsia="en-US"/>
                <w14:ligatures w14:val="standardContextual"/>
              </w:rPr>
            </w:pPr>
            <w:r w:rsidRPr="0035187E">
              <w:rPr>
                <w:rFonts w:ascii="Times New Roman" w:eastAsia="Aptos" w:hAnsi="Times New Roman" w:cs="Times New Roman"/>
                <w:i/>
                <w:iCs/>
                <w:kern w:val="2"/>
                <w:sz w:val="20"/>
                <w:szCs w:val="20"/>
                <w:lang w:eastAsia="en-US"/>
                <w14:ligatures w14:val="standardContextual"/>
              </w:rPr>
              <w:t xml:space="preserve">„Pro vyloučení pochybností platí, že inkaso dobírky dopravcem / provozovatelem výdejního místa (včetně operátora poštovních služeb) nepředstavuje nepřímé zastoupení ve smyslu § 10, pokud tento subjekt nejedná vlastním jménem na účet poplatníka ve vztahu k prodeji zboží nebo služeb, ale poskytuje pouze přepravní a/nebo inkasní službu. Skutečnost, že dopravce či provozovatel výdejního místa obdrží odměnu za přepravní/inkasní službu, tím není dotčena; tato odměna není rozhodným příjmem z úhrady ceny zboží. V těchto případech tržbu eviduje poplatník, jemuž plyne rozhodný příjem z prodeje zboží. Zároveň se typicky uplatní výjimka podle § 7 odst. 2, je-li hotovostní (nebo </w:t>
            </w:r>
            <w:proofErr w:type="spellStart"/>
            <w:r w:rsidRPr="0035187E">
              <w:rPr>
                <w:rFonts w:ascii="Times New Roman" w:eastAsia="Aptos" w:hAnsi="Times New Roman" w:cs="Times New Roman"/>
                <w:i/>
                <w:iCs/>
                <w:kern w:val="2"/>
                <w:sz w:val="20"/>
                <w:szCs w:val="20"/>
                <w:lang w:eastAsia="en-US"/>
                <w14:ligatures w14:val="standardContextual"/>
              </w:rPr>
              <w:t>kvazihotovostní</w:t>
            </w:r>
            <w:proofErr w:type="spellEnd"/>
            <w:r w:rsidRPr="0035187E">
              <w:rPr>
                <w:rFonts w:ascii="Times New Roman" w:eastAsia="Aptos" w:hAnsi="Times New Roman" w:cs="Times New Roman"/>
                <w:i/>
                <w:iCs/>
                <w:kern w:val="2"/>
                <w:sz w:val="20"/>
                <w:szCs w:val="20"/>
                <w:lang w:eastAsia="en-US"/>
                <w14:ligatures w14:val="standardContextual"/>
              </w:rPr>
              <w:t>) úhrada zprostředkována osobou, která nejedná v přímém ani nepřímém zastoupení poplatníka, a částka je následně poukázána bezhotovostním převodem na platební účet poplatníka.“</w:t>
            </w:r>
          </w:p>
          <w:p w14:paraId="6843BF44" w14:textId="6631BA52" w:rsidR="000B4BD4" w:rsidRPr="0035187E" w:rsidRDefault="000B4BD4" w:rsidP="0035187E">
            <w:pPr>
              <w:ind w:firstLine="426"/>
              <w:jc w:val="both"/>
              <w:rPr>
                <w:rFonts w:ascii="Times New Roman" w:hAnsi="Times New Roman" w:cs="Times New Roman"/>
                <w:sz w:val="20"/>
                <w:szCs w:val="20"/>
              </w:rPr>
            </w:pPr>
            <w:r w:rsidRPr="0035187E">
              <w:rPr>
                <w:rFonts w:ascii="Times New Roman" w:eastAsia="Aptos" w:hAnsi="Times New Roman" w:cs="Times New Roman"/>
                <w:b/>
                <w:bCs/>
                <w:kern w:val="2"/>
                <w:sz w:val="20"/>
                <w:szCs w:val="20"/>
                <w:lang w:eastAsia="en-US"/>
                <w14:ligatures w14:val="standardContextual"/>
              </w:rPr>
              <w:t>Cíl doplnění:</w:t>
            </w:r>
            <w:r w:rsidRPr="0035187E">
              <w:rPr>
                <w:rFonts w:ascii="Times New Roman" w:eastAsia="Aptos" w:hAnsi="Times New Roman" w:cs="Times New Roman"/>
                <w:kern w:val="2"/>
                <w:sz w:val="20"/>
                <w:szCs w:val="20"/>
                <w:lang w:eastAsia="en-US"/>
                <w14:ligatures w14:val="standardContextual"/>
              </w:rPr>
              <w:t xml:space="preserve"> potvrdit, že standardní dobírka inkasovaná dopravcem/provozovatelem výdejního místa a následně poukázaná prodejci bezhotovostně je režimově odlišná od nepřímého zastoupení podle § 10 a typicky podléhá výjimce dle § 7 odst. 2. Zároveň má být výslovně vyjasněno, že odměna dopravce či provozovatele výdejního místa za přepravní/inkasní službu sama o sobě nezakládá nepřímé zastoupení, protože nejde o příjem z úhrady ceny zboží.</w:t>
            </w:r>
          </w:p>
        </w:tc>
        <w:tc>
          <w:tcPr>
            <w:tcW w:w="1453" w:type="pct"/>
            <w:tcBorders>
              <w:top w:val="single" w:sz="4" w:space="0" w:color="auto"/>
              <w:left w:val="single" w:sz="4" w:space="0" w:color="auto"/>
              <w:bottom w:val="single" w:sz="4" w:space="0" w:color="auto"/>
              <w:right w:val="single" w:sz="4" w:space="0" w:color="auto"/>
            </w:tcBorders>
            <w:shd w:val="clear" w:color="auto" w:fill="auto"/>
          </w:tcPr>
          <w:p w14:paraId="191D3E79" w14:textId="77777777" w:rsidR="00764256" w:rsidRPr="0035187E" w:rsidRDefault="00764256" w:rsidP="0035187E">
            <w:pPr>
              <w:jc w:val="both"/>
              <w:rPr>
                <w:rFonts w:ascii="Times New Roman" w:hAnsi="Times New Roman" w:cs="Times New Roman"/>
                <w:b/>
                <w:sz w:val="20"/>
                <w:szCs w:val="20"/>
              </w:rPr>
            </w:pPr>
            <w:r w:rsidRPr="0035187E">
              <w:rPr>
                <w:rFonts w:ascii="Times New Roman" w:hAnsi="Times New Roman" w:cs="Times New Roman"/>
                <w:b/>
                <w:sz w:val="20"/>
                <w:szCs w:val="20"/>
              </w:rPr>
              <w:t>Vyhověno jinak.</w:t>
            </w:r>
          </w:p>
          <w:p w14:paraId="0A0D806D" w14:textId="0B0F9771" w:rsidR="000B4BD4" w:rsidRPr="0035187E" w:rsidRDefault="00764256" w:rsidP="0035187E">
            <w:pPr>
              <w:jc w:val="both"/>
              <w:rPr>
                <w:rFonts w:ascii="Times New Roman" w:hAnsi="Times New Roman" w:cs="Times New Roman"/>
                <w:sz w:val="20"/>
                <w:szCs w:val="20"/>
              </w:rPr>
            </w:pPr>
            <w:r w:rsidRPr="0035187E">
              <w:rPr>
                <w:rFonts w:ascii="Times New Roman" w:hAnsi="Times New Roman" w:cs="Times New Roman"/>
                <w:sz w:val="20"/>
                <w:szCs w:val="20"/>
              </w:rPr>
              <w:t>Viz vypořádání předchozí připomínky.</w:t>
            </w:r>
          </w:p>
        </w:tc>
      </w:tr>
      <w:tr w:rsidR="0035187E" w:rsidRPr="0035187E" w14:paraId="45C5F398" w14:textId="77777777" w:rsidTr="0035187E">
        <w:trPr>
          <w:trHeight w:val="513"/>
        </w:trPr>
        <w:tc>
          <w:tcPr>
            <w:tcW w:w="227" w:type="pct"/>
            <w:tcBorders>
              <w:top w:val="single" w:sz="4" w:space="0" w:color="auto"/>
              <w:left w:val="single" w:sz="4" w:space="0" w:color="auto"/>
              <w:bottom w:val="single" w:sz="4" w:space="0" w:color="auto"/>
              <w:right w:val="single" w:sz="4" w:space="0" w:color="auto"/>
            </w:tcBorders>
            <w:shd w:val="clear" w:color="auto" w:fill="auto"/>
          </w:tcPr>
          <w:p w14:paraId="3F13B3C4" w14:textId="6C3F4B0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154.</w:t>
            </w:r>
          </w:p>
        </w:tc>
        <w:tc>
          <w:tcPr>
            <w:tcW w:w="583" w:type="pct"/>
            <w:tcBorders>
              <w:top w:val="single" w:sz="4" w:space="0" w:color="auto"/>
              <w:left w:val="single" w:sz="4" w:space="0" w:color="auto"/>
              <w:bottom w:val="single" w:sz="4" w:space="0" w:color="auto"/>
              <w:right w:val="single" w:sz="4" w:space="0" w:color="auto"/>
            </w:tcBorders>
            <w:shd w:val="clear" w:color="auto" w:fill="auto"/>
          </w:tcPr>
          <w:p w14:paraId="71E4400A" w14:textId="532F680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Allegro</w:t>
            </w:r>
          </w:p>
        </w:tc>
        <w:tc>
          <w:tcPr>
            <w:tcW w:w="168" w:type="pct"/>
            <w:tcBorders>
              <w:top w:val="single" w:sz="4" w:space="0" w:color="auto"/>
              <w:left w:val="single" w:sz="4" w:space="0" w:color="auto"/>
              <w:bottom w:val="single" w:sz="4" w:space="0" w:color="auto"/>
              <w:right w:val="single" w:sz="4" w:space="0" w:color="auto"/>
            </w:tcBorders>
            <w:shd w:val="clear" w:color="auto" w:fill="auto"/>
          </w:tcPr>
          <w:p w14:paraId="5C79B7AB" w14:textId="77571FF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4487F4A9" w14:textId="64731F6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4BCFB33" w14:textId="77777777" w:rsidR="000B4BD4" w:rsidRPr="0035187E" w:rsidRDefault="000B4BD4" w:rsidP="0035187E">
            <w:pPr>
              <w:jc w:val="both"/>
              <w:rPr>
                <w:rFonts w:ascii="Times New Roman" w:eastAsia="Aptos" w:hAnsi="Times New Roman" w:cs="Times New Roman"/>
                <w:b/>
                <w:bCs/>
                <w:kern w:val="2"/>
                <w:sz w:val="20"/>
                <w:szCs w:val="20"/>
                <w:lang w:eastAsia="en-US"/>
                <w14:ligatures w14:val="standardContextual"/>
              </w:rPr>
            </w:pPr>
            <w:r w:rsidRPr="0035187E">
              <w:rPr>
                <w:rFonts w:ascii="Times New Roman" w:eastAsia="Aptos" w:hAnsi="Times New Roman" w:cs="Times New Roman"/>
                <w:b/>
                <w:bCs/>
                <w:kern w:val="2"/>
                <w:sz w:val="20"/>
                <w:szCs w:val="20"/>
                <w:lang w:eastAsia="en-US"/>
                <w14:ligatures w14:val="standardContextual"/>
              </w:rPr>
              <w:t>4. Připomínka k § 16 důvodové zprávy</w:t>
            </w:r>
          </w:p>
          <w:p w14:paraId="70FDAB6A" w14:textId="77777777" w:rsidR="000B4BD4" w:rsidRPr="0035187E" w:rsidRDefault="000B4BD4" w:rsidP="0035187E">
            <w:pPr>
              <w:ind w:firstLine="426"/>
              <w:jc w:val="both"/>
              <w:rPr>
                <w:rFonts w:ascii="Times New Roman" w:eastAsia="Aptos" w:hAnsi="Times New Roman" w:cs="Times New Roman"/>
                <w:kern w:val="2"/>
                <w:sz w:val="20"/>
                <w:szCs w:val="20"/>
                <w:lang w:eastAsia="en-US"/>
                <w14:ligatures w14:val="standardContextual"/>
              </w:rPr>
            </w:pPr>
            <w:r w:rsidRPr="0035187E">
              <w:rPr>
                <w:rFonts w:ascii="Times New Roman" w:eastAsia="Aptos" w:hAnsi="Times New Roman" w:cs="Times New Roman"/>
                <w:kern w:val="2"/>
                <w:sz w:val="20"/>
                <w:szCs w:val="20"/>
                <w:lang w:eastAsia="en-US"/>
                <w14:ligatures w14:val="standardContextual"/>
              </w:rPr>
              <w:t>Důvodová zpráva popisuje, že u online evidenční jednotky (internetová stránka/část stránky/aplikace) se jako identifikace uvádí např. odkaz, případně další rozlišovací údaje. Není však výslovně vyjasněno, že identifikace má být přiměřená a proveditelná (tj. bez požadavku na uvádění jednotlivých produktových podstránek či nabídek). Současně je vhodné výslovně propojit možnost označit, že se u evidenční jednotky „evidované tržby nepředpokládají“, i se situacemi, kdy je sice nabízeno COD, ale typicky se uplatní výjimka dle § 7 odst. 2 (inkaso prostředníkem bez zastoupení a následné poukázání částky bezhotovostně na účet poplatníka).</w:t>
            </w:r>
          </w:p>
          <w:p w14:paraId="4EA6042F" w14:textId="77777777" w:rsidR="000B4BD4" w:rsidRPr="0035187E" w:rsidRDefault="000B4BD4" w:rsidP="0035187E">
            <w:pPr>
              <w:ind w:firstLine="426"/>
              <w:jc w:val="both"/>
              <w:rPr>
                <w:rFonts w:ascii="Times New Roman" w:eastAsia="Aptos" w:hAnsi="Times New Roman" w:cs="Times New Roman"/>
                <w:kern w:val="2"/>
                <w:sz w:val="20"/>
                <w:szCs w:val="20"/>
                <w:lang w:eastAsia="en-US"/>
                <w14:ligatures w14:val="standardContextual"/>
              </w:rPr>
            </w:pPr>
            <w:r w:rsidRPr="0035187E">
              <w:rPr>
                <w:rFonts w:ascii="Times New Roman" w:eastAsia="Aptos" w:hAnsi="Times New Roman" w:cs="Times New Roman"/>
                <w:kern w:val="2"/>
                <w:sz w:val="20"/>
                <w:szCs w:val="20"/>
                <w:lang w:eastAsia="en-US"/>
                <w14:ligatures w14:val="standardContextual"/>
              </w:rPr>
              <w:t>Navrhujeme doplnit do důvodové zprávy k § 16 následující upřesnění:</w:t>
            </w:r>
          </w:p>
          <w:p w14:paraId="51FB5085" w14:textId="77777777" w:rsidR="000B4BD4" w:rsidRPr="0035187E" w:rsidRDefault="000B4BD4" w:rsidP="0035187E">
            <w:pPr>
              <w:ind w:firstLine="426"/>
              <w:jc w:val="both"/>
              <w:rPr>
                <w:rFonts w:ascii="Times New Roman" w:eastAsia="Aptos" w:hAnsi="Times New Roman" w:cs="Times New Roman"/>
                <w:i/>
                <w:iCs/>
                <w:kern w:val="2"/>
                <w:sz w:val="20"/>
                <w:szCs w:val="20"/>
                <w:lang w:eastAsia="en-US"/>
                <w14:ligatures w14:val="standardContextual"/>
              </w:rPr>
            </w:pPr>
            <w:r w:rsidRPr="0035187E">
              <w:rPr>
                <w:rFonts w:ascii="Times New Roman" w:eastAsia="Aptos" w:hAnsi="Times New Roman" w:cs="Times New Roman"/>
                <w:i/>
                <w:iCs/>
                <w:kern w:val="2"/>
                <w:sz w:val="20"/>
                <w:szCs w:val="20"/>
                <w:lang w:eastAsia="en-US"/>
                <w14:ligatures w14:val="standardContextual"/>
              </w:rPr>
              <w:t>„V případě internetové stránky, části internetové stránky nebo aplikace se identifikace evidenční jednotky uvádí přiměřeně tak, aby byla jednotka jednoznačně určena, aniž by se vyžadovalo uvádění jednotlivých produktových podstránek či jednotlivých nabídek. Současně lze u online evidenční jednotky uvést, že se evidované tržby nepředpokládají, pokud v daném modelu nedochází ke kontaktním platbám ve smyslu § 7, typicky i v případech, kdy je dobírka inkasována prostředníkem bez zastoupení a částka je následně poukázána bezhotovostně převodem na účet poplatníka (viz § 7 odst. 2).“</w:t>
            </w:r>
          </w:p>
          <w:p w14:paraId="314CE92A" w14:textId="77777777" w:rsidR="000B4BD4" w:rsidRPr="0035187E" w:rsidRDefault="000B4BD4" w:rsidP="0035187E">
            <w:pPr>
              <w:jc w:val="both"/>
              <w:rPr>
                <w:rFonts w:ascii="Times New Roman" w:eastAsia="Aptos" w:hAnsi="Times New Roman" w:cs="Times New Roman"/>
                <w:kern w:val="2"/>
                <w:sz w:val="20"/>
                <w:szCs w:val="20"/>
                <w:lang w:eastAsia="en-US"/>
                <w14:ligatures w14:val="standardContextual"/>
              </w:rPr>
            </w:pPr>
            <w:r w:rsidRPr="0035187E">
              <w:rPr>
                <w:rFonts w:ascii="Times New Roman" w:eastAsia="Aptos" w:hAnsi="Times New Roman" w:cs="Times New Roman"/>
                <w:b/>
                <w:bCs/>
                <w:kern w:val="2"/>
                <w:sz w:val="20"/>
                <w:szCs w:val="20"/>
                <w:lang w:eastAsia="en-US"/>
                <w14:ligatures w14:val="standardContextual"/>
              </w:rPr>
              <w:t>Cíl doplnění:</w:t>
            </w:r>
          </w:p>
          <w:p w14:paraId="6E99CAD8" w14:textId="77777777" w:rsidR="000B4BD4" w:rsidRPr="0035187E" w:rsidRDefault="000B4BD4" w:rsidP="0035187E">
            <w:pPr>
              <w:numPr>
                <w:ilvl w:val="0"/>
                <w:numId w:val="92"/>
              </w:numPr>
              <w:ind w:left="0" w:firstLine="4"/>
              <w:jc w:val="both"/>
              <w:rPr>
                <w:rFonts w:ascii="Times New Roman" w:eastAsia="Aptos" w:hAnsi="Times New Roman" w:cs="Times New Roman"/>
                <w:kern w:val="2"/>
                <w:sz w:val="20"/>
                <w:szCs w:val="20"/>
                <w:lang w:eastAsia="en-US"/>
                <w14:ligatures w14:val="standardContextual"/>
              </w:rPr>
            </w:pPr>
            <w:r w:rsidRPr="0035187E">
              <w:rPr>
                <w:rFonts w:ascii="Times New Roman" w:eastAsia="Aptos" w:hAnsi="Times New Roman" w:cs="Times New Roman"/>
                <w:kern w:val="2"/>
                <w:sz w:val="20"/>
                <w:szCs w:val="20"/>
                <w:lang w:eastAsia="en-US"/>
                <w14:ligatures w14:val="standardContextual"/>
              </w:rPr>
              <w:t>zajistit praktickou proveditelnost oznamování u online evidenčních jednotek (bez nepřiměřené míry podrobnosti, např. jednotlivé URL/produkty), a</w:t>
            </w:r>
          </w:p>
          <w:p w14:paraId="2EC1D38F" w14:textId="094F6F09" w:rsidR="000B4BD4" w:rsidRPr="0035187E" w:rsidRDefault="000B4BD4" w:rsidP="0035187E">
            <w:pPr>
              <w:numPr>
                <w:ilvl w:val="0"/>
                <w:numId w:val="92"/>
              </w:numPr>
              <w:ind w:left="0" w:firstLine="4"/>
              <w:jc w:val="both"/>
              <w:rPr>
                <w:rFonts w:ascii="Times New Roman" w:hAnsi="Times New Roman" w:cs="Times New Roman"/>
                <w:sz w:val="20"/>
                <w:szCs w:val="20"/>
              </w:rPr>
            </w:pPr>
            <w:r w:rsidRPr="0035187E">
              <w:rPr>
                <w:rFonts w:ascii="Times New Roman" w:eastAsia="Aptos" w:hAnsi="Times New Roman" w:cs="Times New Roman"/>
                <w:kern w:val="2"/>
                <w:sz w:val="20"/>
                <w:szCs w:val="20"/>
                <w:lang w:eastAsia="en-US"/>
                <w14:ligatures w14:val="standardContextual"/>
              </w:rPr>
              <w:t>potvrdit, že i u online rozhraní lze označit, že se evidované tržby nepředpokládají, pokud v daném modelu typicky nedochází ke kontaktním platbám (včetně inkasa dobírky prostředníkem a následným poukázáním částky bezhotovostně převodem na účet poplatníka § 7 odst. 2).</w:t>
            </w:r>
          </w:p>
        </w:tc>
        <w:tc>
          <w:tcPr>
            <w:tcW w:w="1453" w:type="pct"/>
            <w:tcBorders>
              <w:top w:val="single" w:sz="4" w:space="0" w:color="auto"/>
              <w:left w:val="single" w:sz="4" w:space="0" w:color="auto"/>
              <w:bottom w:val="single" w:sz="4" w:space="0" w:color="auto"/>
              <w:right w:val="single" w:sz="4" w:space="0" w:color="auto"/>
            </w:tcBorders>
            <w:shd w:val="clear" w:color="auto" w:fill="auto"/>
          </w:tcPr>
          <w:p w14:paraId="2E745AA7" w14:textId="77777777" w:rsidR="000B4BD4" w:rsidRPr="0035187E" w:rsidRDefault="00764256" w:rsidP="0035187E">
            <w:pPr>
              <w:jc w:val="both"/>
              <w:rPr>
                <w:rFonts w:ascii="Times New Roman" w:hAnsi="Times New Roman" w:cs="Times New Roman"/>
                <w:b/>
                <w:sz w:val="20"/>
                <w:szCs w:val="20"/>
              </w:rPr>
            </w:pPr>
            <w:r w:rsidRPr="0035187E">
              <w:rPr>
                <w:rFonts w:ascii="Times New Roman" w:hAnsi="Times New Roman" w:cs="Times New Roman"/>
                <w:b/>
                <w:sz w:val="20"/>
                <w:szCs w:val="20"/>
              </w:rPr>
              <w:t>Vyhověno jinak.</w:t>
            </w:r>
          </w:p>
          <w:p w14:paraId="49CAE900" w14:textId="1FA38572" w:rsidR="00764256" w:rsidRPr="0035187E" w:rsidRDefault="009E6685" w:rsidP="0035187E">
            <w:pPr>
              <w:jc w:val="both"/>
              <w:rPr>
                <w:rFonts w:ascii="Times New Roman" w:hAnsi="Times New Roman" w:cs="Times New Roman"/>
                <w:sz w:val="20"/>
                <w:szCs w:val="20"/>
              </w:rPr>
            </w:pPr>
            <w:r w:rsidRPr="0035187E">
              <w:rPr>
                <w:rFonts w:ascii="Times New Roman" w:hAnsi="Times New Roman" w:cs="Times New Roman"/>
                <w:sz w:val="20"/>
                <w:szCs w:val="20"/>
              </w:rPr>
              <w:t>V</w:t>
            </w:r>
            <w:r w:rsidR="00764256" w:rsidRPr="0035187E">
              <w:rPr>
                <w:rFonts w:ascii="Times New Roman" w:hAnsi="Times New Roman" w:cs="Times New Roman"/>
                <w:sz w:val="20"/>
                <w:szCs w:val="20"/>
              </w:rPr>
              <w:t xml:space="preserve"> textu § 16 došlo k zúžení oznamovací povinnosti pouze na „</w:t>
            </w:r>
            <w:r w:rsidR="00764256" w:rsidRPr="0035187E">
              <w:rPr>
                <w:rFonts w:ascii="Times New Roman" w:hAnsi="Times New Roman" w:cs="Times New Roman"/>
                <w:i/>
                <w:sz w:val="20"/>
                <w:szCs w:val="20"/>
              </w:rPr>
              <w:t>evidenční jednotky, prostřednictvím nichž jsou uskutečňovány tržby</w:t>
            </w:r>
            <w:r w:rsidR="00764256" w:rsidRPr="0035187E">
              <w:rPr>
                <w:rFonts w:ascii="Times New Roman" w:hAnsi="Times New Roman" w:cs="Times New Roman"/>
                <w:sz w:val="20"/>
                <w:szCs w:val="20"/>
              </w:rPr>
              <w:t>“. Různé produktové stránky či nabídky tedy nebudou do kategorie evidenčních jednotek, kterých by se dotýkala oznamovací povinnost vůbec spadat (což ani nebylo záměrem).</w:t>
            </w:r>
          </w:p>
          <w:p w14:paraId="5CDDD875" w14:textId="6313D854" w:rsidR="00764256" w:rsidRPr="0035187E" w:rsidRDefault="00764256" w:rsidP="0035187E">
            <w:pPr>
              <w:jc w:val="both"/>
              <w:rPr>
                <w:rFonts w:ascii="Times New Roman" w:hAnsi="Times New Roman" w:cs="Times New Roman"/>
                <w:sz w:val="20"/>
                <w:szCs w:val="20"/>
              </w:rPr>
            </w:pPr>
          </w:p>
        </w:tc>
      </w:tr>
      <w:tr w:rsidR="0035187E" w:rsidRPr="0035187E" w14:paraId="387B31EA"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561EE80F" w14:textId="68DC7B9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155.</w:t>
            </w:r>
          </w:p>
        </w:tc>
        <w:tc>
          <w:tcPr>
            <w:tcW w:w="583" w:type="pct"/>
            <w:tcBorders>
              <w:top w:val="single" w:sz="4" w:space="0" w:color="auto"/>
              <w:left w:val="single" w:sz="4" w:space="0" w:color="auto"/>
              <w:right w:val="single" w:sz="4" w:space="0" w:color="auto"/>
            </w:tcBorders>
            <w:shd w:val="clear" w:color="auto" w:fill="auto"/>
          </w:tcPr>
          <w:p w14:paraId="7AB9591E" w14:textId="16E4EA31" w:rsidR="000B4BD4" w:rsidRPr="0035187E" w:rsidRDefault="000B4BD4" w:rsidP="0035187E">
            <w:pPr>
              <w:jc w:val="center"/>
              <w:rPr>
                <w:rFonts w:ascii="Times New Roman" w:hAnsi="Times New Roman" w:cs="Times New Roman"/>
                <w:sz w:val="20"/>
                <w:szCs w:val="20"/>
              </w:rPr>
            </w:pPr>
            <w:proofErr w:type="spellStart"/>
            <w:r w:rsidRPr="0035187E">
              <w:rPr>
                <w:rFonts w:ascii="Times New Roman" w:hAnsi="Times New Roman" w:cs="Times New Roman"/>
                <w:sz w:val="20"/>
                <w:szCs w:val="20"/>
              </w:rPr>
              <w:t>Bolt</w:t>
            </w:r>
            <w:proofErr w:type="spellEnd"/>
            <w:r w:rsidRPr="0035187E">
              <w:rPr>
                <w:rFonts w:ascii="Times New Roman" w:hAnsi="Times New Roman" w:cs="Times New Roman"/>
                <w:sz w:val="20"/>
                <w:szCs w:val="20"/>
              </w:rPr>
              <w:t xml:space="preserve"> </w:t>
            </w:r>
            <w:proofErr w:type="spellStart"/>
            <w:r w:rsidRPr="0035187E">
              <w:rPr>
                <w:rFonts w:ascii="Times New Roman" w:hAnsi="Times New Roman" w:cs="Times New Roman"/>
                <w:sz w:val="20"/>
                <w:szCs w:val="20"/>
              </w:rPr>
              <w:t>Operations</w:t>
            </w:r>
            <w:proofErr w:type="spellEnd"/>
            <w:r w:rsidRPr="0035187E">
              <w:rPr>
                <w:rFonts w:ascii="Times New Roman" w:hAnsi="Times New Roman" w:cs="Times New Roman"/>
                <w:sz w:val="20"/>
                <w:szCs w:val="20"/>
              </w:rPr>
              <w:t xml:space="preserve"> OÜ</w:t>
            </w:r>
          </w:p>
        </w:tc>
        <w:tc>
          <w:tcPr>
            <w:tcW w:w="168" w:type="pct"/>
            <w:tcBorders>
              <w:top w:val="single" w:sz="4" w:space="0" w:color="auto"/>
              <w:left w:val="single" w:sz="4" w:space="0" w:color="auto"/>
              <w:right w:val="single" w:sz="4" w:space="0" w:color="auto"/>
            </w:tcBorders>
            <w:shd w:val="clear" w:color="auto" w:fill="auto"/>
          </w:tcPr>
          <w:p w14:paraId="339CD3A7" w14:textId="66F915BE"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22707BF8" w14:textId="7CC3FFD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D</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063B2245" w14:textId="77777777" w:rsidR="000B4BD4" w:rsidRPr="0035187E" w:rsidRDefault="000B4BD4" w:rsidP="0035187E">
            <w:pPr>
              <w:jc w:val="both"/>
              <w:rPr>
                <w:rFonts w:ascii="Times New Roman" w:hAnsi="Times New Roman" w:cs="Times New Roman"/>
                <w:b/>
                <w:bCs/>
                <w:sz w:val="20"/>
                <w:szCs w:val="20"/>
                <w:u w:val="single"/>
              </w:rPr>
            </w:pPr>
            <w:r w:rsidRPr="0035187E">
              <w:rPr>
                <w:rFonts w:ascii="Times New Roman" w:hAnsi="Times New Roman" w:cs="Times New Roman"/>
                <w:b/>
                <w:bCs/>
                <w:sz w:val="20"/>
                <w:szCs w:val="20"/>
                <w:u w:val="single"/>
              </w:rPr>
              <w:t>Obecná připomínka:</w:t>
            </w:r>
          </w:p>
          <w:p w14:paraId="259E5D0D"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Připomínky se zaměřují na ty části návrhu zákona, které zavádějí nebo rozšiřují povinnosti související s evidencí tržeb. Jde zejména o zavedení slevy na evidenci tržeb podle § 35be, vázané na plnění povinností při evidenci tržeb, zavedení mechanismu přirážky podle § 2b a § 38lk a rozšíření centrální daňové analytické databáze podle § 18a zákona č. 456/2011 Sb., jakož i o rozšíření pravomocí při vymáhání prostřednictvím kontrolních nákupů podle § 13d téhož zákona a § 11e zákona o Celní správě České republiky.</w:t>
            </w:r>
          </w:p>
          <w:p w14:paraId="4764871A"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S ohledem na níže uvedené má </w:t>
            </w:r>
            <w:proofErr w:type="spellStart"/>
            <w:r w:rsidRPr="0035187E">
              <w:rPr>
                <w:rFonts w:ascii="Times New Roman" w:hAnsi="Times New Roman" w:cs="Times New Roman"/>
                <w:sz w:val="20"/>
                <w:szCs w:val="20"/>
              </w:rPr>
              <w:t>Bolt</w:t>
            </w:r>
            <w:proofErr w:type="spellEnd"/>
            <w:r w:rsidRPr="0035187E">
              <w:rPr>
                <w:rFonts w:ascii="Times New Roman" w:hAnsi="Times New Roman" w:cs="Times New Roman"/>
                <w:sz w:val="20"/>
                <w:szCs w:val="20"/>
              </w:rPr>
              <w:t xml:space="preserve"> za to, že při finalizaci návrhu zákona je nezbytné zohlednit specifickou povahu přepravních služeb zprostředkovaných digitálními platformami. V tomto segmentu jsou cíle transparentnosti transakcí, dostupnosti dat a kontroly plnění daňových povinností již plně zajištěny prostřednictvím existujících digitálních a regulatorních mechanismů. Uložení dalších povinností podle zákona o evidenci tržeb by proto nebylo přiměřené ani nezbytné.</w:t>
            </w:r>
          </w:p>
          <w:p w14:paraId="769FBFF1" w14:textId="77777777" w:rsidR="000B4BD4" w:rsidRPr="0035187E" w:rsidRDefault="000B4BD4" w:rsidP="0035187E">
            <w:pPr>
              <w:jc w:val="both"/>
              <w:rPr>
                <w:rFonts w:ascii="Times New Roman" w:hAnsi="Times New Roman" w:cs="Times New Roman"/>
                <w:b/>
                <w:bCs/>
                <w:sz w:val="20"/>
                <w:szCs w:val="20"/>
              </w:rPr>
            </w:pPr>
          </w:p>
          <w:p w14:paraId="69937609"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A. Vynětí přepravních služeb poskytovaných podle zákona o silniční dopravě a zprostředkovaných prostřednictvím digitálních platforem</w:t>
            </w:r>
          </w:p>
          <w:p w14:paraId="59243047"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Společnost </w:t>
            </w:r>
            <w:proofErr w:type="spellStart"/>
            <w:r w:rsidRPr="0035187E">
              <w:rPr>
                <w:rFonts w:ascii="Times New Roman" w:hAnsi="Times New Roman" w:cs="Times New Roman"/>
                <w:sz w:val="20"/>
                <w:szCs w:val="20"/>
              </w:rPr>
              <w:t>Bolt</w:t>
            </w:r>
            <w:proofErr w:type="spellEnd"/>
            <w:r w:rsidRPr="0035187E">
              <w:rPr>
                <w:rFonts w:ascii="Times New Roman" w:hAnsi="Times New Roman" w:cs="Times New Roman"/>
                <w:sz w:val="20"/>
                <w:szCs w:val="20"/>
              </w:rPr>
              <w:t xml:space="preserve"> považuje za zásadní, aby přepravní služby poskytované podle zákona o silniční dopravě a zprostředkované prostřednictvím digitálních platforem podle § 21 odst. 6 ZSD byly výslovně vyňaty z působnosti nové úpravy evidence tržeb. Takové řešení by </w:t>
            </w:r>
            <w:r w:rsidRPr="0035187E">
              <w:rPr>
                <w:rFonts w:ascii="Times New Roman" w:hAnsi="Times New Roman" w:cs="Times New Roman"/>
                <w:sz w:val="20"/>
                <w:szCs w:val="20"/>
              </w:rPr>
              <w:lastRenderedPageBreak/>
              <w:t>bylo možné legislativně provést formou zvláštního vynětí z evidence tržeb, a to rozšířením § 14 odst. 5 návrhu zákona tak, aby zahrnoval i činnost zprostředkovatele taxislužby.</w:t>
            </w:r>
          </w:p>
          <w:p w14:paraId="5C5CFB0B" w14:textId="77777777" w:rsidR="000B4BD4" w:rsidRPr="0035187E" w:rsidRDefault="000B4BD4" w:rsidP="0035187E">
            <w:pPr>
              <w:jc w:val="both"/>
              <w:rPr>
                <w:rFonts w:ascii="Times New Roman" w:hAnsi="Times New Roman" w:cs="Times New Roman"/>
                <w:sz w:val="20"/>
                <w:szCs w:val="20"/>
                <w:u w:val="single"/>
              </w:rPr>
            </w:pPr>
          </w:p>
          <w:p w14:paraId="7617BA5F" w14:textId="77777777"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w:t>
            </w:r>
          </w:p>
          <w:p w14:paraId="0755C580"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Digitální povaha transakcí a existující evidenční rámec</w:t>
            </w:r>
          </w:p>
          <w:p w14:paraId="00868410"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Důvodem tohoto návrhu je především skutečnost, že transakce zprostředkované digitální platformou mají ze své podstaty plně digitální charakter. Veškeré podstatné prvky každé jednotlivé transakce, tedy zejména objednání služby, určení ceny, přiřazení řidiče a smluvní podmínky, jsou určeny a zaznamenány elektronicky ještě před poskytnutím přepravní služby. Tato skutečnost se nemění ani tehdy, je-li úhrada provedena v hotovosti. Již na úrovni platformy tak existuje úplný, strukturovaný a spolehlivý digitální záznam každé jednotlivé transakce.</w:t>
            </w:r>
          </w:p>
          <w:p w14:paraId="43851502"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Zprostředkovatelé taxislužby jsou navíc ze zákona povinni vést evidenci těchto údajů, konkrétně v evidenci objednaných přeprav podle § 21e odst. 2 ZSD. Nesplnění této povinnosti je postižitelné jako přestupek.</w:t>
            </w:r>
          </w:p>
          <w:p w14:paraId="6383B43C" w14:textId="77777777" w:rsidR="000B4BD4" w:rsidRPr="0035187E" w:rsidRDefault="000B4BD4" w:rsidP="0035187E">
            <w:pPr>
              <w:jc w:val="both"/>
              <w:rPr>
                <w:rFonts w:ascii="Times New Roman" w:hAnsi="Times New Roman" w:cs="Times New Roman"/>
                <w:sz w:val="20"/>
                <w:szCs w:val="20"/>
              </w:rPr>
            </w:pPr>
            <w:proofErr w:type="spellStart"/>
            <w:r w:rsidRPr="0035187E">
              <w:rPr>
                <w:rFonts w:ascii="Times New Roman" w:hAnsi="Times New Roman" w:cs="Times New Roman"/>
                <w:sz w:val="20"/>
                <w:szCs w:val="20"/>
              </w:rPr>
              <w:t>Bolt</w:t>
            </w:r>
            <w:proofErr w:type="spellEnd"/>
            <w:r w:rsidRPr="0035187E">
              <w:rPr>
                <w:rFonts w:ascii="Times New Roman" w:hAnsi="Times New Roman" w:cs="Times New Roman"/>
                <w:sz w:val="20"/>
                <w:szCs w:val="20"/>
              </w:rPr>
              <w:t xml:space="preserve"> dále zajišťuje, aby za všechny jízdy, včetně jízd hrazených v hotovosti, byly jménem dopravců vytvářeny a vystavovány faktury, čímž vzniká úplná digitální auditní stopa přístupná jak uživatelům, tak daňovým orgánům. Jedná se o přísnější postup, než stanoví obecné pravidlo, podle něhož se faktury vystavují pouze na žádost zákazníka. Povinnost zasílat vyúčtování klientům přepravy vyplývá z § 21 odst. 6 písm. c) ZSD. </w:t>
            </w:r>
          </w:p>
          <w:p w14:paraId="4EA6442D"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Uložení povinnosti podle zákona o evidenci tržeb, která sleduje stejný účel (zaznamenání hotovostních plateb), tak vede ke vzniku duplicitního systému, v němž jsou tytéž informace evidovány podle dvou na sobě nezávislých právních předpisů. Stávající rámec tedy již naplňuje informační cíle, kterých má evidence tržeb dosáhnout. Plánované rozšíření daňové analytické databáze podle § 18a dále potvrzuje, že záměrem zákonodárce je centralizace a analýza dat na úrovni jednotlivých transakcí. Tato data jsou však již dostupná prostřednictvím zavedených oznamovacích mechanismů, což činí dodatečné vykazování podle EET v tomto specifickém kontextu nadbytečným.</w:t>
            </w:r>
          </w:p>
          <w:p w14:paraId="5B925F24"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České daňové orgány již v současnosti získávají od digitálních platforem rozsáhlé soubory dat na základě více povinností, včetně ročního a měsíčního reportingu podle DAC7, jakož i detailních dat na úrovni jednotlivých transakcí, které zahrnují podrobné informace o každé jízdě a jejím způsobu úhrady. Orgány veřejné moci tak již mají přístup k údajům, které hodlají shromažďovat v rámci EET 2.0, konkrétně v evidenci objednaných přeprav vedené zprostředkovateli taxislužby. Tyto oznamovací toky poskytují úroveň transparentnosti a detailu, která zamýšlené výsledky EET 2.0 nejen naplňuje, ale v mnoha ohledech i překračuje. Zavedení další vrstvy reportingu by proto nepřineslo podstatné posílení daňového dohledu, ale vedlo by pouze k duplicitě a zvýšení administrativní zátěže.</w:t>
            </w:r>
          </w:p>
          <w:p w14:paraId="1958DE65"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Koncept kontaktní platby</w:t>
            </w:r>
          </w:p>
          <w:p w14:paraId="015874E7"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Za podstatné považujeme rovněž posouzení institutu tzv. kontaktní platby a významu osobního kontaktu v rámci navrhované koncepce evidence tržeb. V kontextu přepravy zprostředkované platformou je osobní kontakt mezi cestujícím a řidičem z hlediska právní a ekonomické podstaty transakce pouze nahodilým prvkem jejího faktického provedení. Jádro transakce vzniká digitálně: služba je objednána elektronicky, cena je určena předem </w:t>
            </w:r>
            <w:r w:rsidRPr="0035187E">
              <w:rPr>
                <w:rFonts w:ascii="Times New Roman" w:hAnsi="Times New Roman" w:cs="Times New Roman"/>
                <w:sz w:val="20"/>
                <w:szCs w:val="20"/>
              </w:rPr>
              <w:lastRenderedPageBreak/>
              <w:t>a smluvní rámec je stanoven ještě před samotným plněním. Fyzická interakce při jízdě nebo při úhradě nepředstavuje vznik transakce, ale pouze realizaci již předem sjednaného právního a ekonomického vztahu. Následně je navíc vystaven elektronický doklad odpovídající předem určené ceně.</w:t>
            </w:r>
          </w:p>
          <w:p w14:paraId="39897BD7"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Jestliže návrh zákona vychází z konceptu osobního kontaktu jako z jednoho z rozhodných kritérií pro vznik evidenční povinnosti, je třeba v případě přepravy zprostředkované prostřednictvím platformy vycházet z materiální podstaty daného vztahu. Ta je nesporně digitální. Osobní aspekt samotné úhrady proto sám o sobě neodůvodňuje aplikaci režimu evidence tržeb tam, kde jsou veškeré relevantní údaje již předem i následně spolehlivě zaznamenány a kde nevzniká žádné reálné ohrožení fiskálních zájmů státu.</w:t>
            </w:r>
          </w:p>
          <w:p w14:paraId="6A60AA3D"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Institut přirážky a praktické dopady návrhu zákona</w:t>
            </w:r>
          </w:p>
          <w:p w14:paraId="196FE83D"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Návrh právní úpravy dále zavádí mechanismus přirážky, který umožňuje některým poplatníkům v paušálním režimu vyvázat se z povinností evidence tržeb výměnou za pevně stanovenou měsíční přirážku. Ačkoli toto řešení může pro některé drobné podnikatele představovat pragmatickou možnost, jeho použitelnost na přepravu zprostředkovanou platformami je omezená. Nárok je omezen na poplatníky v prvním pásmu paušálního režimu s příjmy nepřevyšujícími 1 000 000 Kč, což je hranice, kterou řada aktivních řidičů překračuje. Řidiči uplatňující jiný daňový režim nebo mající diverzifikované zdroje příjmů jsou navíc zcela vyloučeni. Finanční dopad přirážky ve výši 16 800 Kč ročně představuje významný náklad, zejména s ohledem na skutečnost, že sledovaný cíl daňové kontroly je již naplněn prostřednictvím reportingu založeného na platformě.</w:t>
            </w:r>
          </w:p>
          <w:p w14:paraId="752D2C39"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Z provozního hlediska by uložení povinností evidence tržeb rozsáhlé a roztříštěné základně nezávislých řidičů znamenalo značnou složitost. Soulad s právní úpravou by vyžadoval investice do certifikovaného hardwaru, integrace systémů a průběžných administrativních procesů. Rozšíření vymáhacích pravomocí, včetně kontrolních nákupů, by dále vystavilo jednotlivé řidiče rizikům souvisejícím s plněním povinností a potenciálním sankcím, aniž by tím vznikala dodatečná informační hodnota pro správce daně nebo jiné kontrolní orgány. To vyvolává pochybnosti o přiměřenosti navrhovaných opatření, zejména ve vztahu k osobám samostatně výdělečně činným působícím v digitálně zprostředkovaných ekosystémech.</w:t>
            </w:r>
          </w:p>
          <w:p w14:paraId="5050ABD0" w14:textId="61066C29"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Za důležitou považujeme také právní strukturu vztahů v rámci </w:t>
            </w:r>
            <w:proofErr w:type="spellStart"/>
            <w:r w:rsidRPr="0035187E">
              <w:rPr>
                <w:rFonts w:ascii="Times New Roman" w:hAnsi="Times New Roman" w:cs="Times New Roman"/>
                <w:sz w:val="20"/>
                <w:szCs w:val="20"/>
              </w:rPr>
              <w:t>platformově</w:t>
            </w:r>
            <w:proofErr w:type="spellEnd"/>
            <w:r w:rsidRPr="0035187E">
              <w:rPr>
                <w:rFonts w:ascii="Times New Roman" w:hAnsi="Times New Roman" w:cs="Times New Roman"/>
                <w:sz w:val="20"/>
                <w:szCs w:val="20"/>
              </w:rPr>
              <w:t xml:space="preserve"> zprostředkované přepravy. </w:t>
            </w:r>
            <w:proofErr w:type="spellStart"/>
            <w:r w:rsidRPr="0035187E">
              <w:rPr>
                <w:rFonts w:ascii="Times New Roman" w:hAnsi="Times New Roman" w:cs="Times New Roman"/>
                <w:sz w:val="20"/>
                <w:szCs w:val="20"/>
              </w:rPr>
              <w:t>Bolt</w:t>
            </w:r>
            <w:proofErr w:type="spellEnd"/>
            <w:r w:rsidRPr="0035187E">
              <w:rPr>
                <w:rFonts w:ascii="Times New Roman" w:hAnsi="Times New Roman" w:cs="Times New Roman"/>
                <w:sz w:val="20"/>
                <w:szCs w:val="20"/>
              </w:rPr>
              <w:t xml:space="preserve"> není dopravcem a není smluvní stranou přepravní smlouvy; ta vzniká mezi cestujícím a konkrétním řidičem. Jakékoli povinnosti související s evidencí tržeb by proto formálně dopadaly na jednotlivé dopravce jakožto subjekty evidence tržeb. Fakticky by však zajištění souladu s navrhovanou úpravou vyžadovalo zásadní technické i provozní zapojení platformy. Tím vzniká zjevný nesoulad mezi formální právní odpovědností a praktickou možností plnění zákonných povinností.</w:t>
            </w:r>
          </w:p>
        </w:tc>
        <w:tc>
          <w:tcPr>
            <w:tcW w:w="1453" w:type="pct"/>
            <w:tcBorders>
              <w:top w:val="single" w:sz="4" w:space="0" w:color="auto"/>
              <w:left w:val="single" w:sz="4" w:space="0" w:color="auto"/>
              <w:bottom w:val="single" w:sz="4" w:space="0" w:color="auto"/>
              <w:right w:val="single" w:sz="4" w:space="0" w:color="auto"/>
            </w:tcBorders>
            <w:shd w:val="clear" w:color="auto" w:fill="auto"/>
          </w:tcPr>
          <w:p w14:paraId="250E0BD0" w14:textId="0C0866FD" w:rsidR="000B4BD4" w:rsidRPr="0035187E" w:rsidRDefault="009E6685" w:rsidP="0035187E">
            <w:pPr>
              <w:jc w:val="both"/>
              <w:rPr>
                <w:rFonts w:ascii="Times New Roman" w:hAnsi="Times New Roman" w:cs="Times New Roman"/>
                <w:b/>
                <w:sz w:val="20"/>
                <w:szCs w:val="20"/>
              </w:rPr>
            </w:pPr>
            <w:r w:rsidRPr="0035187E">
              <w:rPr>
                <w:rFonts w:ascii="Times New Roman" w:hAnsi="Times New Roman" w:cs="Times New Roman"/>
                <w:b/>
                <w:sz w:val="20"/>
                <w:szCs w:val="20"/>
              </w:rPr>
              <w:lastRenderedPageBreak/>
              <w:t>Nevyhověno.</w:t>
            </w:r>
          </w:p>
          <w:p w14:paraId="3963B74D" w14:textId="3CDD28FC" w:rsidR="009E6685" w:rsidRPr="0035187E" w:rsidRDefault="00BB1A97"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Důvody, které připomínkové místo uvádí, nejsou při srovnání s některými dalšími segmenty podnikatelské činnosti ojedinělé a výjimečné. Předkladatel nepovažuje uvedená specifika za důvod pro vynětí tržeb dosahovaných danou činností z okruhu evidovaných tržeb. To platí i pro rozšiřování výjimky označované jako EET OFF. </w:t>
            </w:r>
          </w:p>
          <w:p w14:paraId="41DC38C8" w14:textId="5B59F4B8" w:rsidR="00C20471" w:rsidRPr="0035187E" w:rsidRDefault="00C20471" w:rsidP="0035187E">
            <w:pPr>
              <w:jc w:val="both"/>
              <w:rPr>
                <w:rFonts w:ascii="Times New Roman" w:hAnsi="Times New Roman" w:cs="Times New Roman"/>
                <w:sz w:val="20"/>
                <w:szCs w:val="20"/>
              </w:rPr>
            </w:pPr>
          </w:p>
        </w:tc>
      </w:tr>
      <w:tr w:rsidR="0035187E" w:rsidRPr="0035187E" w14:paraId="3DD8BE92"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3EAB2AD3" w14:textId="19CC3A7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156.</w:t>
            </w:r>
          </w:p>
        </w:tc>
        <w:tc>
          <w:tcPr>
            <w:tcW w:w="583" w:type="pct"/>
            <w:tcBorders>
              <w:top w:val="single" w:sz="4" w:space="0" w:color="auto"/>
              <w:left w:val="single" w:sz="4" w:space="0" w:color="auto"/>
              <w:right w:val="single" w:sz="4" w:space="0" w:color="auto"/>
            </w:tcBorders>
            <w:shd w:val="clear" w:color="auto" w:fill="auto"/>
          </w:tcPr>
          <w:p w14:paraId="4796A5BC" w14:textId="1BEB4B3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Komora obnovitelných zdrojů energie</w:t>
            </w:r>
          </w:p>
        </w:tc>
        <w:tc>
          <w:tcPr>
            <w:tcW w:w="168" w:type="pct"/>
            <w:tcBorders>
              <w:top w:val="single" w:sz="4" w:space="0" w:color="auto"/>
              <w:left w:val="single" w:sz="4" w:space="0" w:color="auto"/>
              <w:right w:val="single" w:sz="4" w:space="0" w:color="auto"/>
            </w:tcBorders>
            <w:shd w:val="clear" w:color="auto" w:fill="auto"/>
          </w:tcPr>
          <w:p w14:paraId="79610944" w14:textId="2CB19FA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right w:val="single" w:sz="4" w:space="0" w:color="auto"/>
            </w:tcBorders>
            <w:shd w:val="clear" w:color="auto" w:fill="auto"/>
          </w:tcPr>
          <w:p w14:paraId="1AAD6C18" w14:textId="6E32CF7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4FC68CF" w14:textId="77777777" w:rsidR="000B4BD4" w:rsidRPr="0035187E" w:rsidRDefault="000B4BD4" w:rsidP="0035187E">
            <w:pPr>
              <w:pBdr>
                <w:top w:val="nil"/>
                <w:left w:val="nil"/>
                <w:bottom w:val="nil"/>
                <w:right w:val="nil"/>
                <w:between w:val="nil"/>
              </w:pBdr>
              <w:jc w:val="both"/>
              <w:rPr>
                <w:rFonts w:ascii="Times New Roman" w:hAnsi="Times New Roman" w:cs="Times New Roman"/>
                <w:b/>
                <w:bCs/>
                <w:sz w:val="20"/>
                <w:szCs w:val="20"/>
              </w:rPr>
            </w:pPr>
            <w:r w:rsidRPr="0035187E">
              <w:rPr>
                <w:rFonts w:ascii="Times New Roman" w:hAnsi="Times New Roman" w:cs="Times New Roman"/>
                <w:b/>
                <w:bCs/>
                <w:sz w:val="20"/>
                <w:szCs w:val="20"/>
              </w:rPr>
              <w:t>Obecná připomínka předloženému zákonu</w:t>
            </w:r>
          </w:p>
          <w:p w14:paraId="324D967B" w14:textId="77777777" w:rsidR="000B4BD4" w:rsidRPr="0035187E" w:rsidRDefault="000B4BD4" w:rsidP="0035187E">
            <w:pPr>
              <w:jc w:val="both"/>
              <w:rPr>
                <w:rFonts w:ascii="Times New Roman" w:hAnsi="Times New Roman" w:cs="Times New Roman"/>
                <w:b/>
                <w:bCs/>
                <w:sz w:val="20"/>
                <w:szCs w:val="20"/>
                <w:u w:val="single"/>
              </w:rPr>
            </w:pPr>
            <w:r w:rsidRPr="0035187E">
              <w:rPr>
                <w:rFonts w:ascii="Times New Roman" w:hAnsi="Times New Roman" w:cs="Times New Roman"/>
                <w:b/>
                <w:bCs/>
                <w:sz w:val="20"/>
                <w:szCs w:val="20"/>
                <w:u w:val="single"/>
              </w:rPr>
              <w:t>Připomínka:</w:t>
            </w:r>
          </w:p>
          <w:p w14:paraId="6592B8E2"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Požadujeme za vhodné doplnit návrh zákona o daňové a cenové nástroje podporující investice do obnovitelných zdrojů energie, akumulace a opatření snižujících energetickou náročnost, zejména u domácností, bytových domů, obcí, malých a středních podniků a dalších subjektů realizujících decentralizované zdroje a úspory energie.</w:t>
            </w:r>
          </w:p>
          <w:p w14:paraId="48CBABE3" w14:textId="77777777" w:rsidR="000B4BD4" w:rsidRPr="0035187E" w:rsidRDefault="000B4BD4" w:rsidP="0035187E">
            <w:pPr>
              <w:jc w:val="both"/>
              <w:rPr>
                <w:rFonts w:ascii="Times New Roman" w:hAnsi="Times New Roman" w:cs="Times New Roman"/>
                <w:sz w:val="20"/>
                <w:szCs w:val="20"/>
              </w:rPr>
            </w:pPr>
          </w:p>
          <w:p w14:paraId="488E11FC" w14:textId="77777777" w:rsidR="000B4BD4" w:rsidRPr="0035187E" w:rsidRDefault="000B4BD4" w:rsidP="0035187E">
            <w:pPr>
              <w:jc w:val="both"/>
              <w:rPr>
                <w:rFonts w:ascii="Times New Roman" w:hAnsi="Times New Roman" w:cs="Times New Roman"/>
                <w:b/>
                <w:bCs/>
                <w:sz w:val="20"/>
                <w:szCs w:val="20"/>
                <w:u w:val="single"/>
              </w:rPr>
            </w:pPr>
            <w:r w:rsidRPr="0035187E">
              <w:rPr>
                <w:rFonts w:ascii="Times New Roman" w:hAnsi="Times New Roman" w:cs="Times New Roman"/>
                <w:b/>
                <w:bCs/>
                <w:sz w:val="20"/>
                <w:szCs w:val="20"/>
                <w:u w:val="single"/>
              </w:rPr>
              <w:t>Odůvodnění:</w:t>
            </w:r>
          </w:p>
          <w:p w14:paraId="0D54C751"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Navrhovaná novela pracuje s využitím daňových nástrojů jako prostředku motivace ekonomických subjektů a jako nástroje návratu části očekávaného fiskálního efektu zpět do ekonomiky. Považujeme proto za vhodné doplnit návrh zákona také o daňové nástroje podporující investice do obnovitelných zdrojů energie, akumulace energie a opatření snižujících energetickou náročnost. Taková opatření mají významný pákový efekt, neboť umožňují mobilizovat soukromé investice při relativně nízkém přímém zapojení veřejných prostředků, a současně přispívají k posilování energetické soběstačnosti a odolnosti ekonomiky v současném geopolitickém kontextu.</w:t>
            </w:r>
          </w:p>
          <w:p w14:paraId="086F2EF1"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Tento přístup potvrzuje, že daňový systém může být legitimně využíván nejen k fiskálním účelům, ale také jako nástroj podpory žádoucích ekonomických a společenských aktivit. Stejnou logiku je vhodné aplikovat i v oblasti energetické transformace a podpory investic do obnovitelných zdrojů energie a úspor energie.</w:t>
            </w:r>
          </w:p>
          <w:p w14:paraId="2C689617"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Investice do decentralizované energetiky, zejména do tepelných čerpadel, střešních fotovoltaických elektráren, akumulace energie a jejich kombinace, představují opatření, která mají významný veřejný přínos. Přispívají ke snižování závislosti na dovozu fosilních paliv, k posilování energetické bezpečnosti České republiky, ke snižování emisí skleníkových plynů, a v neposlední řadě k ochraně před zdražováním energií, tak jako vidíme i při nynější krizi v souvislosti se situací na Blízkém východě. V současném geopolitickém kontextu je posilování energetické soběstačnosti domácností, obcí i podniků jedním z klíčových strategických cílů energetické politiky státu.</w:t>
            </w:r>
          </w:p>
          <w:p w14:paraId="4352AF38"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Současně dochází ke změnám struktury přímé podpory investic do energetických úspor a obnovitelných zdrojů energie, konkrétně v programu Nová zelená úsporám, kde se postupně mění parametry podpory a větší důraz je kladen na kombinaci veřejných prostředků se soukromým financováním. V této situaci je žádoucí doplnit systém podpory také o stabilní a dlouhodobé daňové motivační nástroje, které mohou působit plošněji a s nižší administrativní náročností než dotační programy.</w:t>
            </w:r>
          </w:p>
          <w:p w14:paraId="5618E064"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Níže uvedené konkrétní návrhy/opatření tvoří vzájemně provázaný celek, který v souhrnu představuje efektivní a fiskálně relativně úsporný nástroj podpory investic do obnovitelných zdrojů energie, ukládání energie a snižování energetické náročnosti. Jejich společným jmenovatelem je využití daňových nástrojů, které umožňují mobilizovat soukromé investice při omezeném přímém zapojení veřejných prostředků a s významným pákovým efektem na ekonomiku.</w:t>
            </w:r>
          </w:p>
          <w:p w14:paraId="13654F7F"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Z tohoto důvodu považujeme všechny výše uvedené dílčí připomínky za vzájemně komplementární a navrhujeme jejich uplatnění jako uceleného balíku opatření.</w:t>
            </w:r>
          </w:p>
          <w:p w14:paraId="30A77595"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Současně si však uvědomujeme fiskální a rozpočtové souvislosti. V případě nutnosti výběru opatření proto považujeme za klíčové zavedení alespoň některých z navrhovaných opatření:</w:t>
            </w:r>
          </w:p>
          <w:p w14:paraId="2356A2AF" w14:textId="77777777" w:rsidR="000B4BD4" w:rsidRPr="0035187E" w:rsidRDefault="000B4BD4" w:rsidP="0035187E">
            <w:pPr>
              <w:numPr>
                <w:ilvl w:val="0"/>
                <w:numId w:val="93"/>
              </w:numPr>
              <w:jc w:val="both"/>
              <w:rPr>
                <w:rFonts w:ascii="Times New Roman" w:hAnsi="Times New Roman" w:cs="Times New Roman"/>
                <w:sz w:val="20"/>
                <w:szCs w:val="20"/>
              </w:rPr>
            </w:pPr>
            <w:r w:rsidRPr="0035187E">
              <w:rPr>
                <w:rFonts w:ascii="Times New Roman" w:hAnsi="Times New Roman" w:cs="Times New Roman"/>
                <w:sz w:val="20"/>
                <w:szCs w:val="20"/>
              </w:rPr>
              <w:t>zavedení snížené, případně nulové sazby DPH na dodání a instalaci zařízení využívajících obnovitelné zdroje energie,</w:t>
            </w:r>
          </w:p>
          <w:p w14:paraId="4DABC6F9" w14:textId="77777777" w:rsidR="000B4BD4" w:rsidRPr="0035187E" w:rsidRDefault="000B4BD4" w:rsidP="0035187E">
            <w:pPr>
              <w:numPr>
                <w:ilvl w:val="0"/>
                <w:numId w:val="93"/>
              </w:numPr>
              <w:jc w:val="both"/>
              <w:rPr>
                <w:rFonts w:ascii="Times New Roman" w:hAnsi="Times New Roman" w:cs="Times New Roman"/>
                <w:sz w:val="20"/>
                <w:szCs w:val="20"/>
              </w:rPr>
            </w:pPr>
            <w:r w:rsidRPr="0035187E">
              <w:rPr>
                <w:rFonts w:ascii="Times New Roman" w:hAnsi="Times New Roman" w:cs="Times New Roman"/>
                <w:sz w:val="20"/>
                <w:szCs w:val="20"/>
              </w:rPr>
              <w:t>zavedení mimořádných odpisů pro investice do těchto technologií,</w:t>
            </w:r>
          </w:p>
          <w:p w14:paraId="51FD2F86" w14:textId="77777777" w:rsidR="000B4BD4" w:rsidRPr="0035187E" w:rsidRDefault="000B4BD4" w:rsidP="0035187E">
            <w:pPr>
              <w:numPr>
                <w:ilvl w:val="0"/>
                <w:numId w:val="93"/>
              </w:numPr>
              <w:jc w:val="both"/>
              <w:rPr>
                <w:rFonts w:ascii="Times New Roman" w:hAnsi="Times New Roman" w:cs="Times New Roman"/>
                <w:sz w:val="20"/>
                <w:szCs w:val="20"/>
              </w:rPr>
            </w:pPr>
            <w:r w:rsidRPr="0035187E">
              <w:rPr>
                <w:rFonts w:ascii="Times New Roman" w:hAnsi="Times New Roman" w:cs="Times New Roman"/>
                <w:sz w:val="20"/>
                <w:szCs w:val="20"/>
              </w:rPr>
              <w:t>snížení sazby DPH na “palivo” - pelety, palivové dřevo, elektřinu</w:t>
            </w:r>
          </w:p>
          <w:p w14:paraId="79150530"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lastRenderedPageBreak/>
              <w:t>Mimo výše uvedené stěžejní motivační nástroje, jako “technický” oddělený návrh s minimálním fiskálním dopadem předkládáme, který reaguje na změnu posunutí hranice licencovaného zdroje pro vlastní spotřebu z 50 na 100 kW:</w:t>
            </w:r>
          </w:p>
          <w:p w14:paraId="3674F6A7" w14:textId="77777777" w:rsidR="000B4BD4" w:rsidRPr="0035187E" w:rsidRDefault="000B4BD4" w:rsidP="0035187E">
            <w:pPr>
              <w:numPr>
                <w:ilvl w:val="0"/>
                <w:numId w:val="93"/>
              </w:numPr>
              <w:jc w:val="both"/>
              <w:rPr>
                <w:rFonts w:ascii="Times New Roman" w:hAnsi="Times New Roman" w:cs="Times New Roman"/>
                <w:sz w:val="20"/>
                <w:szCs w:val="20"/>
              </w:rPr>
            </w:pPr>
            <w:r w:rsidRPr="0035187E">
              <w:rPr>
                <w:rFonts w:ascii="Times New Roman" w:hAnsi="Times New Roman" w:cs="Times New Roman"/>
                <w:sz w:val="20"/>
                <w:szCs w:val="20"/>
              </w:rPr>
              <w:t>úpravu daně z elektřiny spočívající ve zvýšení limitu pro osvobození na 100 kW a odstranění dvojího zdanění elektřiny v případě jejího ukládání.</w:t>
            </w:r>
          </w:p>
          <w:p w14:paraId="40273404"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Tato opatření kombinují relativně nízký nebo časově omezený dopad na veřejné rozpočty s významným dopadem na investiční aktivitu a představují z hlediska efektivity veřejných politik nejvhodnější jádro podpory.</w:t>
            </w:r>
          </w:p>
          <w:p w14:paraId="3B036501"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Za vhodná doplňující opatření považujeme rovněž zavedení daňové podpory pro fyzické osoby formou slevy na dani nebo odpočtu od základu daně při realizaci investic do obnovitelných zdrojů energie pro vlastní spotřebu. Tento nástroj má prokazatelně vysoký motivační efekt, zejména u domácností, kde představuje počáteční investice hlavní bariéru realizace. Současně však reflektujeme, že se jedná o nástroj s přímým dopadem na veřejné rozpočty, a jeho zavedení je proto vhodné posuzovat v širším kontextu fiskální politiky.</w:t>
            </w:r>
          </w:p>
          <w:p w14:paraId="0A1887E6" w14:textId="0C46B241"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Ostatní navrhovaná opatření, zejména úprava sazeb DPH u dodávek energií, považujeme za vhodná zejména jako doplňující nebo dočasná stabilizační opatření reagující na vývoj cen energií a sociální situaci domácností.</w:t>
            </w:r>
          </w:p>
        </w:tc>
        <w:tc>
          <w:tcPr>
            <w:tcW w:w="1453" w:type="pct"/>
            <w:tcBorders>
              <w:top w:val="single" w:sz="4" w:space="0" w:color="auto"/>
              <w:left w:val="single" w:sz="4" w:space="0" w:color="auto"/>
              <w:bottom w:val="single" w:sz="4" w:space="0" w:color="auto"/>
              <w:right w:val="single" w:sz="4" w:space="0" w:color="auto"/>
            </w:tcBorders>
            <w:shd w:val="clear" w:color="auto" w:fill="auto"/>
          </w:tcPr>
          <w:p w14:paraId="1F601478"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Nevyhověno.</w:t>
            </w:r>
          </w:p>
          <w:p w14:paraId="43CFC185"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Podnět přesahuje rámec navrhované úpravy zákona o evidenci tržeb.</w:t>
            </w:r>
          </w:p>
          <w:p w14:paraId="1DA2E1C6" w14:textId="6261CD83" w:rsidR="000B4BD4" w:rsidRPr="0035187E" w:rsidRDefault="000B4BD4" w:rsidP="0035187E">
            <w:pPr>
              <w:jc w:val="both"/>
              <w:rPr>
                <w:rFonts w:ascii="Times New Roman" w:hAnsi="Times New Roman" w:cs="Times New Roman"/>
                <w:sz w:val="20"/>
                <w:szCs w:val="20"/>
              </w:rPr>
            </w:pPr>
          </w:p>
          <w:p w14:paraId="06582482" w14:textId="03242FBE"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K DPH:</w:t>
            </w:r>
          </w:p>
          <w:p w14:paraId="787FEDEB"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lastRenderedPageBreak/>
              <w:t xml:space="preserve">V souladu se směrnicí 2006/112/ES není možné generálně uplatňovat na zařízení pro obnovitelné zdroje energie sníženou sazbu daně nebo dokonce nulovou sazbu daně. Pokud se předmětné zařízení stane součástí stavby pro bydlení nebo sociální bydlení (za podmínek uvedených v § 48 až § 49 zákona o DPH), pak je možné v ČR aplikovat sníženou sazbu daně 12 %. </w:t>
            </w:r>
          </w:p>
          <w:p w14:paraId="1E483204" w14:textId="0529A9EE"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Sníženou sazbu daně na palivové dříví je možné dle směrnice 2006/112/ES aplikovat, avšak nejdéle do 31.12.2029. V rámci programového prohlášení vlády však tato položka nebyla zahrnuta do okruhu zboží, kde je koaliční shoda na aplikaci snížené sazby daně.</w:t>
            </w:r>
          </w:p>
          <w:p w14:paraId="2A68BBD2" w14:textId="77777777" w:rsidR="000B4BD4" w:rsidRPr="0035187E" w:rsidRDefault="000B4BD4" w:rsidP="0035187E">
            <w:pPr>
              <w:jc w:val="both"/>
              <w:rPr>
                <w:rFonts w:ascii="Times New Roman" w:hAnsi="Times New Roman" w:cs="Times New Roman"/>
                <w:sz w:val="20"/>
                <w:szCs w:val="20"/>
              </w:rPr>
            </w:pPr>
          </w:p>
          <w:p w14:paraId="5D16158C" w14:textId="097C7318"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K limitu osvobození a ukládání elektřiny:</w:t>
            </w:r>
          </w:p>
          <w:p w14:paraId="74918146"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Opatření je spojeno s negativními rozpočtovými dopady ve výši přibližně 10 mil. Kč ročně. Ministerstvo financí nicméně spolupracuje s dotčenými subjekty na legislativní úpravě, která by byla souladná se zněním zákona o stabilizaci veřejných rozpočtu (část daň z elektřiny). Tuto úpravu bude následně možné diskutovat v rámci vhodnějšího legislativního nosiče.</w:t>
            </w:r>
          </w:p>
          <w:p w14:paraId="20C1EE12" w14:textId="77777777" w:rsidR="00970286" w:rsidRPr="0035187E" w:rsidRDefault="00970286" w:rsidP="0035187E">
            <w:pPr>
              <w:jc w:val="both"/>
              <w:rPr>
                <w:rFonts w:ascii="Times New Roman" w:hAnsi="Times New Roman" w:cs="Times New Roman"/>
                <w:sz w:val="20"/>
                <w:szCs w:val="20"/>
              </w:rPr>
            </w:pPr>
          </w:p>
          <w:p w14:paraId="4AD6F650" w14:textId="72BAD009" w:rsidR="00970286" w:rsidRPr="0035187E" w:rsidRDefault="00970286"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K ZDP:</w:t>
            </w:r>
          </w:p>
          <w:p w14:paraId="6A22385A" w14:textId="33B449BC" w:rsidR="00970286" w:rsidRPr="0035187E" w:rsidRDefault="00970286"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V současné době se zvažuje zavedení zrychlených odpisů u majetku se zvýšenou přidanou hodnotou, zejména v souvislosti s podporou vědy a výzkumu.  </w:t>
            </w:r>
          </w:p>
        </w:tc>
      </w:tr>
      <w:tr w:rsidR="0035187E" w:rsidRPr="0035187E" w14:paraId="427E12F6"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6E60D18" w14:textId="056B087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156.</w:t>
            </w:r>
          </w:p>
        </w:tc>
        <w:tc>
          <w:tcPr>
            <w:tcW w:w="583" w:type="pct"/>
            <w:tcBorders>
              <w:top w:val="single" w:sz="4" w:space="0" w:color="auto"/>
              <w:left w:val="single" w:sz="4" w:space="0" w:color="auto"/>
              <w:right w:val="single" w:sz="4" w:space="0" w:color="auto"/>
            </w:tcBorders>
            <w:shd w:val="clear" w:color="auto" w:fill="auto"/>
          </w:tcPr>
          <w:p w14:paraId="12911648" w14:textId="6BCEDD2B"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Komora obnovitelných zdrojů energie</w:t>
            </w:r>
          </w:p>
        </w:tc>
        <w:tc>
          <w:tcPr>
            <w:tcW w:w="168" w:type="pct"/>
            <w:tcBorders>
              <w:top w:val="single" w:sz="4" w:space="0" w:color="auto"/>
              <w:left w:val="single" w:sz="4" w:space="0" w:color="auto"/>
              <w:right w:val="single" w:sz="4" w:space="0" w:color="auto"/>
            </w:tcBorders>
            <w:shd w:val="clear" w:color="auto" w:fill="auto"/>
          </w:tcPr>
          <w:p w14:paraId="63108359" w14:textId="7A07B47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2.</w:t>
            </w:r>
          </w:p>
        </w:tc>
        <w:tc>
          <w:tcPr>
            <w:tcW w:w="169" w:type="pct"/>
            <w:tcBorders>
              <w:top w:val="single" w:sz="4" w:space="0" w:color="auto"/>
              <w:left w:val="single" w:sz="4" w:space="0" w:color="auto"/>
              <w:right w:val="single" w:sz="4" w:space="0" w:color="auto"/>
            </w:tcBorders>
            <w:shd w:val="clear" w:color="auto" w:fill="auto"/>
          </w:tcPr>
          <w:p w14:paraId="0B8BDA35" w14:textId="14A2AD7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3FE59AA7" w14:textId="77777777" w:rsidR="000B4BD4" w:rsidRPr="0035187E" w:rsidRDefault="000B4BD4" w:rsidP="0035187E">
            <w:pPr>
              <w:pBdr>
                <w:top w:val="nil"/>
                <w:left w:val="nil"/>
                <w:bottom w:val="nil"/>
                <w:right w:val="nil"/>
                <w:between w:val="nil"/>
              </w:pBdr>
              <w:jc w:val="both"/>
              <w:rPr>
                <w:rFonts w:ascii="Times New Roman" w:hAnsi="Times New Roman" w:cs="Times New Roman"/>
                <w:b/>
                <w:bCs/>
                <w:sz w:val="20"/>
                <w:szCs w:val="20"/>
              </w:rPr>
            </w:pPr>
            <w:r w:rsidRPr="0035187E">
              <w:rPr>
                <w:rFonts w:ascii="Times New Roman" w:hAnsi="Times New Roman" w:cs="Times New Roman"/>
                <w:b/>
                <w:bCs/>
                <w:sz w:val="20"/>
                <w:szCs w:val="20"/>
              </w:rPr>
              <w:t>Doplnění nového/nových bodů do části druhé návrhu zákona (zavedení daňové podpory pro fyzické osoby při instalaci OZE do zákona o dani z příjmu)</w:t>
            </w:r>
          </w:p>
          <w:p w14:paraId="666ACC23" w14:textId="77777777" w:rsidR="000B4BD4" w:rsidRPr="0035187E" w:rsidRDefault="000B4BD4" w:rsidP="0035187E">
            <w:pPr>
              <w:pBdr>
                <w:top w:val="nil"/>
                <w:left w:val="nil"/>
                <w:bottom w:val="nil"/>
                <w:right w:val="nil"/>
                <w:between w:val="nil"/>
              </w:pBd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Připomínka:</w:t>
            </w:r>
          </w:p>
          <w:p w14:paraId="2A2641E5" w14:textId="77777777" w:rsidR="000B4BD4" w:rsidRPr="0035187E" w:rsidRDefault="000B4BD4" w:rsidP="0035187E">
            <w:pPr>
              <w:pBdr>
                <w:top w:val="nil"/>
                <w:left w:val="nil"/>
                <w:bottom w:val="nil"/>
                <w:right w:val="nil"/>
                <w:between w:val="nil"/>
              </w:pBdr>
              <w:jc w:val="both"/>
              <w:rPr>
                <w:rFonts w:ascii="Times New Roman" w:hAnsi="Times New Roman" w:cs="Times New Roman"/>
                <w:sz w:val="20"/>
                <w:szCs w:val="20"/>
              </w:rPr>
            </w:pPr>
            <w:r w:rsidRPr="0035187E">
              <w:rPr>
                <w:rFonts w:ascii="Times New Roman" w:hAnsi="Times New Roman" w:cs="Times New Roman"/>
                <w:sz w:val="20"/>
                <w:szCs w:val="20"/>
              </w:rPr>
              <w:t>V kontextu obecné připomínky navrhujeme doplnit zákon o daních z příjmů o zvláštní daňovou podporu pro fyzické osoby při pořízení obnovitelných zdrojů energie pro vlastní spotřebu, zejména fotovoltaických systémů, bateriových úložišť, řídicích systémů a nezbytné související elektroinstalace.</w:t>
            </w:r>
          </w:p>
          <w:p w14:paraId="18BAA63E" w14:textId="77777777" w:rsidR="000B4BD4" w:rsidRPr="0035187E" w:rsidRDefault="000B4BD4" w:rsidP="0035187E">
            <w:pPr>
              <w:pBdr>
                <w:top w:val="nil"/>
                <w:left w:val="nil"/>
                <w:bottom w:val="nil"/>
                <w:right w:val="nil"/>
                <w:between w:val="nil"/>
              </w:pBdr>
              <w:jc w:val="both"/>
              <w:rPr>
                <w:rFonts w:ascii="Times New Roman" w:hAnsi="Times New Roman" w:cs="Times New Roman"/>
                <w:sz w:val="20"/>
                <w:szCs w:val="20"/>
              </w:rPr>
            </w:pPr>
            <w:r w:rsidRPr="0035187E">
              <w:rPr>
                <w:rFonts w:ascii="Times New Roman" w:hAnsi="Times New Roman" w:cs="Times New Roman"/>
                <w:sz w:val="20"/>
                <w:szCs w:val="20"/>
              </w:rPr>
              <w:t>Podpora může být realizována zejména formou slevy na dani nebo odčitatelné položky od základu daně u poplatníků daně z příjmů fyzických osob.</w:t>
            </w:r>
          </w:p>
          <w:p w14:paraId="4B8846E7" w14:textId="77777777" w:rsidR="000B4BD4" w:rsidRPr="0035187E" w:rsidRDefault="000B4BD4" w:rsidP="0035187E">
            <w:pPr>
              <w:pBdr>
                <w:top w:val="nil"/>
                <w:left w:val="nil"/>
                <w:bottom w:val="nil"/>
                <w:right w:val="nil"/>
                <w:between w:val="nil"/>
              </w:pBdr>
              <w:jc w:val="both"/>
              <w:rPr>
                <w:rFonts w:ascii="Times New Roman" w:hAnsi="Times New Roman" w:cs="Times New Roman"/>
                <w:sz w:val="20"/>
                <w:szCs w:val="20"/>
              </w:rPr>
            </w:pPr>
          </w:p>
          <w:p w14:paraId="4614F677" w14:textId="77777777" w:rsidR="000B4BD4" w:rsidRPr="0035187E" w:rsidRDefault="000B4BD4" w:rsidP="0035187E">
            <w:pPr>
              <w:pBdr>
                <w:top w:val="nil"/>
                <w:left w:val="nil"/>
                <w:bottom w:val="nil"/>
                <w:right w:val="nil"/>
                <w:between w:val="nil"/>
              </w:pBd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w:t>
            </w:r>
          </w:p>
          <w:p w14:paraId="2D40184F" w14:textId="77777777" w:rsidR="000B4BD4" w:rsidRPr="0035187E" w:rsidRDefault="000B4BD4" w:rsidP="0035187E">
            <w:pPr>
              <w:pBdr>
                <w:top w:val="nil"/>
                <w:left w:val="nil"/>
                <w:bottom w:val="nil"/>
                <w:right w:val="nil"/>
                <w:between w:val="nil"/>
              </w:pBdr>
              <w:jc w:val="both"/>
              <w:rPr>
                <w:rFonts w:ascii="Times New Roman" w:hAnsi="Times New Roman" w:cs="Times New Roman"/>
                <w:sz w:val="20"/>
                <w:szCs w:val="20"/>
              </w:rPr>
            </w:pPr>
            <w:r w:rsidRPr="0035187E">
              <w:rPr>
                <w:rFonts w:ascii="Times New Roman" w:hAnsi="Times New Roman" w:cs="Times New Roman"/>
                <w:sz w:val="20"/>
                <w:szCs w:val="20"/>
              </w:rPr>
              <w:t>U domácností je největší bariérou vysoký počáteční investiční výdaj. Zahraniční praxe ukazuje, že právě přímé daňové zvýhodnění funguje jako nejrychlejší a administrativně nejjednodušší impuls. Ve Švédsku činí daňová redukce 15 % u instalace síťově připojeného solárního systému a 50 % u systému pro ukládání vlastní vyrobené elektřiny (</w:t>
            </w:r>
            <w:r w:rsidRPr="0035187E">
              <w:rPr>
                <w:rFonts w:ascii="Times New Roman" w:hAnsi="Times New Roman" w:cs="Times New Roman"/>
                <w:sz w:val="20"/>
                <w:szCs w:val="20"/>
                <w:u w:val="single"/>
              </w:rPr>
              <w:t>https://www.skatteverket.se/privat/fastigheterochbostad/gronteknik.4.676f4884175c97df4192860.html?utm_source.com</w:t>
            </w:r>
            <w:r w:rsidRPr="0035187E">
              <w:rPr>
                <w:rFonts w:ascii="Times New Roman" w:hAnsi="Times New Roman" w:cs="Times New Roman"/>
                <w:sz w:val="20"/>
                <w:szCs w:val="20"/>
              </w:rPr>
              <w:t>).</w:t>
            </w:r>
          </w:p>
          <w:p w14:paraId="0EF169D1" w14:textId="77777777" w:rsidR="000B4BD4" w:rsidRPr="0035187E" w:rsidRDefault="000B4BD4" w:rsidP="0035187E">
            <w:pPr>
              <w:pBdr>
                <w:top w:val="nil"/>
                <w:left w:val="nil"/>
                <w:bottom w:val="nil"/>
                <w:right w:val="nil"/>
                <w:between w:val="nil"/>
              </w:pBdr>
              <w:jc w:val="both"/>
              <w:rPr>
                <w:rFonts w:ascii="Times New Roman" w:hAnsi="Times New Roman" w:cs="Times New Roman"/>
                <w:sz w:val="20"/>
                <w:szCs w:val="20"/>
              </w:rPr>
            </w:pPr>
            <w:r w:rsidRPr="0035187E">
              <w:rPr>
                <w:rFonts w:ascii="Times New Roman" w:hAnsi="Times New Roman" w:cs="Times New Roman"/>
                <w:sz w:val="20"/>
                <w:szCs w:val="20"/>
              </w:rPr>
              <w:t>Odpočet od základu daně je standardní nástroj podpory veřejně žádoucích aktivit v českém daňovém právu, například u darů, penzijního spoření nebo životního pojištění. Tento mechanismus může být vhodný zejména tam, kde je cílem motivovat k realizaci investice, aniž by bylo nutné poskytovat přímou dotaci.</w:t>
            </w:r>
          </w:p>
          <w:p w14:paraId="5E75259B" w14:textId="77777777" w:rsidR="000B4BD4" w:rsidRPr="0035187E" w:rsidRDefault="000B4BD4" w:rsidP="0035187E">
            <w:pPr>
              <w:pBdr>
                <w:top w:val="nil"/>
                <w:left w:val="nil"/>
                <w:bottom w:val="nil"/>
                <w:right w:val="nil"/>
                <w:between w:val="nil"/>
              </w:pBdr>
              <w:jc w:val="both"/>
              <w:rPr>
                <w:rFonts w:ascii="Times New Roman" w:hAnsi="Times New Roman" w:cs="Times New Roman"/>
                <w:sz w:val="20"/>
                <w:szCs w:val="20"/>
              </w:rPr>
            </w:pPr>
            <w:r w:rsidRPr="0035187E">
              <w:rPr>
                <w:rFonts w:ascii="Times New Roman" w:hAnsi="Times New Roman" w:cs="Times New Roman"/>
                <w:sz w:val="20"/>
                <w:szCs w:val="20"/>
              </w:rPr>
              <w:t>Sleva na dani představuje administrativně jednoduchý a transparentní nástroj, který přímo snižuje výslednou daňovou povinnost poplatníka. V českém daňovém systému je tento nástroj běžně využíván například u slev na poplatníka nebo u slevy za umístění dítěte v předškolním zařízení. Pro investice do OZE je tento nástroj vhodný zejména proto, že je pro poplatníky srozumitelný a nevyžaduje složité výpočty.</w:t>
            </w:r>
          </w:p>
          <w:p w14:paraId="4F308B5E" w14:textId="77777777" w:rsidR="000B4BD4" w:rsidRPr="0035187E" w:rsidRDefault="000B4BD4" w:rsidP="0035187E">
            <w:pPr>
              <w:pBdr>
                <w:top w:val="nil"/>
                <w:left w:val="nil"/>
                <w:bottom w:val="nil"/>
                <w:right w:val="nil"/>
                <w:between w:val="nil"/>
              </w:pBdr>
              <w:jc w:val="both"/>
              <w:rPr>
                <w:rFonts w:ascii="Times New Roman" w:hAnsi="Times New Roman" w:cs="Times New Roman"/>
                <w:sz w:val="20"/>
                <w:szCs w:val="20"/>
              </w:rPr>
            </w:pPr>
            <w:r w:rsidRPr="0035187E">
              <w:rPr>
                <w:rFonts w:ascii="Times New Roman" w:hAnsi="Times New Roman" w:cs="Times New Roman"/>
                <w:sz w:val="20"/>
                <w:szCs w:val="20"/>
              </w:rPr>
              <w:lastRenderedPageBreak/>
              <w:t>Dopady na státní rozpočet:</w:t>
            </w:r>
          </w:p>
          <w:p w14:paraId="145F69BF" w14:textId="77777777" w:rsidR="000B4BD4" w:rsidRPr="0035187E" w:rsidRDefault="000B4BD4" w:rsidP="0035187E">
            <w:pPr>
              <w:pBdr>
                <w:top w:val="nil"/>
                <w:left w:val="nil"/>
                <w:bottom w:val="nil"/>
                <w:right w:val="nil"/>
                <w:between w:val="nil"/>
              </w:pBdr>
              <w:jc w:val="both"/>
              <w:rPr>
                <w:rFonts w:ascii="Times New Roman" w:hAnsi="Times New Roman" w:cs="Times New Roman"/>
                <w:sz w:val="20"/>
                <w:szCs w:val="20"/>
              </w:rPr>
            </w:pPr>
            <w:r w:rsidRPr="0035187E">
              <w:rPr>
                <w:rFonts w:ascii="Times New Roman" w:hAnsi="Times New Roman" w:cs="Times New Roman"/>
                <w:sz w:val="20"/>
                <w:szCs w:val="20"/>
              </w:rPr>
              <w:t>1. Odpočet od základu daně</w:t>
            </w:r>
          </w:p>
          <w:p w14:paraId="2B687AA3" w14:textId="77777777" w:rsidR="000B4BD4" w:rsidRPr="0035187E" w:rsidRDefault="000B4BD4" w:rsidP="0035187E">
            <w:pPr>
              <w:pBdr>
                <w:top w:val="nil"/>
                <w:left w:val="nil"/>
                <w:bottom w:val="nil"/>
                <w:right w:val="nil"/>
                <w:between w:val="nil"/>
              </w:pBdr>
              <w:jc w:val="both"/>
              <w:rPr>
                <w:rFonts w:ascii="Times New Roman" w:hAnsi="Times New Roman" w:cs="Times New Roman"/>
                <w:sz w:val="20"/>
                <w:szCs w:val="20"/>
              </w:rPr>
            </w:pPr>
            <w:r w:rsidRPr="0035187E">
              <w:rPr>
                <w:rFonts w:ascii="Times New Roman" w:hAnsi="Times New Roman" w:cs="Times New Roman"/>
                <w:sz w:val="20"/>
                <w:szCs w:val="20"/>
              </w:rPr>
              <w:t>Modelové přepočty na základě aktuálního sběru nákladových dat ukazují, že podpora formou odpočtu od základu daně ve výši 100 % uznatelných investičních nákladů odpovídá při 15% sazbě daně hrubému fiskálnímu nákladu ve výši přibližně 15 % investice. Již na hrubé úrovni tak veřejný stimul mobilizuje zhruba 6,7násobek soukromé investice. Po zohlednění návratu části veřejných příjmů z domácí části investice se čistý pákový efekt modelově pohybuje přibližně mezi 8x a 11x podle typu technologie.</w:t>
            </w:r>
          </w:p>
          <w:p w14:paraId="6235862C" w14:textId="77777777" w:rsidR="000B4BD4" w:rsidRPr="0035187E" w:rsidRDefault="000B4BD4" w:rsidP="0035187E">
            <w:pPr>
              <w:pBdr>
                <w:top w:val="nil"/>
                <w:left w:val="nil"/>
                <w:bottom w:val="nil"/>
                <w:right w:val="nil"/>
                <w:between w:val="nil"/>
              </w:pBdr>
              <w:jc w:val="both"/>
              <w:rPr>
                <w:rFonts w:ascii="Times New Roman" w:hAnsi="Times New Roman" w:cs="Times New Roman"/>
                <w:sz w:val="20"/>
                <w:szCs w:val="20"/>
              </w:rPr>
            </w:pPr>
            <w:r w:rsidRPr="0035187E">
              <w:rPr>
                <w:rFonts w:ascii="Times New Roman" w:hAnsi="Times New Roman" w:cs="Times New Roman"/>
                <w:sz w:val="20"/>
                <w:szCs w:val="20"/>
              </w:rPr>
              <w:t>Daňový odpočet proto nepředstavuje plnou veřejnou podporu investice, ale pouze částečný motivační impuls, který vede k realizaci násobně vyšší soukromé investice a současně generuje sekundární příjmy veřejných rozpočtů.</w:t>
            </w:r>
          </w:p>
          <w:p w14:paraId="3A692059" w14:textId="77777777" w:rsidR="000B4BD4" w:rsidRPr="0035187E" w:rsidRDefault="000B4BD4" w:rsidP="0035187E">
            <w:pPr>
              <w:pBdr>
                <w:top w:val="nil"/>
                <w:left w:val="nil"/>
                <w:bottom w:val="nil"/>
                <w:right w:val="nil"/>
                <w:between w:val="nil"/>
              </w:pBdr>
              <w:jc w:val="both"/>
              <w:rPr>
                <w:rFonts w:ascii="Times New Roman" w:hAnsi="Times New Roman" w:cs="Times New Roman"/>
                <w:sz w:val="20"/>
                <w:szCs w:val="20"/>
              </w:rPr>
            </w:pPr>
            <w:r w:rsidRPr="0035187E">
              <w:rPr>
                <w:rFonts w:ascii="Times New Roman" w:hAnsi="Times New Roman" w:cs="Times New Roman"/>
                <w:sz w:val="20"/>
                <w:szCs w:val="20"/>
              </w:rPr>
              <w:t>2. Sleva na dani</w:t>
            </w:r>
          </w:p>
          <w:p w14:paraId="0F3ED3D0" w14:textId="6E0AD26B"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Modelový výpočet ukazuje, že při investici domácnosti do fotovoltaického systému ve výši přibližně 340 tis. Kč a daňové slevě ve výši 15 % činí hrubý fiskální náklad přibližně 51 tis. Kč. Po zohlednění domácí ekonomické hodnoty instalace a souvisejících daňových a odvodových příjmů se však část těchto prostředků vrací zpět do veřejných rozpočtů. Konzervativní odhad ukazuje, že čistý fiskální dopad může být přibližně 20 tis. Kč na instalaci, zatímco realizovaná investice činí více než 300 tis. Kč. Veřejný stimul tak mobilizuje investici ve výši více než patnáctinásobku čistého rozpočtového dopadu.</w:t>
            </w:r>
          </w:p>
        </w:tc>
        <w:tc>
          <w:tcPr>
            <w:tcW w:w="1453" w:type="pct"/>
            <w:tcBorders>
              <w:top w:val="single" w:sz="4" w:space="0" w:color="auto"/>
              <w:left w:val="single" w:sz="4" w:space="0" w:color="auto"/>
              <w:bottom w:val="single" w:sz="4" w:space="0" w:color="auto"/>
              <w:right w:val="single" w:sz="4" w:space="0" w:color="auto"/>
            </w:tcBorders>
            <w:shd w:val="clear" w:color="auto" w:fill="auto"/>
          </w:tcPr>
          <w:p w14:paraId="73520748" w14:textId="77777777" w:rsidR="00970286" w:rsidRPr="0035187E" w:rsidRDefault="00970286"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Nevyhověno.</w:t>
            </w:r>
          </w:p>
          <w:p w14:paraId="2CEE5BCE" w14:textId="77777777" w:rsidR="00970286" w:rsidRPr="0035187E" w:rsidRDefault="00970286" w:rsidP="0035187E">
            <w:pPr>
              <w:jc w:val="both"/>
              <w:rPr>
                <w:rFonts w:ascii="Times New Roman" w:hAnsi="Times New Roman" w:cs="Times New Roman"/>
                <w:sz w:val="20"/>
                <w:szCs w:val="20"/>
              </w:rPr>
            </w:pPr>
            <w:r w:rsidRPr="0035187E">
              <w:rPr>
                <w:rFonts w:ascii="Times New Roman" w:hAnsi="Times New Roman" w:cs="Times New Roman"/>
                <w:sz w:val="20"/>
                <w:szCs w:val="20"/>
              </w:rPr>
              <w:t>Podnět přesahuje rámec navrhované úpravy zákona o evidenci tržeb.</w:t>
            </w:r>
          </w:p>
          <w:p w14:paraId="78507AA5" w14:textId="62946E22" w:rsidR="000B4BD4" w:rsidRPr="0035187E" w:rsidRDefault="000B4BD4" w:rsidP="0035187E">
            <w:pPr>
              <w:jc w:val="both"/>
              <w:rPr>
                <w:rFonts w:ascii="Times New Roman" w:hAnsi="Times New Roman" w:cs="Times New Roman"/>
                <w:sz w:val="20"/>
                <w:szCs w:val="20"/>
              </w:rPr>
            </w:pPr>
          </w:p>
        </w:tc>
      </w:tr>
      <w:tr w:rsidR="0035187E" w:rsidRPr="0035187E" w14:paraId="65843E7D"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79AA4D7E" w14:textId="59A14CC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156.</w:t>
            </w:r>
          </w:p>
        </w:tc>
        <w:tc>
          <w:tcPr>
            <w:tcW w:w="583" w:type="pct"/>
            <w:tcBorders>
              <w:top w:val="single" w:sz="4" w:space="0" w:color="auto"/>
              <w:left w:val="single" w:sz="4" w:space="0" w:color="auto"/>
              <w:right w:val="single" w:sz="4" w:space="0" w:color="auto"/>
            </w:tcBorders>
            <w:shd w:val="clear" w:color="auto" w:fill="auto"/>
          </w:tcPr>
          <w:p w14:paraId="156BCAB8" w14:textId="5116E42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Komora obnovitelných zdrojů energie</w:t>
            </w:r>
          </w:p>
        </w:tc>
        <w:tc>
          <w:tcPr>
            <w:tcW w:w="168" w:type="pct"/>
            <w:tcBorders>
              <w:top w:val="single" w:sz="4" w:space="0" w:color="auto"/>
              <w:left w:val="single" w:sz="4" w:space="0" w:color="auto"/>
              <w:right w:val="single" w:sz="4" w:space="0" w:color="auto"/>
            </w:tcBorders>
            <w:shd w:val="clear" w:color="auto" w:fill="auto"/>
          </w:tcPr>
          <w:p w14:paraId="634CB6B4" w14:textId="763B128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3.</w:t>
            </w:r>
          </w:p>
        </w:tc>
        <w:tc>
          <w:tcPr>
            <w:tcW w:w="169" w:type="pct"/>
            <w:tcBorders>
              <w:top w:val="single" w:sz="4" w:space="0" w:color="auto"/>
              <w:left w:val="single" w:sz="4" w:space="0" w:color="auto"/>
              <w:right w:val="single" w:sz="4" w:space="0" w:color="auto"/>
            </w:tcBorders>
            <w:shd w:val="clear" w:color="auto" w:fill="auto"/>
          </w:tcPr>
          <w:p w14:paraId="110A0AA2" w14:textId="534333B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5422D502"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Doplnění nového/nových bodů do části druhé návrhu zákona (zavedení zrychlené/mimořádné odpisy právnických osob instalace/realizace obnovitelných zdrojů energie a akumulace pro vlastní spotřebu)</w:t>
            </w:r>
          </w:p>
          <w:p w14:paraId="5752810C" w14:textId="77777777" w:rsidR="000B4BD4" w:rsidRPr="0035187E" w:rsidRDefault="000B4BD4" w:rsidP="0035187E">
            <w:pPr>
              <w:jc w:val="both"/>
              <w:rPr>
                <w:rFonts w:ascii="Times New Roman" w:hAnsi="Times New Roman" w:cs="Times New Roman"/>
                <w:b/>
                <w:bCs/>
                <w:sz w:val="20"/>
                <w:szCs w:val="20"/>
                <w:u w:val="single"/>
              </w:rPr>
            </w:pPr>
            <w:r w:rsidRPr="0035187E">
              <w:rPr>
                <w:rFonts w:ascii="Times New Roman" w:hAnsi="Times New Roman" w:cs="Times New Roman"/>
                <w:b/>
                <w:bCs/>
                <w:sz w:val="20"/>
                <w:szCs w:val="20"/>
                <w:u w:val="single"/>
              </w:rPr>
              <w:t>Připomínka:</w:t>
            </w:r>
          </w:p>
          <w:p w14:paraId="132D829A"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Navrhujeme upravit zákon č. 586/1992 Sb., o daních z příjmů, tak, aby investice do technologií využívajících obnovitelné zdroje energie a zvyšujících energetickou účinnost mohly být odepisovány rychleji a flexibilněji než v současnosti.</w:t>
            </w:r>
          </w:p>
          <w:p w14:paraId="53F80E3C"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Konkrétně navrhujeme doplnit do předloženého návrhu části druhé nový bod 11, který zní:</w:t>
            </w:r>
          </w:p>
          <w:p w14:paraId="6E46E7CA" w14:textId="77777777" w:rsidR="000B4BD4" w:rsidRPr="0035187E" w:rsidRDefault="000B4BD4"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“11. V § 30a se doplňuje odstavec 4, který zní:</w:t>
            </w:r>
          </w:p>
          <w:p w14:paraId="313721FA" w14:textId="77777777" w:rsidR="000B4BD4" w:rsidRPr="0035187E" w:rsidRDefault="000B4BD4"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„U hmotného majetku sloužícího k výrobě energie z obnovitelných zdrojů energie využívající zejména energii slunečního záření (termální a fotovoltaická), energie okolního prostředí, energii biomasy nebo zařízení pro kombinovanou výrobu elektřiny a tepla, pořízeného ode dne 1. ledna 2026 primárně pro vlastní spotřebu, může poplatník uplatnit mimořádné odpisy podle tohoto ustanovení po dobu 24 měsíců až do výše 100 % vstupní ceny tohoto majetku bez ohledu na jeho zařazení do odpisové skupiny.“</w:t>
            </w:r>
          </w:p>
          <w:p w14:paraId="2B1F3562" w14:textId="77777777" w:rsidR="000B4BD4" w:rsidRPr="0035187E" w:rsidRDefault="000B4BD4"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Ostatní body se přečíslují.”</w:t>
            </w:r>
          </w:p>
          <w:p w14:paraId="674FC7F7" w14:textId="77777777" w:rsidR="000B4BD4" w:rsidRPr="0035187E" w:rsidRDefault="000B4BD4" w:rsidP="0035187E">
            <w:pPr>
              <w:jc w:val="both"/>
              <w:rPr>
                <w:rFonts w:ascii="Times New Roman" w:hAnsi="Times New Roman" w:cs="Times New Roman"/>
                <w:i/>
                <w:iCs/>
                <w:sz w:val="20"/>
                <w:szCs w:val="20"/>
              </w:rPr>
            </w:pPr>
          </w:p>
          <w:p w14:paraId="7AB746FD" w14:textId="77777777" w:rsidR="000B4BD4" w:rsidRPr="0035187E" w:rsidRDefault="000B4BD4" w:rsidP="0035187E">
            <w:pPr>
              <w:jc w:val="both"/>
              <w:rPr>
                <w:rFonts w:ascii="Times New Roman" w:hAnsi="Times New Roman" w:cs="Times New Roman"/>
                <w:b/>
                <w:bCs/>
                <w:sz w:val="20"/>
                <w:szCs w:val="20"/>
                <w:u w:val="single"/>
              </w:rPr>
            </w:pPr>
            <w:r w:rsidRPr="0035187E">
              <w:rPr>
                <w:rFonts w:ascii="Times New Roman" w:hAnsi="Times New Roman" w:cs="Times New Roman"/>
                <w:b/>
                <w:bCs/>
                <w:sz w:val="20"/>
                <w:szCs w:val="20"/>
                <w:u w:val="single"/>
              </w:rPr>
              <w:t>Odůvodnění:</w:t>
            </w:r>
          </w:p>
          <w:p w14:paraId="642B4634"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Investice do technologií využívajících obnovitelné zdroje energie představují významný nástroj pro snižování energetické náročnosti ekonomiky, posilování energetické bezpečnosti a plnění klimaticko-energetických závazků České republiky.</w:t>
            </w:r>
          </w:p>
          <w:p w14:paraId="6B31211D"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Současná právní úprava odpisování však může v praxi zpomalovat realizaci těchto investic, protože některé technologie využívající obnovitelné zdroje energie (například fotovoltaické systémy nebo tepelná čerpadla instalované v budovách) jsou v některých případech </w:t>
            </w:r>
            <w:r w:rsidRPr="0035187E">
              <w:rPr>
                <w:rFonts w:ascii="Times New Roman" w:hAnsi="Times New Roman" w:cs="Times New Roman"/>
                <w:sz w:val="20"/>
                <w:szCs w:val="20"/>
              </w:rPr>
              <w:lastRenderedPageBreak/>
              <w:t>považovány za součást stavby a odepisují se v dlouhých časových horizontech odpovídajících odpisování staveb.</w:t>
            </w:r>
          </w:p>
          <w:p w14:paraId="56D048C6"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Navrhovaná úprava umožňuje uplatnit u těchto technologií režim mimořádných odpisů, který umožní odepsat pořizovací cenu majetku během dvou let. Tím se výrazně zlepší návratnost investic a cash-</w:t>
            </w:r>
            <w:proofErr w:type="spellStart"/>
            <w:r w:rsidRPr="0035187E">
              <w:rPr>
                <w:rFonts w:ascii="Times New Roman" w:hAnsi="Times New Roman" w:cs="Times New Roman"/>
                <w:sz w:val="20"/>
                <w:szCs w:val="20"/>
              </w:rPr>
              <w:t>flow</w:t>
            </w:r>
            <w:proofErr w:type="spellEnd"/>
            <w:r w:rsidRPr="0035187E">
              <w:rPr>
                <w:rFonts w:ascii="Times New Roman" w:hAnsi="Times New Roman" w:cs="Times New Roman"/>
                <w:sz w:val="20"/>
                <w:szCs w:val="20"/>
              </w:rPr>
              <w:t xml:space="preserve"> podniků v prvních letech provozu technologie.</w:t>
            </w:r>
          </w:p>
          <w:p w14:paraId="0F84BBDC"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Zrychlené odepisování nepředstavuje přímý výdaj veřejných rozpočtů, ale pouze časový posun uplatnění daňového nákladu. Jedná se proto o relativně efektivní nástroj podpory investic, který mobilizuje soukromé investice při omezeném dopadu na veřejné rozpočty.</w:t>
            </w:r>
          </w:p>
          <w:p w14:paraId="722797EC"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Modelový výpočet založený na aktuálních investičních nákladech technologií využívajících obnovitelné zdroje energie ukazuje, že typická investice do menších energetických technologií se pohybuje přibližně:</w:t>
            </w:r>
          </w:p>
          <w:p w14:paraId="73FC30FE" w14:textId="77777777" w:rsidR="000B4BD4" w:rsidRPr="0035187E" w:rsidRDefault="000B4BD4" w:rsidP="0035187E">
            <w:pPr>
              <w:numPr>
                <w:ilvl w:val="0"/>
                <w:numId w:val="94"/>
              </w:numPr>
              <w:jc w:val="both"/>
              <w:rPr>
                <w:rFonts w:ascii="Times New Roman" w:hAnsi="Times New Roman" w:cs="Times New Roman"/>
                <w:sz w:val="20"/>
                <w:szCs w:val="20"/>
              </w:rPr>
            </w:pPr>
            <w:r w:rsidRPr="0035187E">
              <w:rPr>
                <w:rFonts w:ascii="Times New Roman" w:hAnsi="Times New Roman" w:cs="Times New Roman"/>
                <w:sz w:val="20"/>
                <w:szCs w:val="20"/>
              </w:rPr>
              <w:t>u fotovoltaických instalací přibližně 200–300 tis. Kč,</w:t>
            </w:r>
          </w:p>
          <w:p w14:paraId="2CF06EA5" w14:textId="77777777" w:rsidR="000B4BD4" w:rsidRPr="0035187E" w:rsidRDefault="000B4BD4" w:rsidP="0035187E">
            <w:pPr>
              <w:numPr>
                <w:ilvl w:val="0"/>
                <w:numId w:val="94"/>
              </w:numPr>
              <w:jc w:val="both"/>
              <w:rPr>
                <w:rFonts w:ascii="Times New Roman" w:hAnsi="Times New Roman" w:cs="Times New Roman"/>
                <w:sz w:val="20"/>
                <w:szCs w:val="20"/>
              </w:rPr>
            </w:pPr>
            <w:r w:rsidRPr="0035187E">
              <w:rPr>
                <w:rFonts w:ascii="Times New Roman" w:hAnsi="Times New Roman" w:cs="Times New Roman"/>
                <w:sz w:val="20"/>
                <w:szCs w:val="20"/>
              </w:rPr>
              <w:t>u tepelných čerpadel přibližně 300 tis. Kč.</w:t>
            </w:r>
          </w:p>
          <w:p w14:paraId="1ED178D9"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Při realistickém scénáři přibližně 20–25 tisíc instalací ročně může celkový objem investic dosahovat přibližně 5 mld. Kč ročně.</w:t>
            </w:r>
          </w:p>
          <w:p w14:paraId="6515EC8E"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Pokud by byl u těchto investic využit režim mimořádných odpisů, znamenalo by to pouze časové urychlení uplatnění daňového nákladu. Při sazbě daně z příjmů právnických osob ve výši 21 % lze orientační krátkodobý dopad na státní rozpočet odhadnout přibližně na 0,7–0,8 mld. Kč v prvních dvou letech, přičemž v dalších letech by se tento dopad postupně vyrovnal, protože by již nebylo možné uplatňovat standardní odpisy.</w:t>
            </w:r>
          </w:p>
          <w:p w14:paraId="1520E79E"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Současně tyto investice generují ekonomickou aktivitu v domácí ekonomice (projektování, instalace, servis, výroba komponent), z níž se část prostředků vrací do veřejných rozpočtů prostřednictvím daní a odvodů.</w:t>
            </w:r>
          </w:p>
          <w:p w14:paraId="2A625EAF"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Navrhovaná úprava proto představuje efektivní nástroj, který může podpořit modernizaci energetických systémů podniků, rozvoj domácího trhu energetických technologií a posílení energetické soběstačnosti při relativně omezeném dopadu na veřejné rozpočty.</w:t>
            </w:r>
          </w:p>
          <w:p w14:paraId="1AD72197" w14:textId="77777777" w:rsidR="000B4BD4" w:rsidRPr="0035187E" w:rsidRDefault="000B4BD4" w:rsidP="0035187E">
            <w:pPr>
              <w:jc w:val="both"/>
              <w:rPr>
                <w:rFonts w:ascii="Times New Roman" w:hAnsi="Times New Roman" w:cs="Times New Roman"/>
                <w:sz w:val="20"/>
                <w:szCs w:val="20"/>
              </w:rPr>
            </w:pPr>
          </w:p>
          <w:p w14:paraId="4A30524E" w14:textId="77777777" w:rsidR="000B4BD4" w:rsidRPr="0035187E" w:rsidRDefault="000B4BD4" w:rsidP="0035187E">
            <w:pPr>
              <w:jc w:val="both"/>
              <w:rPr>
                <w:rFonts w:ascii="Times New Roman" w:hAnsi="Times New Roman" w:cs="Times New Roman"/>
                <w:b/>
                <w:bCs/>
                <w:sz w:val="20"/>
                <w:szCs w:val="20"/>
                <w:u w:val="single"/>
              </w:rPr>
            </w:pPr>
            <w:r w:rsidRPr="0035187E">
              <w:rPr>
                <w:rFonts w:ascii="Times New Roman" w:hAnsi="Times New Roman" w:cs="Times New Roman"/>
                <w:b/>
                <w:bCs/>
                <w:sz w:val="20"/>
                <w:szCs w:val="20"/>
                <w:u w:val="single"/>
              </w:rPr>
              <w:t>Platné znění s vyznačením změn:</w:t>
            </w:r>
          </w:p>
          <w:p w14:paraId="3AD259DF" w14:textId="7777777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30a</w:t>
            </w:r>
          </w:p>
          <w:p w14:paraId="32CE8A31" w14:textId="7777777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Mimořádné odpisy</w:t>
            </w:r>
          </w:p>
          <w:p w14:paraId="38984CE6"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(1) Hmotný majetek, který je bezemisním vozidlem, pořízený v období od 1. ledna 2024 do 31. prosince 2028 může poplatník, který je jeho prvním odpisovatelem, odepsat bez přerušení do 100 % vstupní ceny za 24 měsíců, přitom za prvních 12 měsíců uplatní odpisy rovnoměrně do výše 60 % vstupní ceny hmotného majetku a za dalších bezprostředně následujících 12 měsíců uplatní odpisy rovnoměrně do výše 40 % vstupní ceny hmotného majetku.</w:t>
            </w:r>
          </w:p>
          <w:p w14:paraId="45CAD7E4"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(2) Odpisy podle odstavce 1 se stanoví s přesností na celé měsíce; přitom poplatník má povinnost zahájit odpisování počínaje následujícím měsícem po dni, v němž byly splněny podmínky pro odpisování. Při zahájení nebo ukončení odpisování v průběhu zdaňovacího období lze uplatnit odpisy pouze ve výši připadající na toto zdaňovací období. Odpisy se zaokrouhlují na celé koruny nahoru.</w:t>
            </w:r>
          </w:p>
          <w:p w14:paraId="11C9127C"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(3) Technické zhodnocení hmotného majetku odpisovaného podle odstavce 1 nezvyšuje jeho vstupní cenu. Ukončené technické zhodnocení se zatřídí do odpisové skupiny, ve </w:t>
            </w:r>
            <w:r w:rsidRPr="0035187E">
              <w:rPr>
                <w:rFonts w:ascii="Times New Roman" w:hAnsi="Times New Roman" w:cs="Times New Roman"/>
                <w:sz w:val="20"/>
                <w:szCs w:val="20"/>
              </w:rPr>
              <w:lastRenderedPageBreak/>
              <w:t>které je zatříděn hmotný majetek, na kterém je technické zhodnocení provedeno, a odpisuje se jako hmotný majetek podle § 26 až 30 a § 31 až 33.</w:t>
            </w:r>
          </w:p>
          <w:p w14:paraId="4946AA44" w14:textId="69D6CB8D"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b/>
                <w:bCs/>
                <w:sz w:val="20"/>
                <w:szCs w:val="20"/>
              </w:rPr>
              <w:t>(4) U hmotného majetku sloužícího k výrobě energie z obnovitelných zdrojů energie využívající zejména energii slunečního záření (termální a fotovoltaická), energie okolního prostředí, energii biomasy nebo zařízení pro kombinovanou výrobu elektřiny a tepla, pořízeného ode dne 1. ledna 2026, může poplatník uplatnit mimořádné odpisy podle tohoto ustanovení po dobu 24 měsíců až do výše 100 % vstupní ceny tohoto majetku bez ohledu na jeho zařazení do odpisové skupiny.</w:t>
            </w:r>
          </w:p>
        </w:tc>
        <w:tc>
          <w:tcPr>
            <w:tcW w:w="1453" w:type="pct"/>
            <w:tcBorders>
              <w:top w:val="single" w:sz="4" w:space="0" w:color="auto"/>
              <w:left w:val="single" w:sz="4" w:space="0" w:color="auto"/>
              <w:bottom w:val="single" w:sz="4" w:space="0" w:color="auto"/>
              <w:right w:val="single" w:sz="4" w:space="0" w:color="auto"/>
            </w:tcBorders>
            <w:shd w:val="clear" w:color="auto" w:fill="auto"/>
          </w:tcPr>
          <w:p w14:paraId="02E5A632" w14:textId="77777777" w:rsidR="00970286" w:rsidRPr="0035187E" w:rsidRDefault="00970286"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Nevyhověno.</w:t>
            </w:r>
          </w:p>
          <w:p w14:paraId="3F258A0E" w14:textId="77777777" w:rsidR="00970286" w:rsidRPr="0035187E" w:rsidRDefault="00970286" w:rsidP="0035187E">
            <w:pPr>
              <w:jc w:val="both"/>
              <w:rPr>
                <w:rFonts w:ascii="Times New Roman" w:hAnsi="Times New Roman" w:cs="Times New Roman"/>
                <w:sz w:val="20"/>
                <w:szCs w:val="20"/>
              </w:rPr>
            </w:pPr>
            <w:r w:rsidRPr="0035187E">
              <w:rPr>
                <w:rFonts w:ascii="Times New Roman" w:hAnsi="Times New Roman" w:cs="Times New Roman"/>
                <w:sz w:val="20"/>
                <w:szCs w:val="20"/>
              </w:rPr>
              <w:t>Podnět přesahuje rámec navrhované úpravy zákona o evidenci tržeb.</w:t>
            </w:r>
          </w:p>
          <w:p w14:paraId="36FEBC22" w14:textId="64A0ABA4" w:rsidR="000B4BD4" w:rsidRPr="0035187E" w:rsidRDefault="000B4BD4" w:rsidP="0035187E">
            <w:pPr>
              <w:jc w:val="both"/>
              <w:rPr>
                <w:rFonts w:ascii="Times New Roman" w:hAnsi="Times New Roman" w:cs="Times New Roman"/>
                <w:sz w:val="20"/>
                <w:szCs w:val="20"/>
              </w:rPr>
            </w:pPr>
          </w:p>
        </w:tc>
      </w:tr>
      <w:tr w:rsidR="0035187E" w:rsidRPr="0035187E" w14:paraId="1AB91A1F"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1D5E2EF5" w14:textId="271AF1D2"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156.</w:t>
            </w:r>
          </w:p>
        </w:tc>
        <w:tc>
          <w:tcPr>
            <w:tcW w:w="583" w:type="pct"/>
            <w:tcBorders>
              <w:top w:val="single" w:sz="4" w:space="0" w:color="auto"/>
              <w:left w:val="single" w:sz="4" w:space="0" w:color="auto"/>
              <w:right w:val="single" w:sz="4" w:space="0" w:color="auto"/>
            </w:tcBorders>
            <w:shd w:val="clear" w:color="auto" w:fill="auto"/>
          </w:tcPr>
          <w:p w14:paraId="413C35E9" w14:textId="29524E4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Komora obnovitelných zdrojů energie</w:t>
            </w:r>
          </w:p>
        </w:tc>
        <w:tc>
          <w:tcPr>
            <w:tcW w:w="168" w:type="pct"/>
            <w:tcBorders>
              <w:top w:val="single" w:sz="4" w:space="0" w:color="auto"/>
              <w:left w:val="single" w:sz="4" w:space="0" w:color="auto"/>
              <w:right w:val="single" w:sz="4" w:space="0" w:color="auto"/>
            </w:tcBorders>
            <w:shd w:val="clear" w:color="auto" w:fill="auto"/>
          </w:tcPr>
          <w:p w14:paraId="3DECFB5E" w14:textId="5590E55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4.</w:t>
            </w:r>
          </w:p>
        </w:tc>
        <w:tc>
          <w:tcPr>
            <w:tcW w:w="169" w:type="pct"/>
            <w:tcBorders>
              <w:top w:val="single" w:sz="4" w:space="0" w:color="auto"/>
              <w:left w:val="single" w:sz="4" w:space="0" w:color="auto"/>
              <w:right w:val="single" w:sz="4" w:space="0" w:color="auto"/>
            </w:tcBorders>
            <w:shd w:val="clear" w:color="auto" w:fill="auto"/>
          </w:tcPr>
          <w:p w14:paraId="4774292D" w14:textId="32BBDAC8"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BC4F4C2"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Doplnění části třetí o nový novelizační bod (zařazení instalace OZE do nižší sazby DPH)</w:t>
            </w:r>
          </w:p>
          <w:p w14:paraId="7DEEA8F7" w14:textId="77777777"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Připomínka:</w:t>
            </w:r>
          </w:p>
          <w:p w14:paraId="47D4FA8D"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Navrhujeme v kontextu obecné připomínky doplnit sníženou sazbu DPH, případně po přechodné období zvážit nulovou sazbu DPH, na dodání a instalaci zařízení využívajících obnovitelné zdroje energie pro vlastní spotřebu, zejména tepelných čerpadel, fotovoltaických elektráren, zařízení na ukládání energie a souvisejících technologií, pokud jsou instalovány na nebo v blízkosti obytných budov, bytových domů nebo budov využívaných ve veřejném zájmu.</w:t>
            </w:r>
          </w:p>
          <w:p w14:paraId="509CBF93"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Zvýhodněná sazba by se měla vztahovat na celé plnění zahrnující dodávku technologie i její instalaci, pokud jsou tyto činnosti poskytovány jako jedno ekonomické plnění.</w:t>
            </w:r>
          </w:p>
          <w:p w14:paraId="286E47C4" w14:textId="77777777" w:rsidR="000B4BD4" w:rsidRPr="0035187E" w:rsidRDefault="000B4BD4" w:rsidP="0035187E">
            <w:pPr>
              <w:jc w:val="both"/>
              <w:rPr>
                <w:rFonts w:ascii="Times New Roman" w:hAnsi="Times New Roman" w:cs="Times New Roman"/>
                <w:sz w:val="20"/>
                <w:szCs w:val="20"/>
              </w:rPr>
            </w:pPr>
          </w:p>
          <w:p w14:paraId="29C3EA1E" w14:textId="77777777"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Odůvodnění:</w:t>
            </w:r>
          </w:p>
          <w:p w14:paraId="5BF9586A"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Navrhovaná úprava směřuje ke snížení investičních bariér pro instalaci technologií využívajících obnovitelné zdroje energie a k podpoře decentralizované výroby energie. Instalace fotovoltaických elektráren, bateriových úložišť nebo tepelných čerpadel představují významný nástroj pro snižování energetické náročnosti budov, posilování energetické bezpečnosti a plnění klimaticko-energetických cílů České republiky.</w:t>
            </w:r>
          </w:p>
          <w:p w14:paraId="07C1BA58"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Z hlediska praktického fungování trhu je nezbytné, aby snížená nebo nulová sazba DPH dopadala na celé ekonomické plnění zahrnující dodání technologie i její instalaci, nikoli pouze na montážní práce. U energetických instalací totiž rozhoduje konečná cena dodávky „na klíč“. Oddělení technologie a instalace by vedlo k umělému rozdělení plnění a výraznému oslabení ekonomického efektu opatření.</w:t>
            </w:r>
          </w:p>
          <w:p w14:paraId="2E1681A9"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Navrhovaná úprava je současně slučitelná s právem Evropské unie, které umožňuje členským státům uplatnit snížené nebo nulové sazby DPH mimo jiné na dodání a instalaci zařízení využívajících obnovitelné zdroje energie na budovách nebo v jejich blízkosti. Tato možnost je v řadě členských států již využívána.</w:t>
            </w:r>
          </w:p>
          <w:p w14:paraId="3078F302"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Snížení sazby DPH u těchto instalací představuje cílený nepřímý fiskální nástroj, který snižuje pořizovací cenu technologie pro konečné spotřebitele a podporuje investiční aktivitu bez nutnosti administrace dotačních programů.</w:t>
            </w:r>
          </w:p>
          <w:p w14:paraId="2B0F5990"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Modelové vyhodnocení vycházející z aktuálních tržních dat za rok 2024 ukazuje následující parametry:</w:t>
            </w:r>
          </w:p>
          <w:p w14:paraId="06EBA7E2" w14:textId="77777777" w:rsidR="000B4BD4" w:rsidRPr="0035187E" w:rsidRDefault="000B4BD4" w:rsidP="0035187E">
            <w:pPr>
              <w:numPr>
                <w:ilvl w:val="0"/>
                <w:numId w:val="95"/>
              </w:numPr>
              <w:jc w:val="both"/>
              <w:rPr>
                <w:rFonts w:ascii="Times New Roman" w:hAnsi="Times New Roman" w:cs="Times New Roman"/>
                <w:sz w:val="20"/>
                <w:szCs w:val="20"/>
              </w:rPr>
            </w:pPr>
            <w:r w:rsidRPr="0035187E">
              <w:rPr>
                <w:rFonts w:ascii="Times New Roman" w:hAnsi="Times New Roman" w:cs="Times New Roman"/>
                <w:sz w:val="20"/>
                <w:szCs w:val="20"/>
              </w:rPr>
              <w:t>fotovoltaické elektrárny pro domácnosti: 40 925 instalací ročně, průměrná cena cca 350 000 Kč včetně 12 % DPH,</w:t>
            </w:r>
          </w:p>
          <w:p w14:paraId="19942FEB" w14:textId="77777777" w:rsidR="000B4BD4" w:rsidRPr="0035187E" w:rsidRDefault="000B4BD4" w:rsidP="0035187E">
            <w:pPr>
              <w:numPr>
                <w:ilvl w:val="0"/>
                <w:numId w:val="95"/>
              </w:numPr>
              <w:jc w:val="both"/>
              <w:rPr>
                <w:rFonts w:ascii="Times New Roman" w:hAnsi="Times New Roman" w:cs="Times New Roman"/>
                <w:sz w:val="20"/>
                <w:szCs w:val="20"/>
              </w:rPr>
            </w:pPr>
            <w:r w:rsidRPr="0035187E">
              <w:rPr>
                <w:rFonts w:ascii="Times New Roman" w:hAnsi="Times New Roman" w:cs="Times New Roman"/>
                <w:sz w:val="20"/>
                <w:szCs w:val="20"/>
              </w:rPr>
              <w:lastRenderedPageBreak/>
              <w:t>tepelná čerpadla: 20 026 instalací ročně, průměrná cena cca 280 000 Kč včetně 12 % DPH.</w:t>
            </w:r>
          </w:p>
          <w:p w14:paraId="64FF014B"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Při snížení sazby DPH z 12 % na 0 % dochází ke snížení konečné ceny přibližně o:</w:t>
            </w:r>
          </w:p>
          <w:p w14:paraId="25E1798F" w14:textId="77777777" w:rsidR="000B4BD4" w:rsidRPr="0035187E" w:rsidRDefault="000B4BD4" w:rsidP="0035187E">
            <w:pPr>
              <w:numPr>
                <w:ilvl w:val="0"/>
                <w:numId w:val="96"/>
              </w:numPr>
              <w:jc w:val="both"/>
              <w:rPr>
                <w:rFonts w:ascii="Times New Roman" w:hAnsi="Times New Roman" w:cs="Times New Roman"/>
                <w:sz w:val="20"/>
                <w:szCs w:val="20"/>
              </w:rPr>
            </w:pPr>
            <w:r w:rsidRPr="0035187E">
              <w:rPr>
                <w:rFonts w:ascii="Times New Roman" w:hAnsi="Times New Roman" w:cs="Times New Roman"/>
                <w:sz w:val="20"/>
                <w:szCs w:val="20"/>
              </w:rPr>
              <w:t>37 500 Kč na jednu domácí FVE,</w:t>
            </w:r>
          </w:p>
          <w:p w14:paraId="56011839" w14:textId="77777777" w:rsidR="000B4BD4" w:rsidRPr="0035187E" w:rsidRDefault="000B4BD4" w:rsidP="0035187E">
            <w:pPr>
              <w:numPr>
                <w:ilvl w:val="0"/>
                <w:numId w:val="96"/>
              </w:numPr>
              <w:jc w:val="both"/>
              <w:rPr>
                <w:rFonts w:ascii="Times New Roman" w:hAnsi="Times New Roman" w:cs="Times New Roman"/>
                <w:sz w:val="20"/>
                <w:szCs w:val="20"/>
              </w:rPr>
            </w:pPr>
            <w:r w:rsidRPr="0035187E">
              <w:rPr>
                <w:rFonts w:ascii="Times New Roman" w:hAnsi="Times New Roman" w:cs="Times New Roman"/>
                <w:sz w:val="20"/>
                <w:szCs w:val="20"/>
              </w:rPr>
              <w:t>30 000 Kč na jedno tepelné čerpadlo.</w:t>
            </w:r>
          </w:p>
          <w:p w14:paraId="030B222B"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Celkový orientační dopad na státní rozpočet při nulové sazbě DPH lze při zachování objemu trhu roku 2024 vyjádřit následovně:</w:t>
            </w:r>
          </w:p>
          <w:p w14:paraId="5D2A8ED5" w14:textId="77777777" w:rsidR="000B4BD4" w:rsidRPr="0035187E" w:rsidRDefault="000B4BD4" w:rsidP="0035187E">
            <w:pPr>
              <w:jc w:val="both"/>
              <w:rPr>
                <w:rFonts w:ascii="Times New Roman" w:hAnsi="Times New Roman" w:cs="Times New Roman"/>
                <w:sz w:val="20"/>
                <w:szCs w:val="20"/>
              </w:rPr>
            </w:pPr>
          </w:p>
          <w:tbl>
            <w:tblPr>
              <w:tblW w:w="5706" w:type="dxa"/>
              <w:tblBorders>
                <w:top w:val="nil"/>
                <w:left w:val="nil"/>
                <w:bottom w:val="nil"/>
                <w:right w:val="nil"/>
                <w:insideH w:val="nil"/>
                <w:insideV w:val="nil"/>
              </w:tblBorders>
              <w:tblLayout w:type="fixed"/>
              <w:tblLook w:val="0600" w:firstRow="0" w:lastRow="0" w:firstColumn="0" w:lastColumn="0" w:noHBand="1" w:noVBand="1"/>
            </w:tblPr>
            <w:tblGrid>
              <w:gridCol w:w="887"/>
              <w:gridCol w:w="951"/>
              <w:gridCol w:w="1134"/>
              <w:gridCol w:w="1134"/>
              <w:gridCol w:w="1600"/>
            </w:tblGrid>
            <w:tr w:rsidR="000B4BD4" w:rsidRPr="0035187E" w14:paraId="2A22B3DF" w14:textId="77777777" w:rsidTr="00AC3245">
              <w:trPr>
                <w:trHeight w:val="457"/>
              </w:trPr>
              <w:tc>
                <w:tcPr>
                  <w:tcW w:w="8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4B65899" w14:textId="77777777" w:rsidR="000B4BD4" w:rsidRPr="0035187E" w:rsidRDefault="000B4BD4" w:rsidP="0035187E">
                  <w:pPr>
                    <w:rPr>
                      <w:rFonts w:ascii="Times New Roman" w:hAnsi="Times New Roman" w:cs="Times New Roman"/>
                      <w:sz w:val="20"/>
                      <w:szCs w:val="20"/>
                    </w:rPr>
                  </w:pPr>
                  <w:r w:rsidRPr="0035187E">
                    <w:rPr>
                      <w:rFonts w:ascii="Times New Roman" w:hAnsi="Times New Roman" w:cs="Times New Roman"/>
                      <w:b/>
                      <w:bCs/>
                      <w:sz w:val="20"/>
                      <w:szCs w:val="20"/>
                    </w:rPr>
                    <w:t>Technologie</w:t>
                  </w:r>
                </w:p>
              </w:tc>
              <w:tc>
                <w:tcPr>
                  <w:tcW w:w="95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271C08C" w14:textId="77777777" w:rsidR="000B4BD4" w:rsidRPr="0035187E" w:rsidRDefault="000B4BD4" w:rsidP="0035187E">
                  <w:pPr>
                    <w:rPr>
                      <w:rFonts w:ascii="Times New Roman" w:hAnsi="Times New Roman" w:cs="Times New Roman"/>
                      <w:sz w:val="20"/>
                      <w:szCs w:val="20"/>
                    </w:rPr>
                  </w:pPr>
                  <w:r w:rsidRPr="0035187E">
                    <w:rPr>
                      <w:rFonts w:ascii="Times New Roman" w:hAnsi="Times New Roman" w:cs="Times New Roman"/>
                      <w:b/>
                      <w:bCs/>
                      <w:sz w:val="20"/>
                      <w:szCs w:val="20"/>
                    </w:rPr>
                    <w:t>Počet instalací 2024</w:t>
                  </w:r>
                </w:p>
              </w:tc>
              <w:tc>
                <w:tcPr>
                  <w:tcW w:w="113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F481F8" w14:textId="77777777" w:rsidR="000B4BD4" w:rsidRPr="0035187E" w:rsidRDefault="000B4BD4" w:rsidP="0035187E">
                  <w:pPr>
                    <w:rPr>
                      <w:rFonts w:ascii="Times New Roman" w:hAnsi="Times New Roman" w:cs="Times New Roman"/>
                      <w:sz w:val="20"/>
                      <w:szCs w:val="20"/>
                    </w:rPr>
                  </w:pPr>
                  <w:r w:rsidRPr="0035187E">
                    <w:rPr>
                      <w:rFonts w:ascii="Times New Roman" w:hAnsi="Times New Roman" w:cs="Times New Roman"/>
                      <w:b/>
                      <w:bCs/>
                      <w:sz w:val="20"/>
                      <w:szCs w:val="20"/>
                    </w:rPr>
                    <w:t>Průměrná cena (vč. 12 % DPH)</w:t>
                  </w:r>
                </w:p>
              </w:tc>
              <w:tc>
                <w:tcPr>
                  <w:tcW w:w="113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F2AC908" w14:textId="77777777" w:rsidR="000B4BD4" w:rsidRPr="0035187E" w:rsidRDefault="000B4BD4" w:rsidP="0035187E">
                  <w:pPr>
                    <w:rPr>
                      <w:rFonts w:ascii="Times New Roman" w:hAnsi="Times New Roman" w:cs="Times New Roman"/>
                      <w:sz w:val="20"/>
                      <w:szCs w:val="20"/>
                    </w:rPr>
                  </w:pPr>
                  <w:r w:rsidRPr="0035187E">
                    <w:rPr>
                      <w:rFonts w:ascii="Times New Roman" w:hAnsi="Times New Roman" w:cs="Times New Roman"/>
                      <w:b/>
                      <w:bCs/>
                      <w:sz w:val="20"/>
                      <w:szCs w:val="20"/>
                    </w:rPr>
                    <w:t>DPH na 1 instalaci</w:t>
                  </w:r>
                </w:p>
              </w:tc>
              <w:tc>
                <w:tcPr>
                  <w:tcW w:w="16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76F0BC0" w14:textId="77777777" w:rsidR="000B4BD4" w:rsidRPr="0035187E" w:rsidRDefault="000B4BD4" w:rsidP="0035187E">
                  <w:pPr>
                    <w:rPr>
                      <w:rFonts w:ascii="Times New Roman" w:hAnsi="Times New Roman" w:cs="Times New Roman"/>
                      <w:sz w:val="20"/>
                      <w:szCs w:val="20"/>
                    </w:rPr>
                  </w:pPr>
                  <w:r w:rsidRPr="0035187E">
                    <w:rPr>
                      <w:rFonts w:ascii="Times New Roman" w:hAnsi="Times New Roman" w:cs="Times New Roman"/>
                      <w:b/>
                      <w:bCs/>
                      <w:sz w:val="20"/>
                      <w:szCs w:val="20"/>
                    </w:rPr>
                    <w:t>Roční dopad při 0 % DPH</w:t>
                  </w:r>
                </w:p>
              </w:tc>
            </w:tr>
            <w:tr w:rsidR="000B4BD4" w:rsidRPr="0035187E" w14:paraId="2D8760DC" w14:textId="77777777" w:rsidTr="00AC3245">
              <w:trPr>
                <w:trHeight w:val="207"/>
              </w:trPr>
              <w:tc>
                <w:tcPr>
                  <w:tcW w:w="8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05B33CD" w14:textId="77777777" w:rsidR="000B4BD4" w:rsidRPr="0035187E" w:rsidRDefault="000B4BD4" w:rsidP="0035187E">
                  <w:pPr>
                    <w:rPr>
                      <w:rFonts w:ascii="Times New Roman" w:hAnsi="Times New Roman" w:cs="Times New Roman"/>
                      <w:sz w:val="20"/>
                      <w:szCs w:val="20"/>
                    </w:rPr>
                  </w:pPr>
                  <w:r w:rsidRPr="0035187E">
                    <w:rPr>
                      <w:rFonts w:ascii="Times New Roman" w:hAnsi="Times New Roman" w:cs="Times New Roman"/>
                      <w:sz w:val="20"/>
                      <w:szCs w:val="20"/>
                    </w:rPr>
                    <w:t>Domácí FVE</w:t>
                  </w:r>
                </w:p>
              </w:tc>
              <w:tc>
                <w:tcPr>
                  <w:tcW w:w="95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5DF0562" w14:textId="77777777" w:rsidR="000B4BD4" w:rsidRPr="0035187E" w:rsidRDefault="000B4BD4" w:rsidP="0035187E">
                  <w:pPr>
                    <w:rPr>
                      <w:rFonts w:ascii="Times New Roman" w:hAnsi="Times New Roman" w:cs="Times New Roman"/>
                      <w:sz w:val="20"/>
                      <w:szCs w:val="20"/>
                    </w:rPr>
                  </w:pPr>
                  <w:r w:rsidRPr="0035187E">
                    <w:rPr>
                      <w:rFonts w:ascii="Times New Roman" w:hAnsi="Times New Roman" w:cs="Times New Roman"/>
                      <w:sz w:val="20"/>
                      <w:szCs w:val="20"/>
                    </w:rPr>
                    <w:t>40 925</w:t>
                  </w:r>
                </w:p>
              </w:tc>
              <w:tc>
                <w:tcPr>
                  <w:tcW w:w="113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7DE4623" w14:textId="77777777" w:rsidR="000B4BD4" w:rsidRPr="0035187E" w:rsidRDefault="000B4BD4" w:rsidP="0035187E">
                  <w:pPr>
                    <w:rPr>
                      <w:rFonts w:ascii="Times New Roman" w:hAnsi="Times New Roman" w:cs="Times New Roman"/>
                      <w:sz w:val="20"/>
                      <w:szCs w:val="20"/>
                    </w:rPr>
                  </w:pPr>
                  <w:r w:rsidRPr="0035187E">
                    <w:rPr>
                      <w:rFonts w:ascii="Times New Roman" w:hAnsi="Times New Roman" w:cs="Times New Roman"/>
                      <w:sz w:val="20"/>
                      <w:szCs w:val="20"/>
                    </w:rPr>
                    <w:t>350 000 Kč</w:t>
                  </w:r>
                </w:p>
              </w:tc>
              <w:tc>
                <w:tcPr>
                  <w:tcW w:w="113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53575C6" w14:textId="77777777" w:rsidR="000B4BD4" w:rsidRPr="0035187E" w:rsidRDefault="000B4BD4" w:rsidP="0035187E">
                  <w:pPr>
                    <w:rPr>
                      <w:rFonts w:ascii="Times New Roman" w:hAnsi="Times New Roman" w:cs="Times New Roman"/>
                      <w:sz w:val="20"/>
                      <w:szCs w:val="20"/>
                    </w:rPr>
                  </w:pPr>
                  <w:r w:rsidRPr="0035187E">
                    <w:rPr>
                      <w:rFonts w:ascii="Times New Roman" w:hAnsi="Times New Roman" w:cs="Times New Roman"/>
                      <w:sz w:val="20"/>
                      <w:szCs w:val="20"/>
                    </w:rPr>
                    <w:t>37 500 Kč</w:t>
                  </w:r>
                </w:p>
              </w:tc>
              <w:tc>
                <w:tcPr>
                  <w:tcW w:w="16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EF3E43A" w14:textId="77777777" w:rsidR="000B4BD4" w:rsidRPr="0035187E" w:rsidRDefault="000B4BD4" w:rsidP="0035187E">
                  <w:pPr>
                    <w:rPr>
                      <w:rFonts w:ascii="Times New Roman" w:hAnsi="Times New Roman" w:cs="Times New Roman"/>
                      <w:sz w:val="20"/>
                      <w:szCs w:val="20"/>
                    </w:rPr>
                  </w:pPr>
                  <w:r w:rsidRPr="0035187E">
                    <w:rPr>
                      <w:rFonts w:ascii="Times New Roman" w:hAnsi="Times New Roman" w:cs="Times New Roman"/>
                      <w:sz w:val="20"/>
                      <w:szCs w:val="20"/>
                    </w:rPr>
                    <w:t>1 534 687 500 Kč</w:t>
                  </w:r>
                </w:p>
              </w:tc>
            </w:tr>
            <w:tr w:rsidR="000B4BD4" w:rsidRPr="0035187E" w14:paraId="165400E4" w14:textId="77777777" w:rsidTr="00AC3245">
              <w:trPr>
                <w:trHeight w:val="344"/>
              </w:trPr>
              <w:tc>
                <w:tcPr>
                  <w:tcW w:w="8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D9B9EF4" w14:textId="77777777" w:rsidR="000B4BD4" w:rsidRPr="0035187E" w:rsidRDefault="000B4BD4" w:rsidP="0035187E">
                  <w:pPr>
                    <w:rPr>
                      <w:rFonts w:ascii="Times New Roman" w:hAnsi="Times New Roman" w:cs="Times New Roman"/>
                      <w:sz w:val="20"/>
                      <w:szCs w:val="20"/>
                    </w:rPr>
                  </w:pPr>
                  <w:r w:rsidRPr="0035187E">
                    <w:rPr>
                      <w:rFonts w:ascii="Times New Roman" w:hAnsi="Times New Roman" w:cs="Times New Roman"/>
                      <w:sz w:val="20"/>
                      <w:szCs w:val="20"/>
                    </w:rPr>
                    <w:t>Tepelná čerpadla</w:t>
                  </w:r>
                </w:p>
              </w:tc>
              <w:tc>
                <w:tcPr>
                  <w:tcW w:w="95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62DD7FA" w14:textId="77777777" w:rsidR="000B4BD4" w:rsidRPr="0035187E" w:rsidRDefault="000B4BD4" w:rsidP="0035187E">
                  <w:pPr>
                    <w:rPr>
                      <w:rFonts w:ascii="Times New Roman" w:hAnsi="Times New Roman" w:cs="Times New Roman"/>
                      <w:sz w:val="20"/>
                      <w:szCs w:val="20"/>
                    </w:rPr>
                  </w:pPr>
                  <w:r w:rsidRPr="0035187E">
                    <w:rPr>
                      <w:rFonts w:ascii="Times New Roman" w:hAnsi="Times New Roman" w:cs="Times New Roman"/>
                      <w:sz w:val="20"/>
                      <w:szCs w:val="20"/>
                    </w:rPr>
                    <w:t>20 026</w:t>
                  </w:r>
                </w:p>
              </w:tc>
              <w:tc>
                <w:tcPr>
                  <w:tcW w:w="113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7C3436B" w14:textId="77777777" w:rsidR="000B4BD4" w:rsidRPr="0035187E" w:rsidRDefault="000B4BD4" w:rsidP="0035187E">
                  <w:pPr>
                    <w:rPr>
                      <w:rFonts w:ascii="Times New Roman" w:hAnsi="Times New Roman" w:cs="Times New Roman"/>
                      <w:sz w:val="20"/>
                      <w:szCs w:val="20"/>
                    </w:rPr>
                  </w:pPr>
                  <w:r w:rsidRPr="0035187E">
                    <w:rPr>
                      <w:rFonts w:ascii="Times New Roman" w:hAnsi="Times New Roman" w:cs="Times New Roman"/>
                      <w:sz w:val="20"/>
                      <w:szCs w:val="20"/>
                    </w:rPr>
                    <w:t>280 000 Kč</w:t>
                  </w:r>
                </w:p>
              </w:tc>
              <w:tc>
                <w:tcPr>
                  <w:tcW w:w="113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8FE6984" w14:textId="77777777" w:rsidR="000B4BD4" w:rsidRPr="0035187E" w:rsidRDefault="000B4BD4" w:rsidP="0035187E">
                  <w:pPr>
                    <w:rPr>
                      <w:rFonts w:ascii="Times New Roman" w:hAnsi="Times New Roman" w:cs="Times New Roman"/>
                      <w:sz w:val="20"/>
                      <w:szCs w:val="20"/>
                    </w:rPr>
                  </w:pPr>
                  <w:r w:rsidRPr="0035187E">
                    <w:rPr>
                      <w:rFonts w:ascii="Times New Roman" w:hAnsi="Times New Roman" w:cs="Times New Roman"/>
                      <w:sz w:val="20"/>
                      <w:szCs w:val="20"/>
                    </w:rPr>
                    <w:t>30 000 Kč</w:t>
                  </w:r>
                </w:p>
              </w:tc>
              <w:tc>
                <w:tcPr>
                  <w:tcW w:w="16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322BA5A" w14:textId="77777777" w:rsidR="000B4BD4" w:rsidRPr="0035187E" w:rsidRDefault="000B4BD4" w:rsidP="0035187E">
                  <w:pPr>
                    <w:rPr>
                      <w:rFonts w:ascii="Times New Roman" w:hAnsi="Times New Roman" w:cs="Times New Roman"/>
                      <w:sz w:val="20"/>
                      <w:szCs w:val="20"/>
                    </w:rPr>
                  </w:pPr>
                  <w:r w:rsidRPr="0035187E">
                    <w:rPr>
                      <w:rFonts w:ascii="Times New Roman" w:hAnsi="Times New Roman" w:cs="Times New Roman"/>
                      <w:sz w:val="20"/>
                      <w:szCs w:val="20"/>
                    </w:rPr>
                    <w:t>600 780 000 Kč</w:t>
                  </w:r>
                </w:p>
              </w:tc>
            </w:tr>
            <w:tr w:rsidR="000B4BD4" w:rsidRPr="0035187E" w14:paraId="31BF69B7" w14:textId="77777777" w:rsidTr="00AC3245">
              <w:trPr>
                <w:trHeight w:val="236"/>
              </w:trPr>
              <w:tc>
                <w:tcPr>
                  <w:tcW w:w="8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FB2D769" w14:textId="77777777" w:rsidR="000B4BD4" w:rsidRPr="0035187E" w:rsidRDefault="000B4BD4" w:rsidP="0035187E">
                  <w:pPr>
                    <w:rPr>
                      <w:rFonts w:ascii="Times New Roman" w:hAnsi="Times New Roman" w:cs="Times New Roman"/>
                      <w:sz w:val="20"/>
                      <w:szCs w:val="20"/>
                    </w:rPr>
                  </w:pPr>
                  <w:r w:rsidRPr="0035187E">
                    <w:rPr>
                      <w:rFonts w:ascii="Times New Roman" w:hAnsi="Times New Roman" w:cs="Times New Roman"/>
                      <w:b/>
                      <w:bCs/>
                      <w:sz w:val="20"/>
                      <w:szCs w:val="20"/>
                    </w:rPr>
                    <w:t>Celkem</w:t>
                  </w:r>
                </w:p>
              </w:tc>
              <w:tc>
                <w:tcPr>
                  <w:tcW w:w="95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AFEB3E7" w14:textId="77777777" w:rsidR="000B4BD4" w:rsidRPr="0035187E" w:rsidRDefault="000B4BD4" w:rsidP="0035187E">
                  <w:pPr>
                    <w:rPr>
                      <w:rFonts w:ascii="Times New Roman" w:hAnsi="Times New Roman" w:cs="Times New Roman"/>
                      <w:sz w:val="20"/>
                      <w:szCs w:val="20"/>
                    </w:rPr>
                  </w:pPr>
                  <w:r w:rsidRPr="0035187E">
                    <w:rPr>
                      <w:rFonts w:ascii="Times New Roman" w:hAnsi="Times New Roman" w:cs="Times New Roman"/>
                      <w:b/>
                      <w:bCs/>
                      <w:sz w:val="20"/>
                      <w:szCs w:val="20"/>
                    </w:rPr>
                    <w:t>60 951</w:t>
                  </w:r>
                </w:p>
              </w:tc>
              <w:tc>
                <w:tcPr>
                  <w:tcW w:w="113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848A02E" w14:textId="77777777" w:rsidR="000B4BD4" w:rsidRPr="0035187E" w:rsidRDefault="000B4BD4" w:rsidP="0035187E">
                  <w:pPr>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535B08C" w14:textId="77777777" w:rsidR="000B4BD4" w:rsidRPr="0035187E" w:rsidRDefault="000B4BD4" w:rsidP="0035187E">
                  <w:pPr>
                    <w:rPr>
                      <w:rFonts w:ascii="Times New Roman" w:hAnsi="Times New Roman" w:cs="Times New Roman"/>
                      <w:sz w:val="20"/>
                      <w:szCs w:val="20"/>
                    </w:rPr>
                  </w:pPr>
                </w:p>
              </w:tc>
              <w:tc>
                <w:tcPr>
                  <w:tcW w:w="16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7C2A84C" w14:textId="77777777" w:rsidR="000B4BD4" w:rsidRPr="0035187E" w:rsidRDefault="000B4BD4" w:rsidP="0035187E">
                  <w:pPr>
                    <w:rPr>
                      <w:rFonts w:ascii="Times New Roman" w:hAnsi="Times New Roman" w:cs="Times New Roman"/>
                      <w:sz w:val="20"/>
                      <w:szCs w:val="20"/>
                    </w:rPr>
                  </w:pPr>
                  <w:r w:rsidRPr="0035187E">
                    <w:rPr>
                      <w:rFonts w:ascii="Times New Roman" w:hAnsi="Times New Roman" w:cs="Times New Roman"/>
                      <w:b/>
                      <w:bCs/>
                      <w:sz w:val="20"/>
                      <w:szCs w:val="20"/>
                    </w:rPr>
                    <w:t>2 135 467 500 Kč ročně</w:t>
                  </w:r>
                </w:p>
              </w:tc>
            </w:tr>
          </w:tbl>
          <w:p w14:paraId="17475FDC" w14:textId="77777777" w:rsidR="000B4BD4" w:rsidRPr="0035187E" w:rsidRDefault="000B4BD4" w:rsidP="0035187E">
            <w:pPr>
              <w:jc w:val="both"/>
              <w:rPr>
                <w:rFonts w:ascii="Times New Roman" w:hAnsi="Times New Roman" w:cs="Times New Roman"/>
                <w:sz w:val="20"/>
                <w:szCs w:val="20"/>
              </w:rPr>
            </w:pPr>
          </w:p>
          <w:p w14:paraId="28352E40"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Uvedený odhad představuje orientační maximální fiskální dopad, neboť vychází ze zachování současného objemu instalací.</w:t>
            </w:r>
          </w:p>
          <w:p w14:paraId="1B3C10FD"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Současně však tyto investice generují významnou ekonomickou aktivitu v domácí ekonomice (projekce, výroba komponent, instalace, servis), z níž se část prostředků vrací do veřejných rozpočtů prostřednictvím daní a odvodů. Reálný čistý dopad na veřejné rozpočty je proto nižší.</w:t>
            </w:r>
          </w:p>
          <w:p w14:paraId="6A64752D"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Je rovněž nutné zohlednit, že dochází ke změnám v systému přímé finanční podpory investic do energetických úspor a obnovitelných zdrojů energie. V případě absence adekvátní náhrady lze očekávat pokles počtu nových instalací a dočasné zpomalení trhu, což by vedlo ke snížení investiční aktivity a s ní souvisejících daňových příjmů.</w:t>
            </w:r>
          </w:p>
          <w:p w14:paraId="4E5C8FFE" w14:textId="2AF03330"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Navrhované snížení sazby DPH proto může působit jako stabilizační nástroj, který pomůže udržet investiční aktivitu v sektoru v období změn podpůrných mechanismů.</w:t>
            </w:r>
          </w:p>
        </w:tc>
        <w:tc>
          <w:tcPr>
            <w:tcW w:w="1453" w:type="pct"/>
            <w:tcBorders>
              <w:top w:val="single" w:sz="4" w:space="0" w:color="auto"/>
              <w:left w:val="single" w:sz="4" w:space="0" w:color="auto"/>
              <w:bottom w:val="single" w:sz="4" w:space="0" w:color="auto"/>
              <w:right w:val="single" w:sz="4" w:space="0" w:color="auto"/>
            </w:tcBorders>
            <w:shd w:val="clear" w:color="auto" w:fill="auto"/>
          </w:tcPr>
          <w:p w14:paraId="70879D28"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Nevyhověno.</w:t>
            </w:r>
          </w:p>
          <w:p w14:paraId="500CEBA6" w14:textId="08D71B0F"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Viz vypořádání u první připomínky.</w:t>
            </w:r>
          </w:p>
        </w:tc>
      </w:tr>
      <w:tr w:rsidR="0035187E" w:rsidRPr="0035187E" w14:paraId="7930504F"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4A2BD06F" w14:textId="752C8981"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156.</w:t>
            </w:r>
          </w:p>
        </w:tc>
        <w:tc>
          <w:tcPr>
            <w:tcW w:w="583" w:type="pct"/>
            <w:tcBorders>
              <w:top w:val="single" w:sz="4" w:space="0" w:color="auto"/>
              <w:left w:val="single" w:sz="4" w:space="0" w:color="auto"/>
              <w:right w:val="single" w:sz="4" w:space="0" w:color="auto"/>
            </w:tcBorders>
            <w:shd w:val="clear" w:color="auto" w:fill="auto"/>
          </w:tcPr>
          <w:p w14:paraId="0DE7FC82" w14:textId="03324BA0"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Komora obnovitelných zdrojů energie</w:t>
            </w:r>
          </w:p>
        </w:tc>
        <w:tc>
          <w:tcPr>
            <w:tcW w:w="168" w:type="pct"/>
            <w:tcBorders>
              <w:top w:val="single" w:sz="4" w:space="0" w:color="auto"/>
              <w:left w:val="single" w:sz="4" w:space="0" w:color="auto"/>
              <w:right w:val="single" w:sz="4" w:space="0" w:color="auto"/>
            </w:tcBorders>
            <w:shd w:val="clear" w:color="auto" w:fill="auto"/>
          </w:tcPr>
          <w:p w14:paraId="17CEB3F6" w14:textId="3B8BEFE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5.</w:t>
            </w:r>
          </w:p>
        </w:tc>
        <w:tc>
          <w:tcPr>
            <w:tcW w:w="169" w:type="pct"/>
            <w:tcBorders>
              <w:top w:val="single" w:sz="4" w:space="0" w:color="auto"/>
              <w:left w:val="single" w:sz="4" w:space="0" w:color="auto"/>
              <w:right w:val="single" w:sz="4" w:space="0" w:color="auto"/>
            </w:tcBorders>
            <w:shd w:val="clear" w:color="auto" w:fill="auto"/>
          </w:tcPr>
          <w:p w14:paraId="6FDAA8B3" w14:textId="027F1BEF"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615F4DFA"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t>Doplnění části třetí o nový novelizační bod (zařazení elektřiny, palivového dřeva a pelety do nižší sazby DPH)</w:t>
            </w:r>
          </w:p>
          <w:p w14:paraId="203F6BD5" w14:textId="77777777" w:rsidR="000B4BD4" w:rsidRPr="0035187E" w:rsidRDefault="000B4BD4" w:rsidP="0035187E">
            <w:pPr>
              <w:jc w:val="both"/>
              <w:rPr>
                <w:rFonts w:ascii="Times New Roman" w:hAnsi="Times New Roman" w:cs="Times New Roman"/>
                <w:sz w:val="20"/>
                <w:szCs w:val="20"/>
                <w:u w:val="single"/>
              </w:rPr>
            </w:pPr>
            <w:r w:rsidRPr="0035187E">
              <w:rPr>
                <w:rFonts w:ascii="Times New Roman" w:hAnsi="Times New Roman" w:cs="Times New Roman"/>
                <w:sz w:val="20"/>
                <w:szCs w:val="20"/>
                <w:u w:val="single"/>
              </w:rPr>
              <w:t>Připomínka:</w:t>
            </w:r>
          </w:p>
          <w:p w14:paraId="3C188619"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Navrhujeme zvážit v kontextu geopolitické situace a rizika růstu cen energie snížit sazby DPH na dodávky elektřiny, na palivové dřevo a pelety, alespoň po přechodné období.</w:t>
            </w:r>
          </w:p>
          <w:p w14:paraId="13DD3E02"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Navrhujeme tudíž v části třetí doplnit nový bod 10, který zní:</w:t>
            </w:r>
          </w:p>
          <w:p w14:paraId="29A08CCC"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i/>
                <w:iCs/>
                <w:sz w:val="20"/>
                <w:szCs w:val="20"/>
              </w:rPr>
              <w:t>“V příloze č. 2 se na konec Seznamu služeb podléhajících snížené sazbě daně doplňuje řádek, který zní:</w:t>
            </w:r>
          </w:p>
          <w:p w14:paraId="0F463F2F" w14:textId="77777777" w:rsidR="000B4BD4" w:rsidRPr="0035187E" w:rsidRDefault="000B4BD4"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lastRenderedPageBreak/>
              <w:t>“Kód nomenklatury 2716: Elektrická energie.</w:t>
            </w:r>
          </w:p>
          <w:p w14:paraId="14F2B615" w14:textId="77777777" w:rsidR="000B4BD4" w:rsidRPr="0035187E" w:rsidRDefault="000B4BD4"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Kód nomenklatury 4401: Palivové dřevo v polenech, špalcích, větvích, otepích nebo podobných tvarech; dřevěné štěpky nebo třísky; piliny a dřevěný odpad a zbytky, též aglomerované do polen, briket, pelet nebo podobných tvarů.”</w:t>
            </w:r>
          </w:p>
          <w:p w14:paraId="3E400C76" w14:textId="77777777" w:rsidR="000B4BD4" w:rsidRPr="0035187E" w:rsidRDefault="000B4BD4" w:rsidP="0035187E">
            <w:pPr>
              <w:jc w:val="both"/>
              <w:rPr>
                <w:rFonts w:ascii="Times New Roman" w:hAnsi="Times New Roman" w:cs="Times New Roman"/>
                <w:i/>
                <w:iCs/>
                <w:sz w:val="20"/>
                <w:szCs w:val="20"/>
              </w:rPr>
            </w:pPr>
            <w:r w:rsidRPr="0035187E">
              <w:rPr>
                <w:rFonts w:ascii="Times New Roman" w:hAnsi="Times New Roman" w:cs="Times New Roman"/>
                <w:i/>
                <w:iCs/>
                <w:sz w:val="20"/>
                <w:szCs w:val="20"/>
              </w:rPr>
              <w:t>Ostatní body se přečíslují.”</w:t>
            </w:r>
          </w:p>
          <w:p w14:paraId="3A2AD3A0" w14:textId="77777777" w:rsidR="000B4BD4" w:rsidRPr="0035187E" w:rsidRDefault="000B4BD4" w:rsidP="0035187E">
            <w:pPr>
              <w:jc w:val="both"/>
              <w:rPr>
                <w:rFonts w:ascii="Times New Roman" w:hAnsi="Times New Roman" w:cs="Times New Roman"/>
                <w:i/>
                <w:iCs/>
                <w:sz w:val="20"/>
                <w:szCs w:val="20"/>
              </w:rPr>
            </w:pPr>
          </w:p>
          <w:p w14:paraId="180562EA"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u w:val="single"/>
              </w:rPr>
              <w:t>Odůvodnění:</w:t>
            </w:r>
          </w:p>
          <w:p w14:paraId="21B070EB"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Navrhovaná úprava směřuje ke snížení nákladů na energie pro domácnosti a další konečné spotřebitele a k podpoře využívání nízkoemisních zdrojů energie v sektoru vytápění. Dodávky elektřiny a paliv z biomasy, zejména palivového dřeva, dřevních pelet a briket, představují klíčové energetické komodity pro domácnosti, obce i další subjekty, které nejsou plátci DPH.</w:t>
            </w:r>
          </w:p>
          <w:p w14:paraId="08E8ACE9"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Snížení sazby DPH z 21 % na 12 % představuje pro koncové spotřebitele úsporu přibližně 7,4 % z celkové ceny energie. Například u faktury ve výši 10 000 Kč by koncový zákazník ušetřil přibližně 744 Kč. Opatření by se proto okamžitě promítlo do snížení nákladů domácností na energie a zvýšení jejich disponibilního příjmu.</w:t>
            </w:r>
          </w:p>
          <w:p w14:paraId="613E0956"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Navrhované opatření je současně plně slučitelné s právem Evropské unie. Směrnice o společném systému DPH umožňuje členským státům uplatnit snížené sazby mimo jiné na dodávky elektřiny, zemního plynu a palivového dřeva. V reakci na energetickou krizi v Evropě řada členských států této možnosti využila a snížila sazby DPH na energie jako stabilizační nástroj ke zmírnění dopadů vysokých cen energií na domácnosti i podniky.</w:t>
            </w:r>
          </w:p>
          <w:p w14:paraId="23F905E8"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Snížení sazby DPH na paliva z biomasy může současně přispět k postupnému přechodu domácností od fosilních paliv, zejména uhlí, k obnovitelným zdrojům energie. Biomasa ve formě palivového dřeva nebo pelet představuje významný lokální zdroj energie, který snižuje závislost na dovozu energetických surovin a podporuje regionální ekonomiku. Podpora jejího využívání je proto v souladu s cíli dekarbonizace energetiky i s posilováním energetické bezpečnosti státu.</w:t>
            </w:r>
          </w:p>
          <w:p w14:paraId="23644AB5"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Navrhovaná úprava má zároveň významný sociální rozměr. Náklady na energie představují pro domácnosti významnou část jejich výdajů a jejich růst může vést k prohlubování energetické chudoby. Snížení sazby DPH představuje plošné a administrativně jednoduché opatření, které může rychle zmírnit dopady vysokých cen energií na domácnosti.</w:t>
            </w:r>
          </w:p>
          <w:p w14:paraId="5992C8C9"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Z hlediska právní jistoty je současně vhodné výslovně uvést, že se snížená sazba vztahuje i na paliva z biomasy, zejména dřevní pelety a brikety, aby nevznikala výkladová nejistota, zda tyto výrobky spadají do kategorie palivového dřeva.</w:t>
            </w:r>
          </w:p>
          <w:p w14:paraId="6F2DA859"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Dopad na státní rozpočet:</w:t>
            </w:r>
          </w:p>
          <w:p w14:paraId="45A05CA9" w14:textId="77777777" w:rsidR="000B4BD4" w:rsidRPr="0035187E" w:rsidRDefault="000B4BD4" w:rsidP="0035187E">
            <w:pPr>
              <w:pBdr>
                <w:top w:val="nil"/>
                <w:left w:val="nil"/>
                <w:bottom w:val="nil"/>
                <w:right w:val="nil"/>
                <w:between w:val="nil"/>
              </w:pBdr>
              <w:jc w:val="both"/>
              <w:rPr>
                <w:rFonts w:ascii="Times New Roman" w:hAnsi="Times New Roman" w:cs="Times New Roman"/>
                <w:sz w:val="20"/>
                <w:szCs w:val="20"/>
              </w:rPr>
            </w:pPr>
            <w:r w:rsidRPr="0035187E">
              <w:rPr>
                <w:rFonts w:ascii="Times New Roman" w:hAnsi="Times New Roman" w:cs="Times New Roman"/>
                <w:sz w:val="20"/>
                <w:szCs w:val="20"/>
              </w:rPr>
              <w:t>Odhad dopadu na státní rozpočet vychází ze struktury spotřeby energií v České republice a zohledňuje skutečnost, že významná část dodávek elektřiny probíhá mezi plátci DPH, u nichž je dopad na veřejné rozpočty neutrální.</w:t>
            </w:r>
          </w:p>
          <w:p w14:paraId="340FA2D3" w14:textId="77777777" w:rsidR="000B4BD4" w:rsidRPr="0035187E" w:rsidRDefault="000B4BD4" w:rsidP="0035187E">
            <w:pPr>
              <w:pBdr>
                <w:top w:val="nil"/>
                <w:left w:val="nil"/>
                <w:bottom w:val="nil"/>
                <w:right w:val="nil"/>
                <w:between w:val="nil"/>
              </w:pBdr>
              <w:jc w:val="both"/>
              <w:rPr>
                <w:rFonts w:ascii="Times New Roman" w:hAnsi="Times New Roman" w:cs="Times New Roman"/>
                <w:sz w:val="20"/>
                <w:szCs w:val="20"/>
              </w:rPr>
            </w:pPr>
            <w:r w:rsidRPr="0035187E">
              <w:rPr>
                <w:rFonts w:ascii="Times New Roman" w:hAnsi="Times New Roman" w:cs="Times New Roman"/>
                <w:sz w:val="20"/>
                <w:szCs w:val="20"/>
              </w:rPr>
              <w:t>Z hlediska veřejných rozpočtů je proto relevantní pouze spotřeba domácností a dalších subjektů, které nejsou plátci DPH. Při zohlednění této skutečnosti lze dopad snížení sazby DPH z 21 % na 12 % odhadnout přibližně na:</w:t>
            </w:r>
          </w:p>
          <w:p w14:paraId="56E653EA" w14:textId="77777777" w:rsidR="000B4BD4" w:rsidRPr="0035187E" w:rsidRDefault="000B4BD4" w:rsidP="0035187E">
            <w:pPr>
              <w:jc w:val="both"/>
              <w:rPr>
                <w:rFonts w:ascii="Times New Roman" w:hAnsi="Times New Roman" w:cs="Times New Roman"/>
                <w:sz w:val="20"/>
                <w:szCs w:val="20"/>
              </w:rPr>
            </w:pPr>
          </w:p>
          <w:tbl>
            <w:tblPr>
              <w:tblW w:w="5564" w:type="dxa"/>
              <w:tblBorders>
                <w:top w:val="nil"/>
                <w:left w:val="nil"/>
                <w:bottom w:val="nil"/>
                <w:right w:val="nil"/>
                <w:insideH w:val="nil"/>
                <w:insideV w:val="nil"/>
              </w:tblBorders>
              <w:tblLayout w:type="fixed"/>
              <w:tblLook w:val="0600" w:firstRow="0" w:lastRow="0" w:firstColumn="0" w:lastColumn="0" w:noHBand="1" w:noVBand="1"/>
            </w:tblPr>
            <w:tblGrid>
              <w:gridCol w:w="887"/>
              <w:gridCol w:w="850"/>
              <w:gridCol w:w="1134"/>
              <w:gridCol w:w="851"/>
              <w:gridCol w:w="1134"/>
              <w:gridCol w:w="708"/>
            </w:tblGrid>
            <w:tr w:rsidR="000B4BD4" w:rsidRPr="0035187E" w14:paraId="0D73A949" w14:textId="77777777" w:rsidTr="00AC3245">
              <w:trPr>
                <w:trHeight w:val="1020"/>
              </w:trPr>
              <w:tc>
                <w:tcPr>
                  <w:tcW w:w="8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D2E1AFD" w14:textId="77777777" w:rsidR="000B4BD4" w:rsidRPr="0035187E" w:rsidRDefault="000B4BD4" w:rsidP="0035187E">
                  <w:pPr>
                    <w:rPr>
                      <w:rFonts w:ascii="Times New Roman" w:hAnsi="Times New Roman" w:cs="Times New Roman"/>
                      <w:b/>
                      <w:bCs/>
                      <w:sz w:val="20"/>
                      <w:szCs w:val="20"/>
                    </w:rPr>
                  </w:pPr>
                  <w:r w:rsidRPr="0035187E">
                    <w:rPr>
                      <w:rFonts w:ascii="Times New Roman" w:hAnsi="Times New Roman" w:cs="Times New Roman"/>
                      <w:b/>
                      <w:bCs/>
                      <w:sz w:val="20"/>
                      <w:szCs w:val="20"/>
                    </w:rPr>
                    <w:lastRenderedPageBreak/>
                    <w:t>Komodita</w:t>
                  </w:r>
                </w:p>
              </w:tc>
              <w:tc>
                <w:tcPr>
                  <w:tcW w:w="85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CCE33BA" w14:textId="77777777" w:rsidR="000B4BD4" w:rsidRPr="0035187E" w:rsidRDefault="000B4BD4" w:rsidP="0035187E">
                  <w:pPr>
                    <w:rPr>
                      <w:rFonts w:ascii="Times New Roman" w:hAnsi="Times New Roman" w:cs="Times New Roman"/>
                      <w:b/>
                      <w:bCs/>
                      <w:sz w:val="20"/>
                      <w:szCs w:val="20"/>
                    </w:rPr>
                  </w:pPr>
                  <w:r w:rsidRPr="0035187E">
                    <w:rPr>
                      <w:rFonts w:ascii="Times New Roman" w:hAnsi="Times New Roman" w:cs="Times New Roman"/>
                      <w:b/>
                      <w:bCs/>
                      <w:sz w:val="20"/>
                      <w:szCs w:val="20"/>
                    </w:rPr>
                    <w:t>Roční objem trhu</w:t>
                  </w:r>
                </w:p>
              </w:tc>
              <w:tc>
                <w:tcPr>
                  <w:tcW w:w="113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DA33BEB" w14:textId="77777777" w:rsidR="000B4BD4" w:rsidRPr="0035187E" w:rsidRDefault="000B4BD4" w:rsidP="0035187E">
                  <w:pPr>
                    <w:rPr>
                      <w:rFonts w:ascii="Times New Roman" w:hAnsi="Times New Roman" w:cs="Times New Roman"/>
                      <w:b/>
                      <w:bCs/>
                      <w:sz w:val="20"/>
                      <w:szCs w:val="20"/>
                    </w:rPr>
                  </w:pPr>
                  <w:r w:rsidRPr="0035187E">
                    <w:rPr>
                      <w:rFonts w:ascii="Times New Roman" w:hAnsi="Times New Roman" w:cs="Times New Roman"/>
                      <w:b/>
                      <w:bCs/>
                      <w:sz w:val="20"/>
                      <w:szCs w:val="20"/>
                    </w:rPr>
                    <w:t>Průměrná cena (vč. 21 % DPH)</w:t>
                  </w:r>
                </w:p>
              </w:tc>
              <w:tc>
                <w:tcPr>
                  <w:tcW w:w="85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A3E5594" w14:textId="77777777" w:rsidR="000B4BD4" w:rsidRPr="0035187E" w:rsidRDefault="000B4BD4" w:rsidP="0035187E">
                  <w:pPr>
                    <w:rPr>
                      <w:rFonts w:ascii="Times New Roman" w:hAnsi="Times New Roman" w:cs="Times New Roman"/>
                      <w:b/>
                      <w:bCs/>
                      <w:sz w:val="20"/>
                      <w:szCs w:val="20"/>
                    </w:rPr>
                  </w:pPr>
                  <w:r w:rsidRPr="0035187E">
                    <w:rPr>
                      <w:rFonts w:ascii="Times New Roman" w:hAnsi="Times New Roman" w:cs="Times New Roman"/>
                      <w:b/>
                      <w:bCs/>
                      <w:sz w:val="20"/>
                      <w:szCs w:val="20"/>
                    </w:rPr>
                    <w:t>Inkaso DPH při 21 %</w:t>
                  </w:r>
                </w:p>
              </w:tc>
              <w:tc>
                <w:tcPr>
                  <w:tcW w:w="113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465D2E0" w14:textId="77777777" w:rsidR="000B4BD4" w:rsidRPr="0035187E" w:rsidRDefault="000B4BD4" w:rsidP="0035187E">
                  <w:pPr>
                    <w:rPr>
                      <w:rFonts w:ascii="Times New Roman" w:hAnsi="Times New Roman" w:cs="Times New Roman"/>
                      <w:b/>
                      <w:bCs/>
                      <w:sz w:val="20"/>
                      <w:szCs w:val="20"/>
                    </w:rPr>
                  </w:pPr>
                  <w:r w:rsidRPr="0035187E">
                    <w:rPr>
                      <w:rFonts w:ascii="Times New Roman" w:hAnsi="Times New Roman" w:cs="Times New Roman"/>
                      <w:b/>
                      <w:bCs/>
                      <w:sz w:val="20"/>
                      <w:szCs w:val="20"/>
                    </w:rPr>
                    <w:t>Inkaso při 12 %</w:t>
                  </w:r>
                </w:p>
              </w:tc>
              <w:tc>
                <w:tcPr>
                  <w:tcW w:w="70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157B97C" w14:textId="77777777" w:rsidR="000B4BD4" w:rsidRPr="0035187E" w:rsidRDefault="000B4BD4" w:rsidP="0035187E">
                  <w:pPr>
                    <w:rPr>
                      <w:rFonts w:ascii="Times New Roman" w:hAnsi="Times New Roman" w:cs="Times New Roman"/>
                      <w:b/>
                      <w:bCs/>
                      <w:sz w:val="20"/>
                      <w:szCs w:val="20"/>
                    </w:rPr>
                  </w:pPr>
                  <w:r w:rsidRPr="0035187E">
                    <w:rPr>
                      <w:rFonts w:ascii="Times New Roman" w:hAnsi="Times New Roman" w:cs="Times New Roman"/>
                      <w:b/>
                      <w:bCs/>
                      <w:sz w:val="20"/>
                      <w:szCs w:val="20"/>
                    </w:rPr>
                    <w:t>Roční rozdíl</w:t>
                  </w:r>
                </w:p>
              </w:tc>
            </w:tr>
            <w:tr w:rsidR="000B4BD4" w:rsidRPr="0035187E" w14:paraId="0CE84E7E" w14:textId="77777777" w:rsidTr="00AC3245">
              <w:trPr>
                <w:trHeight w:val="785"/>
              </w:trPr>
              <w:tc>
                <w:tcPr>
                  <w:tcW w:w="8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93203D4" w14:textId="77777777" w:rsidR="000B4BD4" w:rsidRPr="0035187E" w:rsidRDefault="000B4BD4" w:rsidP="0035187E">
                  <w:pPr>
                    <w:rPr>
                      <w:rFonts w:ascii="Times New Roman" w:hAnsi="Times New Roman" w:cs="Times New Roman"/>
                      <w:sz w:val="20"/>
                      <w:szCs w:val="20"/>
                    </w:rPr>
                  </w:pPr>
                  <w:r w:rsidRPr="0035187E">
                    <w:rPr>
                      <w:rFonts w:ascii="Times New Roman" w:hAnsi="Times New Roman" w:cs="Times New Roman"/>
                      <w:sz w:val="20"/>
                      <w:szCs w:val="20"/>
                    </w:rPr>
                    <w:t>Elektřina</w:t>
                  </w:r>
                </w:p>
              </w:tc>
              <w:tc>
                <w:tcPr>
                  <w:tcW w:w="85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EC9993B" w14:textId="77777777" w:rsidR="000B4BD4" w:rsidRPr="0035187E" w:rsidRDefault="000B4BD4" w:rsidP="0035187E">
                  <w:pPr>
                    <w:rPr>
                      <w:rFonts w:ascii="Times New Roman" w:hAnsi="Times New Roman" w:cs="Times New Roman"/>
                      <w:sz w:val="20"/>
                      <w:szCs w:val="20"/>
                    </w:rPr>
                  </w:pPr>
                  <w:r w:rsidRPr="0035187E">
                    <w:rPr>
                      <w:rFonts w:ascii="Times New Roman" w:hAnsi="Times New Roman" w:cs="Times New Roman"/>
                      <w:sz w:val="20"/>
                      <w:szCs w:val="20"/>
                    </w:rPr>
                    <w:t xml:space="preserve">~60 </w:t>
                  </w:r>
                  <w:proofErr w:type="spellStart"/>
                  <w:r w:rsidRPr="0035187E">
                    <w:rPr>
                      <w:rFonts w:ascii="Times New Roman" w:hAnsi="Times New Roman" w:cs="Times New Roman"/>
                      <w:sz w:val="20"/>
                      <w:szCs w:val="20"/>
                    </w:rPr>
                    <w:t>TWh</w:t>
                  </w:r>
                  <w:proofErr w:type="spellEnd"/>
                </w:p>
              </w:tc>
              <w:tc>
                <w:tcPr>
                  <w:tcW w:w="113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70855A3" w14:textId="77777777" w:rsidR="000B4BD4" w:rsidRPr="0035187E" w:rsidRDefault="000B4BD4" w:rsidP="0035187E">
                  <w:pPr>
                    <w:rPr>
                      <w:rFonts w:ascii="Times New Roman" w:hAnsi="Times New Roman" w:cs="Times New Roman"/>
                      <w:sz w:val="20"/>
                      <w:szCs w:val="20"/>
                    </w:rPr>
                  </w:pPr>
                  <w:r w:rsidRPr="0035187E">
                    <w:rPr>
                      <w:rFonts w:ascii="Times New Roman" w:hAnsi="Times New Roman" w:cs="Times New Roman"/>
                      <w:sz w:val="20"/>
                      <w:szCs w:val="20"/>
                    </w:rPr>
                    <w:t>~7 000 Kč/</w:t>
                  </w:r>
                  <w:proofErr w:type="spellStart"/>
                  <w:r w:rsidRPr="0035187E">
                    <w:rPr>
                      <w:rFonts w:ascii="Times New Roman" w:hAnsi="Times New Roman" w:cs="Times New Roman"/>
                      <w:sz w:val="20"/>
                      <w:szCs w:val="20"/>
                    </w:rPr>
                    <w:t>MWh</w:t>
                  </w:r>
                  <w:proofErr w:type="spellEnd"/>
                </w:p>
              </w:tc>
              <w:tc>
                <w:tcPr>
                  <w:tcW w:w="85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5CA0297" w14:textId="77777777" w:rsidR="000B4BD4" w:rsidRPr="0035187E" w:rsidRDefault="000B4BD4" w:rsidP="0035187E">
                  <w:pPr>
                    <w:rPr>
                      <w:rFonts w:ascii="Times New Roman" w:hAnsi="Times New Roman" w:cs="Times New Roman"/>
                      <w:sz w:val="20"/>
                      <w:szCs w:val="20"/>
                    </w:rPr>
                  </w:pPr>
                  <w:r w:rsidRPr="0035187E">
                    <w:rPr>
                      <w:rFonts w:ascii="Times New Roman" w:hAnsi="Times New Roman" w:cs="Times New Roman"/>
                      <w:sz w:val="20"/>
                      <w:szCs w:val="20"/>
                    </w:rPr>
                    <w:t>~72,9 mld. Kč</w:t>
                  </w:r>
                </w:p>
              </w:tc>
              <w:tc>
                <w:tcPr>
                  <w:tcW w:w="113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1D2336C" w14:textId="77777777" w:rsidR="000B4BD4" w:rsidRPr="0035187E" w:rsidRDefault="000B4BD4" w:rsidP="0035187E">
                  <w:pPr>
                    <w:rPr>
                      <w:rFonts w:ascii="Times New Roman" w:hAnsi="Times New Roman" w:cs="Times New Roman"/>
                      <w:sz w:val="20"/>
                      <w:szCs w:val="20"/>
                    </w:rPr>
                  </w:pPr>
                  <w:r w:rsidRPr="0035187E">
                    <w:rPr>
                      <w:rFonts w:ascii="Times New Roman" w:hAnsi="Times New Roman" w:cs="Times New Roman"/>
                      <w:sz w:val="20"/>
                      <w:szCs w:val="20"/>
                    </w:rPr>
                    <w:t>~41,7 mld. Kč</w:t>
                  </w:r>
                </w:p>
              </w:tc>
              <w:tc>
                <w:tcPr>
                  <w:tcW w:w="70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80B848A" w14:textId="77777777" w:rsidR="000B4BD4" w:rsidRPr="0035187E" w:rsidRDefault="000B4BD4" w:rsidP="0035187E">
                  <w:pPr>
                    <w:rPr>
                      <w:rFonts w:ascii="Times New Roman" w:hAnsi="Times New Roman" w:cs="Times New Roman"/>
                      <w:sz w:val="20"/>
                      <w:szCs w:val="20"/>
                    </w:rPr>
                  </w:pPr>
                  <w:r w:rsidRPr="0035187E">
                    <w:rPr>
                      <w:rFonts w:ascii="Times New Roman" w:hAnsi="Times New Roman" w:cs="Times New Roman"/>
                      <w:sz w:val="20"/>
                      <w:szCs w:val="20"/>
                    </w:rPr>
                    <w:t>−31,2 mld. Kč</w:t>
                  </w:r>
                </w:p>
              </w:tc>
            </w:tr>
            <w:tr w:rsidR="000B4BD4" w:rsidRPr="0035187E" w14:paraId="0DE57BB7" w14:textId="77777777" w:rsidTr="00AC3245">
              <w:trPr>
                <w:trHeight w:val="785"/>
              </w:trPr>
              <w:tc>
                <w:tcPr>
                  <w:tcW w:w="8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717FFA1" w14:textId="77777777" w:rsidR="000B4BD4" w:rsidRPr="0035187E" w:rsidRDefault="000B4BD4" w:rsidP="0035187E">
                  <w:pPr>
                    <w:rPr>
                      <w:rFonts w:ascii="Times New Roman" w:hAnsi="Times New Roman" w:cs="Times New Roman"/>
                      <w:sz w:val="20"/>
                      <w:szCs w:val="20"/>
                    </w:rPr>
                  </w:pPr>
                  <w:r w:rsidRPr="0035187E">
                    <w:rPr>
                      <w:rFonts w:ascii="Times New Roman" w:hAnsi="Times New Roman" w:cs="Times New Roman"/>
                      <w:sz w:val="20"/>
                      <w:szCs w:val="20"/>
                    </w:rPr>
                    <w:t>Dřevo a pelety</w:t>
                  </w:r>
                </w:p>
              </w:tc>
              <w:tc>
                <w:tcPr>
                  <w:tcW w:w="85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EB6A4BE" w14:textId="77777777" w:rsidR="000B4BD4" w:rsidRPr="0035187E" w:rsidRDefault="000B4BD4" w:rsidP="0035187E">
                  <w:pPr>
                    <w:rPr>
                      <w:rFonts w:ascii="Times New Roman" w:hAnsi="Times New Roman" w:cs="Times New Roman"/>
                      <w:sz w:val="20"/>
                      <w:szCs w:val="20"/>
                    </w:rPr>
                  </w:pPr>
                  <w:r w:rsidRPr="0035187E">
                    <w:rPr>
                      <w:rFonts w:ascii="Times New Roman" w:hAnsi="Times New Roman" w:cs="Times New Roman"/>
                      <w:sz w:val="20"/>
                      <w:szCs w:val="20"/>
                    </w:rPr>
                    <w:t>~10 mil. jednotek</w:t>
                  </w:r>
                </w:p>
              </w:tc>
              <w:tc>
                <w:tcPr>
                  <w:tcW w:w="113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FDB0462" w14:textId="77777777" w:rsidR="000B4BD4" w:rsidRPr="0035187E" w:rsidRDefault="000B4BD4" w:rsidP="0035187E">
                  <w:pPr>
                    <w:rPr>
                      <w:rFonts w:ascii="Times New Roman" w:hAnsi="Times New Roman" w:cs="Times New Roman"/>
                      <w:sz w:val="20"/>
                      <w:szCs w:val="20"/>
                    </w:rPr>
                  </w:pPr>
                  <w:r w:rsidRPr="0035187E">
                    <w:rPr>
                      <w:rFonts w:ascii="Times New Roman" w:hAnsi="Times New Roman" w:cs="Times New Roman"/>
                      <w:sz w:val="20"/>
                      <w:szCs w:val="20"/>
                    </w:rPr>
                    <w:t>~3 500 Kč</w:t>
                  </w:r>
                </w:p>
              </w:tc>
              <w:tc>
                <w:tcPr>
                  <w:tcW w:w="85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0440B14" w14:textId="77777777" w:rsidR="000B4BD4" w:rsidRPr="0035187E" w:rsidRDefault="000B4BD4" w:rsidP="0035187E">
                  <w:pPr>
                    <w:rPr>
                      <w:rFonts w:ascii="Times New Roman" w:hAnsi="Times New Roman" w:cs="Times New Roman"/>
                      <w:sz w:val="20"/>
                      <w:szCs w:val="20"/>
                    </w:rPr>
                  </w:pPr>
                  <w:r w:rsidRPr="0035187E">
                    <w:rPr>
                      <w:rFonts w:ascii="Times New Roman" w:hAnsi="Times New Roman" w:cs="Times New Roman"/>
                      <w:sz w:val="20"/>
                      <w:szCs w:val="20"/>
                    </w:rPr>
                    <w:t>~6,1 mld. Kč</w:t>
                  </w:r>
                </w:p>
              </w:tc>
              <w:tc>
                <w:tcPr>
                  <w:tcW w:w="113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D69D22F" w14:textId="77777777" w:rsidR="000B4BD4" w:rsidRPr="0035187E" w:rsidRDefault="000B4BD4" w:rsidP="0035187E">
                  <w:pPr>
                    <w:rPr>
                      <w:rFonts w:ascii="Times New Roman" w:hAnsi="Times New Roman" w:cs="Times New Roman"/>
                      <w:sz w:val="20"/>
                      <w:szCs w:val="20"/>
                    </w:rPr>
                  </w:pPr>
                  <w:r w:rsidRPr="0035187E">
                    <w:rPr>
                      <w:rFonts w:ascii="Times New Roman" w:hAnsi="Times New Roman" w:cs="Times New Roman"/>
                      <w:sz w:val="20"/>
                      <w:szCs w:val="20"/>
                    </w:rPr>
                    <w:t>~3,5 mld. Kč</w:t>
                  </w:r>
                </w:p>
              </w:tc>
              <w:tc>
                <w:tcPr>
                  <w:tcW w:w="70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FB13FB3" w14:textId="77777777" w:rsidR="000B4BD4" w:rsidRPr="0035187E" w:rsidRDefault="000B4BD4" w:rsidP="0035187E">
                  <w:pPr>
                    <w:rPr>
                      <w:rFonts w:ascii="Times New Roman" w:hAnsi="Times New Roman" w:cs="Times New Roman"/>
                      <w:sz w:val="20"/>
                      <w:szCs w:val="20"/>
                    </w:rPr>
                  </w:pPr>
                  <w:r w:rsidRPr="0035187E">
                    <w:rPr>
                      <w:rFonts w:ascii="Times New Roman" w:hAnsi="Times New Roman" w:cs="Times New Roman"/>
                      <w:sz w:val="20"/>
                      <w:szCs w:val="20"/>
                    </w:rPr>
                    <w:t>−2,6 mld. Kč</w:t>
                  </w:r>
                </w:p>
              </w:tc>
            </w:tr>
            <w:tr w:rsidR="000B4BD4" w:rsidRPr="0035187E" w14:paraId="4F3E9C15" w14:textId="77777777" w:rsidTr="00AC3245">
              <w:trPr>
                <w:trHeight w:val="785"/>
              </w:trPr>
              <w:tc>
                <w:tcPr>
                  <w:tcW w:w="8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7C7CC1C" w14:textId="77777777" w:rsidR="000B4BD4" w:rsidRPr="0035187E" w:rsidRDefault="000B4BD4" w:rsidP="0035187E">
                  <w:pPr>
                    <w:rPr>
                      <w:rFonts w:ascii="Times New Roman" w:hAnsi="Times New Roman" w:cs="Times New Roman"/>
                      <w:sz w:val="20"/>
                      <w:szCs w:val="20"/>
                    </w:rPr>
                  </w:pPr>
                  <w:r w:rsidRPr="0035187E">
                    <w:rPr>
                      <w:rFonts w:ascii="Times New Roman" w:hAnsi="Times New Roman" w:cs="Times New Roman"/>
                      <w:sz w:val="20"/>
                      <w:szCs w:val="20"/>
                    </w:rPr>
                    <w:t>Celkem</w:t>
                  </w:r>
                </w:p>
              </w:tc>
              <w:tc>
                <w:tcPr>
                  <w:tcW w:w="85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6EE2398" w14:textId="77777777" w:rsidR="000B4BD4" w:rsidRPr="0035187E" w:rsidRDefault="000B4BD4" w:rsidP="0035187E">
                  <w:pPr>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8D83464" w14:textId="77777777" w:rsidR="000B4BD4" w:rsidRPr="0035187E" w:rsidRDefault="000B4BD4" w:rsidP="0035187E">
                  <w:pPr>
                    <w:rPr>
                      <w:rFonts w:ascii="Times New Roman" w:hAnsi="Times New Roman" w:cs="Times New Roman"/>
                      <w:sz w:val="20"/>
                      <w:szCs w:val="20"/>
                    </w:rPr>
                  </w:pPr>
                </w:p>
              </w:tc>
              <w:tc>
                <w:tcPr>
                  <w:tcW w:w="85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95EC6AF" w14:textId="77777777" w:rsidR="000B4BD4" w:rsidRPr="0035187E" w:rsidRDefault="000B4BD4" w:rsidP="0035187E">
                  <w:pPr>
                    <w:rPr>
                      <w:rFonts w:ascii="Times New Roman" w:hAnsi="Times New Roman" w:cs="Times New Roman"/>
                      <w:sz w:val="20"/>
                      <w:szCs w:val="20"/>
                    </w:rPr>
                  </w:pPr>
                  <w:r w:rsidRPr="0035187E">
                    <w:rPr>
                      <w:rFonts w:ascii="Times New Roman" w:hAnsi="Times New Roman" w:cs="Times New Roman"/>
                      <w:sz w:val="20"/>
                      <w:szCs w:val="20"/>
                    </w:rPr>
                    <w:t>~79,0 mld. Kč</w:t>
                  </w:r>
                </w:p>
              </w:tc>
              <w:tc>
                <w:tcPr>
                  <w:tcW w:w="113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3F8DFD8" w14:textId="77777777" w:rsidR="000B4BD4" w:rsidRPr="0035187E" w:rsidRDefault="000B4BD4" w:rsidP="0035187E">
                  <w:pPr>
                    <w:rPr>
                      <w:rFonts w:ascii="Times New Roman" w:hAnsi="Times New Roman" w:cs="Times New Roman"/>
                      <w:sz w:val="20"/>
                      <w:szCs w:val="20"/>
                    </w:rPr>
                  </w:pPr>
                  <w:r w:rsidRPr="0035187E">
                    <w:rPr>
                      <w:rFonts w:ascii="Times New Roman" w:hAnsi="Times New Roman" w:cs="Times New Roman"/>
                      <w:sz w:val="20"/>
                      <w:szCs w:val="20"/>
                    </w:rPr>
                    <w:t>~45,2 mld. Kč</w:t>
                  </w:r>
                </w:p>
              </w:tc>
              <w:tc>
                <w:tcPr>
                  <w:tcW w:w="70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DB04B1E" w14:textId="77777777" w:rsidR="000B4BD4" w:rsidRPr="0035187E" w:rsidRDefault="000B4BD4" w:rsidP="0035187E">
                  <w:pPr>
                    <w:rPr>
                      <w:rFonts w:ascii="Times New Roman" w:hAnsi="Times New Roman" w:cs="Times New Roman"/>
                      <w:sz w:val="20"/>
                      <w:szCs w:val="20"/>
                    </w:rPr>
                  </w:pPr>
                  <w:r w:rsidRPr="0035187E">
                    <w:rPr>
                      <w:rFonts w:ascii="Times New Roman" w:hAnsi="Times New Roman" w:cs="Times New Roman"/>
                      <w:sz w:val="20"/>
                      <w:szCs w:val="20"/>
                    </w:rPr>
                    <w:t>−33,8 mld. Kč</w:t>
                  </w:r>
                </w:p>
              </w:tc>
            </w:tr>
          </w:tbl>
          <w:p w14:paraId="2FF6B7D5" w14:textId="77777777" w:rsidR="000B4BD4" w:rsidRPr="0035187E" w:rsidRDefault="000B4BD4" w:rsidP="0035187E">
            <w:pPr>
              <w:jc w:val="both"/>
              <w:rPr>
                <w:rFonts w:ascii="Times New Roman" w:hAnsi="Times New Roman" w:cs="Times New Roman"/>
                <w:sz w:val="20"/>
                <w:szCs w:val="20"/>
              </w:rPr>
            </w:pPr>
          </w:p>
          <w:p w14:paraId="26F736EE"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Uvedený odhad představuje hrubý fiskální dopad. U dodávek elektřiny je významná část spotřeby realizována podniky, které jsou plátci DPH a uplatňují nárok na odpočet daně. U těchto subjektů je dopad na veřejné rozpočty neutrální. Reálný čistý dopad na státní rozpočet, který se týká především domácností a neplátců DPH, se proto odhaduje přibližně na 18 až 22 miliard Kč ročně.</w:t>
            </w:r>
          </w:p>
          <w:p w14:paraId="7503060D"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S ohledem na fiskální dopady lze současně zvážit časově omezené uplatnění snížené sazby, například do roku 2030, což by umožnilo vyhodnotit ekonomické a sociální dopady opatření a zároveň reagovat na vývoj cen energií a energetické transformace.</w:t>
            </w:r>
          </w:p>
          <w:p w14:paraId="3286CE0B" w14:textId="100C066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Navrhované opatření tak představuje relativně jednoduchý a administrativně nenáročný nástroj, který může přispět ke stabilizaci výdajů domácností na energie, podpoře využívání obnovitelných zdrojů energie a posilování energetické bezpečnosti České republiky.</w:t>
            </w:r>
          </w:p>
        </w:tc>
        <w:tc>
          <w:tcPr>
            <w:tcW w:w="1453" w:type="pct"/>
            <w:tcBorders>
              <w:top w:val="single" w:sz="4" w:space="0" w:color="auto"/>
              <w:left w:val="single" w:sz="4" w:space="0" w:color="auto"/>
              <w:bottom w:val="single" w:sz="4" w:space="0" w:color="auto"/>
              <w:right w:val="single" w:sz="4" w:space="0" w:color="auto"/>
            </w:tcBorders>
            <w:shd w:val="clear" w:color="auto" w:fill="auto"/>
          </w:tcPr>
          <w:p w14:paraId="7D370B09"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Nevyhověno.</w:t>
            </w:r>
          </w:p>
          <w:p w14:paraId="789B4EF0" w14:textId="43AF4DD5"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Viz vypořádání u první připomínky.</w:t>
            </w:r>
          </w:p>
        </w:tc>
      </w:tr>
      <w:tr w:rsidR="0035187E" w:rsidRPr="0035187E" w14:paraId="16BB7DD4" w14:textId="77777777" w:rsidTr="0035187E">
        <w:trPr>
          <w:trHeight w:val="513"/>
        </w:trPr>
        <w:tc>
          <w:tcPr>
            <w:tcW w:w="227" w:type="pct"/>
            <w:tcBorders>
              <w:top w:val="single" w:sz="4" w:space="0" w:color="auto"/>
              <w:left w:val="single" w:sz="4" w:space="0" w:color="auto"/>
              <w:right w:val="single" w:sz="4" w:space="0" w:color="auto"/>
            </w:tcBorders>
            <w:shd w:val="clear" w:color="auto" w:fill="auto"/>
          </w:tcPr>
          <w:p w14:paraId="4D85E21B" w14:textId="56CE7AD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156.</w:t>
            </w:r>
          </w:p>
        </w:tc>
        <w:tc>
          <w:tcPr>
            <w:tcW w:w="583" w:type="pct"/>
            <w:tcBorders>
              <w:top w:val="single" w:sz="4" w:space="0" w:color="auto"/>
              <w:left w:val="single" w:sz="4" w:space="0" w:color="auto"/>
              <w:right w:val="single" w:sz="4" w:space="0" w:color="auto"/>
            </w:tcBorders>
            <w:shd w:val="clear" w:color="auto" w:fill="auto"/>
          </w:tcPr>
          <w:p w14:paraId="244005F2" w14:textId="1820D28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Komora obnovitelných zdrojů energie</w:t>
            </w:r>
          </w:p>
        </w:tc>
        <w:tc>
          <w:tcPr>
            <w:tcW w:w="168" w:type="pct"/>
            <w:tcBorders>
              <w:top w:val="single" w:sz="4" w:space="0" w:color="auto"/>
              <w:left w:val="single" w:sz="4" w:space="0" w:color="auto"/>
              <w:right w:val="single" w:sz="4" w:space="0" w:color="auto"/>
            </w:tcBorders>
            <w:shd w:val="clear" w:color="auto" w:fill="auto"/>
          </w:tcPr>
          <w:p w14:paraId="4730CA1D" w14:textId="3E398A5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6.</w:t>
            </w:r>
          </w:p>
        </w:tc>
        <w:tc>
          <w:tcPr>
            <w:tcW w:w="169" w:type="pct"/>
            <w:tcBorders>
              <w:top w:val="single" w:sz="4" w:space="0" w:color="auto"/>
              <w:left w:val="single" w:sz="4" w:space="0" w:color="auto"/>
              <w:right w:val="single" w:sz="4" w:space="0" w:color="auto"/>
            </w:tcBorders>
            <w:shd w:val="clear" w:color="auto" w:fill="auto"/>
          </w:tcPr>
          <w:p w14:paraId="35C69307" w14:textId="407D0AC4"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812CEE8" w14:textId="77777777" w:rsidR="000B4BD4" w:rsidRPr="0035187E" w:rsidRDefault="000B4BD4" w:rsidP="0035187E">
            <w:pPr>
              <w:rPr>
                <w:rFonts w:ascii="Times New Roman" w:hAnsi="Times New Roman" w:cs="Times New Roman"/>
                <w:b/>
                <w:bCs/>
                <w:sz w:val="20"/>
                <w:szCs w:val="20"/>
              </w:rPr>
            </w:pPr>
            <w:r w:rsidRPr="0035187E">
              <w:rPr>
                <w:rFonts w:ascii="Times New Roman" w:hAnsi="Times New Roman" w:cs="Times New Roman"/>
                <w:b/>
                <w:bCs/>
                <w:sz w:val="20"/>
                <w:szCs w:val="20"/>
              </w:rPr>
              <w:t>Za část třetí doplnit novou část čtyři – novela zákona o stabilizaci veřejných rozpočtů</w:t>
            </w:r>
          </w:p>
          <w:p w14:paraId="24985B9F" w14:textId="77777777" w:rsidR="000B4BD4" w:rsidRPr="0035187E" w:rsidRDefault="000B4BD4" w:rsidP="0035187E">
            <w:pPr>
              <w:rPr>
                <w:rFonts w:ascii="Times New Roman" w:hAnsi="Times New Roman" w:cs="Times New Roman"/>
                <w:sz w:val="20"/>
                <w:szCs w:val="20"/>
                <w:u w:val="single"/>
              </w:rPr>
            </w:pPr>
            <w:r w:rsidRPr="0035187E">
              <w:rPr>
                <w:rFonts w:ascii="Times New Roman" w:hAnsi="Times New Roman" w:cs="Times New Roman"/>
                <w:sz w:val="20"/>
                <w:szCs w:val="20"/>
                <w:u w:val="single"/>
              </w:rPr>
              <w:t>Připomínka:</w:t>
            </w:r>
          </w:p>
          <w:p w14:paraId="03FFA53A" w14:textId="77777777" w:rsidR="000B4BD4" w:rsidRPr="0035187E" w:rsidRDefault="000B4BD4" w:rsidP="0035187E">
            <w:pPr>
              <w:rPr>
                <w:rFonts w:ascii="Times New Roman" w:hAnsi="Times New Roman" w:cs="Times New Roman"/>
                <w:sz w:val="20"/>
                <w:szCs w:val="20"/>
              </w:rPr>
            </w:pPr>
            <w:r w:rsidRPr="0035187E">
              <w:rPr>
                <w:rFonts w:ascii="Times New Roman" w:hAnsi="Times New Roman" w:cs="Times New Roman"/>
                <w:sz w:val="20"/>
                <w:szCs w:val="20"/>
              </w:rPr>
              <w:t xml:space="preserve">Navrhujeme doplnit návrh zákona o novou část, která novelizuje zákon č. 261/2007 Sb., o stabilizaci veřejných rozpočtů, konkrétně o úpravu § 8 části čtyřicáté sedmé, aby bylo jednoznačně zajištěno, že osvobození od daně z elektřiny z OZE určenou pro vlastní spotřebu v </w:t>
            </w:r>
            <w:proofErr w:type="spellStart"/>
            <w:r w:rsidRPr="0035187E">
              <w:rPr>
                <w:rFonts w:ascii="Times New Roman" w:hAnsi="Times New Roman" w:cs="Times New Roman"/>
                <w:sz w:val="20"/>
                <w:szCs w:val="20"/>
              </w:rPr>
              <w:t>navaznosti</w:t>
            </w:r>
            <w:proofErr w:type="spellEnd"/>
            <w:r w:rsidRPr="0035187E">
              <w:rPr>
                <w:rFonts w:ascii="Times New Roman" w:hAnsi="Times New Roman" w:cs="Times New Roman"/>
                <w:sz w:val="20"/>
                <w:szCs w:val="20"/>
              </w:rPr>
              <w:t xml:space="preserve"> na změny přijaté v energetickém a stavebním zákonu.</w:t>
            </w:r>
          </w:p>
          <w:p w14:paraId="017259F9" w14:textId="77777777" w:rsidR="000B4BD4" w:rsidRPr="0035187E" w:rsidRDefault="000B4BD4" w:rsidP="0035187E">
            <w:pPr>
              <w:rPr>
                <w:rFonts w:ascii="Times New Roman" w:hAnsi="Times New Roman" w:cs="Times New Roman"/>
                <w:sz w:val="20"/>
                <w:szCs w:val="20"/>
              </w:rPr>
            </w:pPr>
            <w:r w:rsidRPr="0035187E">
              <w:rPr>
                <w:rFonts w:ascii="Times New Roman" w:hAnsi="Times New Roman" w:cs="Times New Roman"/>
                <w:sz w:val="20"/>
                <w:szCs w:val="20"/>
              </w:rPr>
              <w:t>Konkrétně navrhujeme následující znění:</w:t>
            </w:r>
          </w:p>
          <w:p w14:paraId="1AF245E7"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Za část třetí se vkládá nová část čtvrtá, která zní:</w:t>
            </w:r>
          </w:p>
          <w:p w14:paraId="5B707B58"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 </w:t>
            </w:r>
          </w:p>
          <w:p w14:paraId="0538CECE" w14:textId="7777777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w:t>
            </w:r>
            <w:r w:rsidRPr="0035187E">
              <w:rPr>
                <w:rFonts w:ascii="Times New Roman" w:hAnsi="Times New Roman" w:cs="Times New Roman"/>
                <w:b/>
                <w:bCs/>
                <w:sz w:val="20"/>
                <w:szCs w:val="20"/>
              </w:rPr>
              <w:t>ČÁST TŘETÍ</w:t>
            </w:r>
          </w:p>
          <w:p w14:paraId="6F6258F3" w14:textId="7777777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b/>
                <w:bCs/>
                <w:sz w:val="20"/>
                <w:szCs w:val="20"/>
              </w:rPr>
              <w:t>Změna zákona o stabilizaci veřejných rozpočtů</w:t>
            </w:r>
            <w:r w:rsidRPr="0035187E">
              <w:rPr>
                <w:rFonts w:ascii="Times New Roman" w:hAnsi="Times New Roman" w:cs="Times New Roman"/>
                <w:sz w:val="20"/>
                <w:szCs w:val="20"/>
              </w:rPr>
              <w:t xml:space="preserve"> </w:t>
            </w:r>
          </w:p>
          <w:p w14:paraId="2AFB513F" w14:textId="7777777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 35</w:t>
            </w:r>
          </w:p>
          <w:p w14:paraId="0668B82E" w14:textId="77777777" w:rsidR="000B4BD4" w:rsidRPr="0035187E" w:rsidRDefault="000B4BD4" w:rsidP="0035187E">
            <w:pPr>
              <w:ind w:firstLine="700"/>
              <w:jc w:val="both"/>
              <w:rPr>
                <w:rFonts w:ascii="Times New Roman" w:hAnsi="Times New Roman" w:cs="Times New Roman"/>
                <w:sz w:val="20"/>
                <w:szCs w:val="20"/>
              </w:rPr>
            </w:pPr>
            <w:r w:rsidRPr="0035187E">
              <w:rPr>
                <w:rFonts w:ascii="Times New Roman" w:hAnsi="Times New Roman" w:cs="Times New Roman"/>
                <w:sz w:val="20"/>
                <w:szCs w:val="20"/>
              </w:rPr>
              <w:t>Zákon č. 261/2007 Sb., o stabilizaci veřejných rozpočtů, ve znění zákona č. 2/2009 Sb., zákona č. 206/2009 Sb., zákona č. 281/2009 Sb., zákona č. 282/2009 Sb., zákona č. 292/2009 Sb., zákona č. 199/2010 Sb., zákona č. 329/2011 Sb., zákona č. 366/2011 Sb., zákona č. 420/2011 Sb., zákona č. 167/2012 Sb., zákona č. 463/2012 Sb., zákona č. 313/2013 Sb., zákonného opatření Senátu č. 340/2013 Sb., zákonného opatření Senátu č. 344/2013 Sb., zákona č. 182/2014 Sb., zákona č. 234/2014 Sb., zákona č. 331/2014 Sb., zákona č. 131/2015 Sb., zákona č. 382/2015 Sb., zákona č. 298/2016 Sb., zákona č. 183/2017 Sb., zákona č. 349/2023 Sb., zákona č. 469/2023 Sb., zákona č. 265/2024 Sb., zákona č. 462/2024 Sb. a zákona č. 87/2025 Sb., se mění takto:</w:t>
            </w:r>
          </w:p>
          <w:p w14:paraId="7A6E6B77"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1. V části čtyřicáté sedmé čl. LXXIV § 8 odst. 1 písm. a) bodu 2 se číslo „50“ nahrazuje číslem „100“.</w:t>
            </w:r>
          </w:p>
          <w:p w14:paraId="791D9B41"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2. V části čtyřicáté sedmé čl. LXXIV § 8 odst. 1 se na konci písmene c) tečka nahrazuje čárkou a vkládá se písmeno d), které zní:</w:t>
            </w:r>
          </w:p>
          <w:p w14:paraId="7FDA0385"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„d) odebraná z přenosové soustavy nebo distribuční soustavy pro ukládání elektřiny a zpětně dodaná do přenosové soustavy nebo distribuční soustavy ze zařízení pro ukládání elektřiny, a to v rozsahu množství elektřiny určeného Elektroenergetickým datovým centrem při zohledňování ukládání elektřiny podle energetického zákona.“.</w:t>
            </w:r>
          </w:p>
          <w:p w14:paraId="69C60FB5" w14:textId="77777777" w:rsidR="000B4BD4" w:rsidRPr="0035187E" w:rsidRDefault="000B4BD4" w:rsidP="0035187E">
            <w:pPr>
              <w:jc w:val="both"/>
              <w:rPr>
                <w:rFonts w:ascii="Times New Roman" w:hAnsi="Times New Roman" w:cs="Times New Roman"/>
                <w:sz w:val="20"/>
                <w:szCs w:val="20"/>
              </w:rPr>
            </w:pPr>
          </w:p>
          <w:p w14:paraId="6E557F79" w14:textId="77777777"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 36</w:t>
            </w:r>
          </w:p>
          <w:p w14:paraId="6108344C" w14:textId="77777777" w:rsidR="000B4BD4" w:rsidRPr="0035187E" w:rsidRDefault="000B4BD4" w:rsidP="0035187E">
            <w:pPr>
              <w:jc w:val="center"/>
              <w:rPr>
                <w:rFonts w:ascii="Times New Roman" w:hAnsi="Times New Roman" w:cs="Times New Roman"/>
                <w:b/>
                <w:bCs/>
                <w:sz w:val="20"/>
                <w:szCs w:val="20"/>
              </w:rPr>
            </w:pPr>
            <w:r w:rsidRPr="0035187E">
              <w:rPr>
                <w:rFonts w:ascii="Times New Roman" w:hAnsi="Times New Roman" w:cs="Times New Roman"/>
                <w:b/>
                <w:bCs/>
                <w:sz w:val="20"/>
                <w:szCs w:val="20"/>
              </w:rPr>
              <w:t>Přechodné ustanovení</w:t>
            </w:r>
          </w:p>
          <w:p w14:paraId="12CB44D1"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V období ode dne nabytí účinnosti tohoto zákona do 31. července 2026 se osvobození od daně podle čl. LXXIV § 8 odst. 1 písm. d) zákona č. 261/2007 Sb., ve znění účinném ode dne nabytí účinnosti tohoto zákona, vztahuje na elektřinu odebranou z přenosové soustavy nebo distribuční soustavy pro ukládání elektřiny a zpětně dodanou do přenosové soustavy nebo distribuční soustavy ze zařízení pro ukládání elektřiny v rozsahu množství elektřiny určeného provozovatelem přenosové soustavy nebo provozovatelem distribuční soustavy podle čl. XII bodu 1 zákona č. 87/2025 Sb.“.</w:t>
            </w:r>
          </w:p>
          <w:p w14:paraId="1B1BCD69"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Ostatní body se přečíslují.</w:t>
            </w:r>
          </w:p>
          <w:p w14:paraId="14A3F390" w14:textId="77777777" w:rsidR="000B4BD4" w:rsidRPr="0035187E" w:rsidRDefault="000B4BD4" w:rsidP="0035187E">
            <w:pPr>
              <w:jc w:val="both"/>
              <w:rPr>
                <w:rFonts w:ascii="Times New Roman" w:hAnsi="Times New Roman" w:cs="Times New Roman"/>
                <w:sz w:val="20"/>
                <w:szCs w:val="20"/>
              </w:rPr>
            </w:pPr>
          </w:p>
          <w:p w14:paraId="70C39A8D" w14:textId="77777777" w:rsidR="000B4BD4" w:rsidRPr="0035187E" w:rsidRDefault="000B4BD4" w:rsidP="0035187E">
            <w:pPr>
              <w:rPr>
                <w:rFonts w:ascii="Times New Roman" w:hAnsi="Times New Roman" w:cs="Times New Roman"/>
                <w:sz w:val="20"/>
                <w:szCs w:val="20"/>
                <w:u w:val="single"/>
              </w:rPr>
            </w:pPr>
            <w:r w:rsidRPr="0035187E">
              <w:rPr>
                <w:rFonts w:ascii="Times New Roman" w:hAnsi="Times New Roman" w:cs="Times New Roman"/>
                <w:sz w:val="20"/>
                <w:szCs w:val="20"/>
                <w:u w:val="single"/>
              </w:rPr>
              <w:t>Odůvodnění:</w:t>
            </w:r>
          </w:p>
          <w:p w14:paraId="1B0CF8C1"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Navrhovaná úprava směřuje ke zvýšení hranice instalovaného výkonu pro osvobození od daně z elektřiny u elektřiny vyrobené z obnovitelných zdrojů energie a spotřebované výrobcem ze současných 50 kW na 100 kW a k současnému doplnění právní úpravy tak, aby bylo zamezeno dvojímu zdanění elektřiny v případě jejího ukládání a následného zpětného dodání do přenosové nebo distribuční soustavy.</w:t>
            </w:r>
          </w:p>
          <w:p w14:paraId="5BAFBC62"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Zvýšení limitu na 100 kW reflektuje aktuální vývoj v oblasti stavebního práva, zejména přílohu č. 1 stavebního zákona, podle níž jsou stavby pro výrobu energie z obnovitelných zdrojů do 100 kW považovány za drobné stavby, a obdobně i stavební úpravy instalací využívajících obnovitelné zdroje energie do tohoto výkonu. Pokud právní úprava stavebního práva vyhodnotila zdroje do 100 kW jako nízkorizikové stavby nevyžadující složité povolovací procesy, není věcný důvod, aby daňová úprava pro tyto zdroje v rozmezí 50–100 kW ukládala dodatečné povinnosti v podobě registrace k dani a daňového výkaznictví. </w:t>
            </w:r>
            <w:r w:rsidRPr="0035187E">
              <w:rPr>
                <w:rFonts w:ascii="Times New Roman" w:hAnsi="Times New Roman" w:cs="Times New Roman"/>
                <w:sz w:val="20"/>
                <w:szCs w:val="20"/>
              </w:rPr>
              <w:lastRenderedPageBreak/>
              <w:t>Navrhovaná úprava tak sjednocuje daňový režim s přístupem stavebního práva a odstraňuje nesoulad v právním řádu.</w:t>
            </w:r>
          </w:p>
          <w:p w14:paraId="7FDAE53F"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Obdobně je tomu i v případě energetického zákona, který v § 3 odst. 2 vymezuje výrobu elektřiny z obnovitelných zdrojů jako činnost ve veřejném zájmu od instalovaného výkonu 100 kW a více. Tím zákonodárce jasně odlišil zdroje lokálního významu, sloužící primárně pro vlastní spotřebu, od zdrojů systémového významu. Zdanění elektřiny spotřebované v rámci vlastního provozu nebo sdílené u zdrojů, které energetický zákon nepovažuje za zdroje veřejného zájmu, postrádá fiskální i regulační opodstatnění. Navrhovaná úprava tento princip promítá do daňového režimu.</w:t>
            </w:r>
          </w:p>
          <w:p w14:paraId="0B99A670"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Významným cílem navrhované úpravy je rovněž snížení administrativní zátěže pro domácnosti a malé a střední podniky. Povinnost registrace, měření a podávání daňových přiznání u malých zdrojů v rozsahu jednotek až desítek </w:t>
            </w:r>
            <w:proofErr w:type="spellStart"/>
            <w:r w:rsidRPr="0035187E">
              <w:rPr>
                <w:rFonts w:ascii="Times New Roman" w:hAnsi="Times New Roman" w:cs="Times New Roman"/>
                <w:sz w:val="20"/>
                <w:szCs w:val="20"/>
              </w:rPr>
              <w:t>MWh</w:t>
            </w:r>
            <w:proofErr w:type="spellEnd"/>
            <w:r w:rsidRPr="0035187E">
              <w:rPr>
                <w:rFonts w:ascii="Times New Roman" w:hAnsi="Times New Roman" w:cs="Times New Roman"/>
                <w:sz w:val="20"/>
                <w:szCs w:val="20"/>
              </w:rPr>
              <w:t xml:space="preserve"> ročně představuje v řadě případů náklad, který převyšuje samotnou daňovou povinnost. Současně i z pohledu správy daně se jedná o neefektivní režim, kdy náklady na evidenci a kontrolu těchto subjektů neodpovídají výši inkasa. Zvýšení limitu na 100 kW a zpřesnění rozsahu osvobození umožní těmto subjektům plně využít potenciál decentralizované energetiky bez neúměrné administrativní zátěže.</w:t>
            </w:r>
          </w:p>
          <w:p w14:paraId="1E033AE1" w14:textId="2092D69B"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Dopad na státní rozpočet se předpokládá jako zanedbatelný. Sazba daně z elektřiny činí 28,30 Kč/</w:t>
            </w:r>
            <w:proofErr w:type="spellStart"/>
            <w:r w:rsidRPr="0035187E">
              <w:rPr>
                <w:rFonts w:ascii="Times New Roman" w:hAnsi="Times New Roman" w:cs="Times New Roman"/>
                <w:sz w:val="20"/>
                <w:szCs w:val="20"/>
              </w:rPr>
              <w:t>MWh</w:t>
            </w:r>
            <w:proofErr w:type="spellEnd"/>
            <w:r w:rsidRPr="0035187E">
              <w:rPr>
                <w:rFonts w:ascii="Times New Roman" w:hAnsi="Times New Roman" w:cs="Times New Roman"/>
                <w:sz w:val="20"/>
                <w:szCs w:val="20"/>
              </w:rPr>
              <w:t xml:space="preserve"> a u zdrojů v rozmezí 50–100 kW se roční výroba a spotřeba pohybuje zpravidla v řádu jednotek až desítek </w:t>
            </w:r>
            <w:proofErr w:type="spellStart"/>
            <w:r w:rsidRPr="0035187E">
              <w:rPr>
                <w:rFonts w:ascii="Times New Roman" w:hAnsi="Times New Roman" w:cs="Times New Roman"/>
                <w:sz w:val="20"/>
                <w:szCs w:val="20"/>
              </w:rPr>
              <w:t>MWh</w:t>
            </w:r>
            <w:proofErr w:type="spellEnd"/>
            <w:r w:rsidRPr="0035187E">
              <w:rPr>
                <w:rFonts w:ascii="Times New Roman" w:hAnsi="Times New Roman" w:cs="Times New Roman"/>
                <w:sz w:val="20"/>
                <w:szCs w:val="20"/>
              </w:rPr>
              <w:t>. Roční daňový dopad na jeden zdroj se tak pohybuje v řádu nižších tisíců korun. Celkový výpadek inkasa je tedy marginální, zejména ve srovnání s pozitivními dopady na investice do energetické soběstačnosti a snížení administrativní zátěže.</w:t>
            </w:r>
          </w:p>
        </w:tc>
        <w:tc>
          <w:tcPr>
            <w:tcW w:w="1453" w:type="pct"/>
            <w:tcBorders>
              <w:top w:val="single" w:sz="4" w:space="0" w:color="auto"/>
              <w:left w:val="single" w:sz="4" w:space="0" w:color="auto"/>
              <w:bottom w:val="single" w:sz="4" w:space="0" w:color="auto"/>
              <w:right w:val="single" w:sz="4" w:space="0" w:color="auto"/>
            </w:tcBorders>
            <w:shd w:val="clear" w:color="auto" w:fill="auto"/>
          </w:tcPr>
          <w:p w14:paraId="230D7C47" w14:textId="77777777" w:rsidR="000B4BD4" w:rsidRPr="0035187E" w:rsidRDefault="000B4BD4"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Nevyhověno.</w:t>
            </w:r>
          </w:p>
          <w:p w14:paraId="7CF67A37" w14:textId="57656B0F"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Viz vypořádání u první připomínky.</w:t>
            </w:r>
          </w:p>
        </w:tc>
      </w:tr>
      <w:tr w:rsidR="0035187E" w:rsidRPr="0035187E" w14:paraId="1D9276D8" w14:textId="77777777" w:rsidTr="0035187E">
        <w:trPr>
          <w:trHeight w:val="513"/>
        </w:trPr>
        <w:tc>
          <w:tcPr>
            <w:tcW w:w="227" w:type="pct"/>
            <w:tcBorders>
              <w:top w:val="single" w:sz="4" w:space="0" w:color="auto"/>
              <w:left w:val="single" w:sz="4" w:space="0" w:color="auto"/>
              <w:bottom w:val="single" w:sz="4" w:space="0" w:color="auto"/>
              <w:right w:val="single" w:sz="4" w:space="0" w:color="auto"/>
            </w:tcBorders>
            <w:shd w:val="clear" w:color="auto" w:fill="auto"/>
          </w:tcPr>
          <w:p w14:paraId="0D4A744F" w14:textId="2DD9FEE6"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lastRenderedPageBreak/>
              <w:t>157.</w:t>
            </w:r>
          </w:p>
        </w:tc>
        <w:tc>
          <w:tcPr>
            <w:tcW w:w="583" w:type="pct"/>
            <w:tcBorders>
              <w:top w:val="single" w:sz="4" w:space="0" w:color="auto"/>
              <w:left w:val="single" w:sz="4" w:space="0" w:color="auto"/>
              <w:bottom w:val="single" w:sz="4" w:space="0" w:color="auto"/>
              <w:right w:val="single" w:sz="4" w:space="0" w:color="auto"/>
            </w:tcBorders>
            <w:shd w:val="clear" w:color="auto" w:fill="auto"/>
          </w:tcPr>
          <w:p w14:paraId="7C5CABD9" w14:textId="23EFEF3A"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Sto skupin, z. s.</w:t>
            </w:r>
          </w:p>
        </w:tc>
        <w:tc>
          <w:tcPr>
            <w:tcW w:w="168" w:type="pct"/>
            <w:tcBorders>
              <w:top w:val="single" w:sz="4" w:space="0" w:color="auto"/>
              <w:left w:val="single" w:sz="4" w:space="0" w:color="auto"/>
              <w:bottom w:val="single" w:sz="4" w:space="0" w:color="auto"/>
              <w:right w:val="single" w:sz="4" w:space="0" w:color="auto"/>
            </w:tcBorders>
            <w:shd w:val="clear" w:color="auto" w:fill="auto"/>
          </w:tcPr>
          <w:p w14:paraId="0A39AA08" w14:textId="46B95285"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613CB4AB" w14:textId="4E9F98F9"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Z</w:t>
            </w: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1190874C" w14:textId="77777777" w:rsidR="000B4BD4" w:rsidRPr="0035187E" w:rsidRDefault="000B4BD4" w:rsidP="0035187E">
            <w:pPr>
              <w:pBdr>
                <w:top w:val="nil"/>
                <w:left w:val="nil"/>
                <w:bottom w:val="nil"/>
                <w:right w:val="nil"/>
                <w:between w:val="nil"/>
              </w:pBdr>
              <w:jc w:val="both"/>
              <w:rPr>
                <w:rFonts w:ascii="Times New Roman" w:hAnsi="Times New Roman" w:cs="Times New Roman"/>
                <w:b/>
                <w:bCs/>
                <w:sz w:val="20"/>
                <w:szCs w:val="20"/>
              </w:rPr>
            </w:pPr>
            <w:r w:rsidRPr="0035187E">
              <w:rPr>
                <w:rFonts w:ascii="Times New Roman" w:hAnsi="Times New Roman" w:cs="Times New Roman"/>
                <w:b/>
                <w:bCs/>
                <w:sz w:val="20"/>
                <w:szCs w:val="20"/>
              </w:rPr>
              <w:t xml:space="preserve">K § 35ba odst. 3 </w:t>
            </w:r>
          </w:p>
          <w:p w14:paraId="70A31891"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Navrhujeme § 35ba odst. 3 upravit takto: “Poplatník může uplatnit slevu na dani podle odstavce 1 písm. b) až </w:t>
            </w:r>
            <w:r w:rsidRPr="0035187E">
              <w:rPr>
                <w:rFonts w:ascii="Times New Roman" w:hAnsi="Times New Roman" w:cs="Times New Roman"/>
                <w:strike/>
                <w:sz w:val="20"/>
                <w:szCs w:val="20"/>
              </w:rPr>
              <w:t>f)</w:t>
            </w:r>
            <w:r w:rsidRPr="0035187E">
              <w:rPr>
                <w:rFonts w:ascii="Times New Roman" w:hAnsi="Times New Roman" w:cs="Times New Roman"/>
                <w:sz w:val="20"/>
                <w:szCs w:val="20"/>
              </w:rPr>
              <w:t xml:space="preserve"> </w:t>
            </w:r>
            <w:r w:rsidRPr="0035187E">
              <w:rPr>
                <w:rFonts w:ascii="Times New Roman" w:hAnsi="Times New Roman" w:cs="Times New Roman"/>
                <w:b/>
                <w:bCs/>
                <w:sz w:val="20"/>
                <w:szCs w:val="20"/>
              </w:rPr>
              <w:t>g)</w:t>
            </w:r>
            <w:r w:rsidRPr="0035187E">
              <w:rPr>
                <w:rFonts w:ascii="Times New Roman" w:hAnsi="Times New Roman" w:cs="Times New Roman"/>
                <w:sz w:val="20"/>
                <w:szCs w:val="20"/>
              </w:rPr>
              <w:t xml:space="preserve"> o částku ve výši jedné dvanáctiny za každý kalendářní měsíc, na jehož počátku byly podmínky pro uplatnění nároku na snížení daně splněny. “</w:t>
            </w:r>
            <w:r w:rsidRPr="0035187E">
              <w:rPr>
                <w:rFonts w:ascii="Times New Roman" w:hAnsi="Times New Roman" w:cs="Times New Roman"/>
                <w:sz w:val="20"/>
                <w:szCs w:val="20"/>
              </w:rPr>
              <w:br/>
              <w:t>Tzn. smyslem změny je umožnění čerpat slevu na dani za každý kalendářní měsíc i v případě nově zaváděné slevy za umístění dítěte podle §35bd.</w:t>
            </w:r>
          </w:p>
          <w:p w14:paraId="3BF26817" w14:textId="77777777" w:rsidR="000B4BD4" w:rsidRPr="0035187E" w:rsidRDefault="000B4BD4" w:rsidP="0035187E">
            <w:pPr>
              <w:rPr>
                <w:rFonts w:ascii="Times New Roman" w:hAnsi="Times New Roman" w:cs="Times New Roman"/>
                <w:b/>
                <w:bCs/>
                <w:sz w:val="20"/>
                <w:szCs w:val="20"/>
              </w:rPr>
            </w:pPr>
            <w:r w:rsidRPr="0035187E">
              <w:rPr>
                <w:rFonts w:ascii="Times New Roman" w:hAnsi="Times New Roman" w:cs="Times New Roman"/>
                <w:b/>
                <w:bCs/>
                <w:sz w:val="20"/>
                <w:szCs w:val="20"/>
              </w:rPr>
              <w:t>Tato připomínka je zásadní.</w:t>
            </w:r>
          </w:p>
          <w:p w14:paraId="5D90061B" w14:textId="77777777" w:rsidR="000B4BD4" w:rsidRPr="0035187E" w:rsidRDefault="000B4BD4" w:rsidP="0035187E">
            <w:pPr>
              <w:jc w:val="both"/>
              <w:rPr>
                <w:rFonts w:ascii="Times New Roman" w:hAnsi="Times New Roman" w:cs="Times New Roman"/>
                <w:sz w:val="20"/>
                <w:szCs w:val="20"/>
              </w:rPr>
            </w:pPr>
          </w:p>
          <w:p w14:paraId="79472C25" w14:textId="77777777" w:rsidR="000B4BD4" w:rsidRPr="0035187E" w:rsidRDefault="000B4BD4" w:rsidP="0035187E">
            <w:pPr>
              <w:rPr>
                <w:rFonts w:ascii="Times New Roman" w:hAnsi="Times New Roman" w:cs="Times New Roman"/>
                <w:b/>
                <w:bCs/>
                <w:sz w:val="20"/>
                <w:szCs w:val="20"/>
              </w:rPr>
            </w:pPr>
            <w:r w:rsidRPr="0035187E">
              <w:rPr>
                <w:rFonts w:ascii="Times New Roman" w:hAnsi="Times New Roman" w:cs="Times New Roman"/>
                <w:b/>
                <w:bCs/>
                <w:sz w:val="20"/>
                <w:szCs w:val="20"/>
              </w:rPr>
              <w:t>Odůvodnění:</w:t>
            </w:r>
          </w:p>
          <w:p w14:paraId="3A758EB0"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63 % primárních pečujících osob o dítě do tří let věku nemá v České republice žádnou nebo pouze nárazovou pomoc s péčí o dítě (průzkum platformy </w:t>
            </w:r>
            <w:proofErr w:type="spellStart"/>
            <w:r w:rsidRPr="0035187E">
              <w:rPr>
                <w:rFonts w:ascii="Times New Roman" w:hAnsi="Times New Roman" w:cs="Times New Roman"/>
                <w:sz w:val="20"/>
                <w:szCs w:val="20"/>
              </w:rPr>
              <w:t>Mumdoo</w:t>
            </w:r>
            <w:proofErr w:type="spellEnd"/>
            <w:r w:rsidRPr="0035187E">
              <w:rPr>
                <w:rFonts w:ascii="Times New Roman" w:hAnsi="Times New Roman" w:cs="Times New Roman"/>
                <w:sz w:val="20"/>
                <w:szCs w:val="20"/>
              </w:rPr>
              <w:t xml:space="preserve">, 2024). Tato skutečnost ovlivňuje jejich možnost se zapojit do pracovní činnosti i možnost pečovat o své fyzické a psychické zdraví. Jednou z bariér je finanční nedostupnost předškolních zařízení pro nejmenší děti tzv. dětských skupin. Úhrada za docházku do této instituce se pohybuje až do výše 7 466 korun měsíčně. Taková částka představuje výraznou finanční zátěž pro rodiče čerpajícího rodičovský příspěvek ve výši 11 290 korun měsíčně. Zavedení možnosti čerpat slevu na dani za umístění dítěte do předškolního zařízení na měsíční bázi by výrazně zvýšilo dostupnosti předškolní péče o děti a umožnilo primárním pečujícím osobám (v 98 % matka dítěte) se zapojit zpět do pracovní činnosti. Podle ekonomky Kláry Kalíškové, Ph.D. (CERGE-EI) by zapojení rodičů zpět do práce dle jejich preferované </w:t>
            </w:r>
            <w:r w:rsidRPr="0035187E">
              <w:rPr>
                <w:rFonts w:ascii="Times New Roman" w:hAnsi="Times New Roman" w:cs="Times New Roman"/>
                <w:sz w:val="20"/>
                <w:szCs w:val="20"/>
              </w:rPr>
              <w:lastRenderedPageBreak/>
              <w:t>výše úvazku do veřejných rozpočtu přineslo 10 mld. korun ročně na základě výběru daní z příjmu a odvody na sociální a zdravotní pojištění (</w:t>
            </w:r>
            <w:proofErr w:type="spellStart"/>
            <w:r w:rsidRPr="0035187E">
              <w:rPr>
                <w:rFonts w:ascii="Times New Roman" w:hAnsi="Times New Roman" w:cs="Times New Roman"/>
                <w:sz w:val="20"/>
                <w:szCs w:val="20"/>
              </w:rPr>
              <w:t>Mumdoo</w:t>
            </w:r>
            <w:proofErr w:type="spellEnd"/>
            <w:r w:rsidRPr="0035187E">
              <w:rPr>
                <w:rFonts w:ascii="Times New Roman" w:hAnsi="Times New Roman" w:cs="Times New Roman"/>
                <w:sz w:val="20"/>
                <w:szCs w:val="20"/>
              </w:rPr>
              <w:t xml:space="preserve"> report, 2024).</w:t>
            </w:r>
          </w:p>
          <w:p w14:paraId="4AEFCA88"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Měsíční čerpání daně by přineslo úlevu rodičům zejména v období, kdy dítě prochází tzv. adaptačním procesem při nástupu do dětské skupiny a rodič dítěte se teprve připravuje na návrat na trh práce nebo pracuje na zkrácený úvazek. Vysoká vstupní finanční investice do předškolní péče může být odrazujícím faktorem, proč dítě do předškolního zařízení neumístit. Naopak možnost čerpání slevy na dani měsíčně představuje motivační faktor k umístění dítěte do předškolního zařízení. </w:t>
            </w:r>
          </w:p>
          <w:p w14:paraId="6C39A004" w14:textId="77777777"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Zvýšení finanční dostupnosti předškolní péče by vedlo ke zlepšení podmínek pro rodiče nejmenších dětí a podle dlouhodobých studií v zahraničí</w:t>
            </w:r>
            <w:r w:rsidRPr="0035187E">
              <w:rPr>
                <w:rFonts w:ascii="Times New Roman" w:hAnsi="Times New Roman" w:cs="Times New Roman"/>
                <w:sz w:val="20"/>
                <w:szCs w:val="20"/>
                <w:vertAlign w:val="superscript"/>
              </w:rPr>
              <w:footnoteReference w:id="6"/>
            </w:r>
            <w:r w:rsidRPr="0035187E">
              <w:rPr>
                <w:rFonts w:ascii="Times New Roman" w:hAnsi="Times New Roman" w:cs="Times New Roman"/>
                <w:sz w:val="20"/>
                <w:szCs w:val="20"/>
              </w:rPr>
              <w:t xml:space="preserve"> mohlo vést k zvýšení porodnosti. </w:t>
            </w:r>
          </w:p>
          <w:p w14:paraId="70EBF410" w14:textId="79BCA6C5" w:rsidR="000B4BD4" w:rsidRPr="0035187E" w:rsidRDefault="000B4BD4" w:rsidP="0035187E">
            <w:pPr>
              <w:jc w:val="both"/>
              <w:rPr>
                <w:rFonts w:ascii="Times New Roman" w:hAnsi="Times New Roman" w:cs="Times New Roman"/>
                <w:sz w:val="20"/>
                <w:szCs w:val="20"/>
              </w:rPr>
            </w:pPr>
            <w:r w:rsidRPr="0035187E">
              <w:rPr>
                <w:rFonts w:ascii="Times New Roman" w:hAnsi="Times New Roman" w:cs="Times New Roman"/>
                <w:sz w:val="20"/>
                <w:szCs w:val="20"/>
              </w:rPr>
              <w:t xml:space="preserve">V neposlední řadě by mohlo vést k vyšší míře zapojení dětí do tří let věku do předškolní docházky na úroveň alespoň 12 % ke kterým se Česká republika zavázala v rámci tzv. Barcelonských cílů. </w:t>
            </w:r>
          </w:p>
        </w:tc>
        <w:tc>
          <w:tcPr>
            <w:tcW w:w="1453" w:type="pct"/>
            <w:tcBorders>
              <w:top w:val="single" w:sz="4" w:space="0" w:color="auto"/>
              <w:left w:val="single" w:sz="4" w:space="0" w:color="auto"/>
              <w:bottom w:val="single" w:sz="4" w:space="0" w:color="auto"/>
              <w:right w:val="single" w:sz="4" w:space="0" w:color="auto"/>
            </w:tcBorders>
            <w:shd w:val="clear" w:color="auto" w:fill="auto"/>
          </w:tcPr>
          <w:p w14:paraId="5032C4B8" w14:textId="77777777" w:rsidR="00970286" w:rsidRPr="0035187E" w:rsidRDefault="00970286" w:rsidP="0035187E">
            <w:pPr>
              <w:jc w:val="both"/>
              <w:rPr>
                <w:rFonts w:ascii="Times New Roman" w:hAnsi="Times New Roman" w:cs="Times New Roman"/>
                <w:b/>
                <w:bCs/>
                <w:sz w:val="20"/>
                <w:szCs w:val="20"/>
              </w:rPr>
            </w:pPr>
            <w:r w:rsidRPr="0035187E">
              <w:rPr>
                <w:rFonts w:ascii="Times New Roman" w:hAnsi="Times New Roman" w:cs="Times New Roman"/>
                <w:b/>
                <w:bCs/>
                <w:sz w:val="20"/>
                <w:szCs w:val="20"/>
              </w:rPr>
              <w:lastRenderedPageBreak/>
              <w:t>Nevyhověno.</w:t>
            </w:r>
          </w:p>
          <w:p w14:paraId="46B1A567" w14:textId="77777777" w:rsidR="00970286" w:rsidRPr="0035187E" w:rsidRDefault="00970286" w:rsidP="0035187E">
            <w:pPr>
              <w:jc w:val="both"/>
              <w:rPr>
                <w:rFonts w:ascii="Times New Roman" w:hAnsi="Times New Roman" w:cs="Times New Roman"/>
                <w:sz w:val="20"/>
                <w:szCs w:val="20"/>
              </w:rPr>
            </w:pPr>
            <w:r w:rsidRPr="0035187E">
              <w:rPr>
                <w:rFonts w:ascii="Times New Roman" w:hAnsi="Times New Roman" w:cs="Times New Roman"/>
                <w:sz w:val="20"/>
                <w:szCs w:val="20"/>
              </w:rPr>
              <w:t>Úprava § 35ba odst. 3 zákona o daních z příjmů stanovuje jasný princip uplatnění slevy na dani, který umožňuje přehlednou a administrativně jednoduchou aplikaci daňových slev.</w:t>
            </w:r>
          </w:p>
          <w:p w14:paraId="2823431A" w14:textId="77777777" w:rsidR="00970286" w:rsidRPr="0035187E" w:rsidRDefault="00970286" w:rsidP="0035187E">
            <w:pPr>
              <w:jc w:val="both"/>
              <w:rPr>
                <w:rFonts w:ascii="Times New Roman" w:hAnsi="Times New Roman" w:cs="Times New Roman"/>
                <w:sz w:val="20"/>
                <w:szCs w:val="20"/>
              </w:rPr>
            </w:pPr>
            <w:r w:rsidRPr="0035187E">
              <w:rPr>
                <w:rFonts w:ascii="Times New Roman" w:hAnsi="Times New Roman" w:cs="Times New Roman"/>
                <w:sz w:val="20"/>
                <w:szCs w:val="20"/>
              </w:rPr>
              <w:t>Zavedení možnosti měsíčního čerpání slevy na dani za umístnění dítěte v předškolním zařízení by představovalo zásadní odklon od v minulosti uplatňovaného principu ročního čerpání slevy za umístění dítěte. Současně by vyžadovalo komplexní úpravu příslušných ustanovení zákona o daních z </w:t>
            </w:r>
            <w:proofErr w:type="gramStart"/>
            <w:r w:rsidRPr="0035187E">
              <w:rPr>
                <w:rFonts w:ascii="Times New Roman" w:hAnsi="Times New Roman" w:cs="Times New Roman"/>
                <w:sz w:val="20"/>
                <w:szCs w:val="20"/>
              </w:rPr>
              <w:t>příjmů</w:t>
            </w:r>
            <w:proofErr w:type="gramEnd"/>
            <w:r w:rsidRPr="0035187E">
              <w:rPr>
                <w:rFonts w:ascii="Times New Roman" w:hAnsi="Times New Roman" w:cs="Times New Roman"/>
                <w:sz w:val="20"/>
                <w:szCs w:val="20"/>
              </w:rPr>
              <w:t xml:space="preserve"> a především vytvoření nové metodiky pro evidenci a kontrolu nároku na slevu, což by významně zvýšilo administrativní náročnost správy daní.</w:t>
            </w:r>
          </w:p>
          <w:p w14:paraId="26FEF1E4" w14:textId="1BFCE6E6" w:rsidR="000B4BD4" w:rsidRPr="0035187E" w:rsidRDefault="000B4BD4" w:rsidP="0035187E">
            <w:pPr>
              <w:jc w:val="both"/>
              <w:rPr>
                <w:rFonts w:ascii="Times New Roman" w:hAnsi="Times New Roman" w:cs="Times New Roman"/>
                <w:sz w:val="20"/>
                <w:szCs w:val="20"/>
              </w:rPr>
            </w:pPr>
          </w:p>
        </w:tc>
      </w:tr>
      <w:tr w:rsidR="0035187E" w:rsidRPr="0035187E" w14:paraId="74672F1C" w14:textId="77777777" w:rsidTr="0035187E">
        <w:trPr>
          <w:trHeight w:val="513"/>
        </w:trPr>
        <w:tc>
          <w:tcPr>
            <w:tcW w:w="227" w:type="pct"/>
            <w:tcBorders>
              <w:top w:val="single" w:sz="4" w:space="0" w:color="auto"/>
              <w:left w:val="single" w:sz="4" w:space="0" w:color="auto"/>
              <w:bottom w:val="single" w:sz="4" w:space="0" w:color="auto"/>
              <w:right w:val="single" w:sz="4" w:space="0" w:color="auto"/>
            </w:tcBorders>
            <w:shd w:val="clear" w:color="auto" w:fill="auto"/>
          </w:tcPr>
          <w:p w14:paraId="14465D18" w14:textId="2B31052C"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158.</w:t>
            </w:r>
          </w:p>
        </w:tc>
        <w:tc>
          <w:tcPr>
            <w:tcW w:w="583" w:type="pct"/>
            <w:tcBorders>
              <w:top w:val="single" w:sz="4" w:space="0" w:color="auto"/>
              <w:left w:val="single" w:sz="4" w:space="0" w:color="auto"/>
              <w:bottom w:val="single" w:sz="4" w:space="0" w:color="auto"/>
              <w:right w:val="single" w:sz="4" w:space="0" w:color="auto"/>
            </w:tcBorders>
            <w:shd w:val="clear" w:color="auto" w:fill="auto"/>
          </w:tcPr>
          <w:p w14:paraId="6A6E17BD" w14:textId="67E3ADDD" w:rsidR="000B4BD4" w:rsidRPr="0035187E" w:rsidRDefault="000B4BD4" w:rsidP="0035187E">
            <w:pPr>
              <w:jc w:val="center"/>
              <w:rPr>
                <w:rFonts w:ascii="Times New Roman" w:hAnsi="Times New Roman" w:cs="Times New Roman"/>
                <w:sz w:val="20"/>
                <w:szCs w:val="20"/>
              </w:rPr>
            </w:pPr>
            <w:r w:rsidRPr="0035187E">
              <w:rPr>
                <w:rFonts w:ascii="Times New Roman" w:hAnsi="Times New Roman" w:cs="Times New Roman"/>
                <w:sz w:val="20"/>
                <w:szCs w:val="20"/>
              </w:rPr>
              <w:t>Asociace turistických informačních center</w:t>
            </w:r>
          </w:p>
        </w:tc>
        <w:tc>
          <w:tcPr>
            <w:tcW w:w="168" w:type="pct"/>
            <w:tcBorders>
              <w:top w:val="single" w:sz="4" w:space="0" w:color="auto"/>
              <w:left w:val="single" w:sz="4" w:space="0" w:color="auto"/>
              <w:bottom w:val="single" w:sz="4" w:space="0" w:color="auto"/>
              <w:right w:val="single" w:sz="4" w:space="0" w:color="auto"/>
            </w:tcBorders>
            <w:shd w:val="clear" w:color="auto" w:fill="auto"/>
          </w:tcPr>
          <w:p w14:paraId="1C91AC71" w14:textId="2BFB0107" w:rsidR="000B4BD4" w:rsidRPr="0035187E" w:rsidRDefault="009A31F5" w:rsidP="0035187E">
            <w:pPr>
              <w:jc w:val="center"/>
              <w:rPr>
                <w:rFonts w:ascii="Times New Roman" w:hAnsi="Times New Roman" w:cs="Times New Roman"/>
                <w:sz w:val="20"/>
                <w:szCs w:val="20"/>
              </w:rPr>
            </w:pPr>
            <w:r w:rsidRPr="0035187E">
              <w:rPr>
                <w:rFonts w:ascii="Times New Roman" w:hAnsi="Times New Roman" w:cs="Times New Roman"/>
                <w:sz w:val="20"/>
                <w:szCs w:val="20"/>
              </w:rPr>
              <w:t>1.</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1B912B6B" w14:textId="77777777" w:rsidR="000B4BD4" w:rsidRPr="0035187E" w:rsidRDefault="000B4BD4" w:rsidP="0035187E">
            <w:pPr>
              <w:jc w:val="center"/>
              <w:rPr>
                <w:rFonts w:ascii="Times New Roman" w:hAnsi="Times New Roman" w:cs="Times New Roman"/>
                <w:sz w:val="20"/>
                <w:szCs w:val="20"/>
              </w:rPr>
            </w:pPr>
          </w:p>
        </w:tc>
        <w:tc>
          <w:tcPr>
            <w:tcW w:w="2400" w:type="pct"/>
            <w:tcBorders>
              <w:top w:val="single" w:sz="4" w:space="0" w:color="auto"/>
              <w:left w:val="single" w:sz="4" w:space="0" w:color="auto"/>
              <w:bottom w:val="single" w:sz="4" w:space="0" w:color="auto"/>
              <w:right w:val="single" w:sz="4" w:space="0" w:color="auto"/>
            </w:tcBorders>
            <w:shd w:val="clear" w:color="auto" w:fill="auto"/>
          </w:tcPr>
          <w:p w14:paraId="2B3B5C79" w14:textId="69293450" w:rsidR="000B4BD4" w:rsidRPr="0035187E" w:rsidRDefault="000B4BD4" w:rsidP="0035187E">
            <w:pPr>
              <w:pBdr>
                <w:top w:val="nil"/>
                <w:left w:val="nil"/>
                <w:bottom w:val="nil"/>
                <w:right w:val="nil"/>
                <w:between w:val="nil"/>
              </w:pBdr>
              <w:jc w:val="both"/>
              <w:rPr>
                <w:rFonts w:ascii="Times New Roman" w:hAnsi="Times New Roman" w:cs="Times New Roman"/>
                <w:b/>
                <w:bCs/>
                <w:sz w:val="20"/>
                <w:szCs w:val="20"/>
              </w:rPr>
            </w:pPr>
            <w:r w:rsidRPr="0035187E">
              <w:rPr>
                <w:rFonts w:ascii="Times New Roman" w:hAnsi="Times New Roman"/>
                <w:b/>
                <w:bCs/>
                <w:sz w:val="20"/>
              </w:rPr>
              <w:t>STEJNÉ PŘIPOMÍNKY JAKO ČESKÁ UNIE CESTOVNÍHO RUCHU</w:t>
            </w:r>
          </w:p>
        </w:tc>
        <w:tc>
          <w:tcPr>
            <w:tcW w:w="1453" w:type="pct"/>
            <w:tcBorders>
              <w:top w:val="single" w:sz="4" w:space="0" w:color="auto"/>
              <w:left w:val="single" w:sz="4" w:space="0" w:color="auto"/>
              <w:bottom w:val="single" w:sz="4" w:space="0" w:color="auto"/>
              <w:right w:val="single" w:sz="4" w:space="0" w:color="auto"/>
            </w:tcBorders>
            <w:shd w:val="clear" w:color="auto" w:fill="auto"/>
          </w:tcPr>
          <w:p w14:paraId="1F575511" w14:textId="43B33BB0" w:rsidR="000B4BD4" w:rsidRPr="0035187E" w:rsidRDefault="005D45E8" w:rsidP="0035187E">
            <w:pPr>
              <w:jc w:val="both"/>
              <w:rPr>
                <w:rFonts w:ascii="Times New Roman" w:hAnsi="Times New Roman" w:cs="Times New Roman"/>
                <w:sz w:val="20"/>
                <w:szCs w:val="20"/>
              </w:rPr>
            </w:pPr>
            <w:r w:rsidRPr="0035187E">
              <w:rPr>
                <w:rFonts w:ascii="Times New Roman" w:hAnsi="Times New Roman" w:cs="Times New Roman"/>
                <w:sz w:val="20"/>
                <w:szCs w:val="20"/>
              </w:rPr>
              <w:t>Viz vypořádání připomínek České unie cestovního ruchu.</w:t>
            </w:r>
          </w:p>
        </w:tc>
      </w:tr>
    </w:tbl>
    <w:p w14:paraId="3D85E1B3" w14:textId="77777777" w:rsidR="00243CD9" w:rsidRPr="0035187E" w:rsidRDefault="00243CD9" w:rsidP="0035187E">
      <w:pPr>
        <w:autoSpaceDE w:val="0"/>
        <w:autoSpaceDN w:val="0"/>
        <w:adjustRightInd w:val="0"/>
        <w:spacing w:line="240" w:lineRule="atLeast"/>
        <w:rPr>
          <w:rFonts w:ascii="Times New Roman" w:hAnsi="Times New Roman" w:cs="Times New Roman"/>
        </w:rPr>
      </w:pPr>
    </w:p>
    <w:p w14:paraId="018B1D17" w14:textId="21A9F73B" w:rsidR="00EF0944" w:rsidRPr="0035187E" w:rsidRDefault="00EF0944" w:rsidP="0035187E">
      <w:pPr>
        <w:spacing w:before="120" w:after="120"/>
        <w:jc w:val="both"/>
        <w:rPr>
          <w:rFonts w:ascii="Times New Roman" w:hAnsi="Times New Roman" w:cs="Times New Roman"/>
          <w:b/>
          <w:sz w:val="20"/>
          <w:szCs w:val="20"/>
        </w:rPr>
      </w:pPr>
      <w:r w:rsidRPr="0035187E">
        <w:rPr>
          <w:rFonts w:ascii="Times New Roman" w:hAnsi="Times New Roman" w:cs="Times New Roman"/>
          <w:b/>
          <w:sz w:val="20"/>
          <w:szCs w:val="20"/>
        </w:rPr>
        <w:t>Sdělení, že k návrhu zákona nemá připomínky, zaslala tato místa:</w:t>
      </w:r>
    </w:p>
    <w:p w14:paraId="77E02B47" w14:textId="38355EF0" w:rsidR="00EF0944" w:rsidRPr="0035187E" w:rsidRDefault="00EF0944" w:rsidP="0035187E">
      <w:pPr>
        <w:autoSpaceDE w:val="0"/>
        <w:autoSpaceDN w:val="0"/>
        <w:adjustRightInd w:val="0"/>
        <w:spacing w:line="240" w:lineRule="atLeast"/>
        <w:jc w:val="both"/>
        <w:rPr>
          <w:rFonts w:ascii="Times New Roman" w:hAnsi="Times New Roman" w:cs="Times New Roman"/>
          <w:sz w:val="20"/>
          <w:szCs w:val="20"/>
        </w:rPr>
      </w:pPr>
      <w:r w:rsidRPr="0035187E">
        <w:rPr>
          <w:rFonts w:ascii="Times New Roman" w:hAnsi="Times New Roman" w:cs="Times New Roman"/>
          <w:sz w:val="20"/>
          <w:szCs w:val="20"/>
        </w:rPr>
        <w:t>Ministerstvo dopravy, Ministerstvo obrany, Ministerstvo životního prostředí, Bezpečnostní informační služba ČR, Český báňský úřad, Český statistický úřad, Český telekomunikační úřad, Český úřad zeměměřický a katastrální, Hlavní město Praha, Kancelář prezidenta republiky, Krajský úřad Jihomoravského kraje, Krajský úřad Karlovarského kraje, Krajský úřad Královéhradeckého kraje, Krajský úřad Pardubického kraje, Národní bezpečnostní úřad, Národní úřad pro kybernetickou a informační bezpečnost, Nejvyšší soud, Nejvyšší správní soud, Nejvyšší státní zastupitelství, Úřad pro ochranu hospodářské soutěže, Asociace hotelů a restaurací České republiky, Česká obchodní inspekce, Státní zemědělská a potravinářská inspekce.</w:t>
      </w:r>
    </w:p>
    <w:p w14:paraId="3A4D721E" w14:textId="77777777" w:rsidR="00EF0944" w:rsidRPr="0035187E" w:rsidRDefault="00EF0944" w:rsidP="0035187E">
      <w:pPr>
        <w:autoSpaceDE w:val="0"/>
        <w:autoSpaceDN w:val="0"/>
        <w:adjustRightInd w:val="0"/>
        <w:spacing w:line="240" w:lineRule="atLeast"/>
        <w:jc w:val="both"/>
        <w:rPr>
          <w:rFonts w:ascii="Times New Roman" w:hAnsi="Times New Roman" w:cs="Times New Roman"/>
          <w:sz w:val="20"/>
          <w:szCs w:val="20"/>
        </w:rPr>
      </w:pPr>
    </w:p>
    <w:p w14:paraId="63E4526B" w14:textId="77777777" w:rsidR="00EF0944" w:rsidRPr="0035187E" w:rsidRDefault="00EF0944" w:rsidP="0035187E">
      <w:pPr>
        <w:keepNext/>
        <w:keepLines/>
        <w:spacing w:after="120"/>
        <w:jc w:val="both"/>
        <w:rPr>
          <w:rFonts w:ascii="Times New Roman" w:hAnsi="Times New Roman" w:cs="Times New Roman"/>
          <w:b/>
          <w:sz w:val="20"/>
          <w:szCs w:val="20"/>
        </w:rPr>
      </w:pPr>
      <w:r w:rsidRPr="0035187E">
        <w:rPr>
          <w:rFonts w:ascii="Times New Roman" w:hAnsi="Times New Roman" w:cs="Times New Roman"/>
          <w:b/>
          <w:sz w:val="20"/>
          <w:szCs w:val="20"/>
        </w:rPr>
        <w:t>Připomínky neuplatnila tato připomínková místa:</w:t>
      </w:r>
    </w:p>
    <w:p w14:paraId="03A173CE" w14:textId="6D9E1AF1" w:rsidR="00EF0944" w:rsidRPr="0035187E" w:rsidRDefault="00F00414" w:rsidP="0035187E">
      <w:pPr>
        <w:autoSpaceDE w:val="0"/>
        <w:autoSpaceDN w:val="0"/>
        <w:adjustRightInd w:val="0"/>
        <w:spacing w:line="240" w:lineRule="atLeast"/>
        <w:jc w:val="both"/>
        <w:rPr>
          <w:rFonts w:ascii="Times New Roman" w:hAnsi="Times New Roman" w:cs="Times New Roman"/>
          <w:sz w:val="20"/>
          <w:szCs w:val="20"/>
        </w:rPr>
      </w:pPr>
      <w:r w:rsidRPr="0035187E">
        <w:rPr>
          <w:rFonts w:ascii="Times New Roman" w:hAnsi="Times New Roman" w:cs="Times New Roman"/>
          <w:sz w:val="20"/>
          <w:szCs w:val="20"/>
        </w:rPr>
        <w:t>Úřad vlády České republiky - Ministr pro sport, prevenci a zdraví, Úřad vlády České republiky - Zmocněnec vlády pro lidská práva, Agrární komora České republiky, Asociace krajů, Česká lékárnická komora, Česká stomatologická komora, Družstevní asociace ČR, Energetický regulační úřad, Exekutorská komora, Generální inspekce bezpečnostních sborů, Kancelář Poslanecké sněmovny, Kancelář Senátu, Komora auditorů, Komora veterinárních lékařů ČR, Krajský úřad Jihočeského kraje, Krajský úřad Kraje Vysočina, Krajský úřad Libereckého kraje, Krajský úřad Ústeckého kraje, Poslanecká sněmovna - zahraniční výbor, Senát - zahraniční výbor, Svaz energetiky České republiky, Technologická agentura, Úřad pro technickou normalizaci, metrologii a</w:t>
      </w:r>
      <w:r w:rsidR="00BE3B2A" w:rsidRPr="0035187E">
        <w:rPr>
          <w:rFonts w:ascii="Times New Roman" w:hAnsi="Times New Roman" w:cs="Times New Roman"/>
          <w:sz w:val="20"/>
          <w:szCs w:val="20"/>
        </w:rPr>
        <w:t> </w:t>
      </w:r>
      <w:r w:rsidRPr="0035187E">
        <w:rPr>
          <w:rFonts w:ascii="Times New Roman" w:hAnsi="Times New Roman" w:cs="Times New Roman"/>
          <w:sz w:val="20"/>
          <w:szCs w:val="20"/>
        </w:rPr>
        <w:t>státní zkušebnictví, Úřad pro zahraniční styky a informace, Úřad pro zastupování státu ve věcech majetkových, Úřad vlády České republiky - Rada pro výzkum, vývoj a inovace, Úřad vlády České republiky - Sekce pro evropské záležitosti, Ústavní soud, Americká obchodní komora v České republice, Asociace bazénů a saun České republiky, Asociace českého tradičního obchodu, Asociace českých cestovních kanceláří a agentur, Asociace direct marketingu, e-</w:t>
      </w:r>
      <w:proofErr w:type="spellStart"/>
      <w:r w:rsidRPr="0035187E">
        <w:rPr>
          <w:rFonts w:ascii="Times New Roman" w:hAnsi="Times New Roman" w:cs="Times New Roman"/>
          <w:sz w:val="20"/>
          <w:szCs w:val="20"/>
        </w:rPr>
        <w:t>commerce</w:t>
      </w:r>
      <w:proofErr w:type="spellEnd"/>
      <w:r w:rsidRPr="0035187E">
        <w:rPr>
          <w:rFonts w:ascii="Times New Roman" w:hAnsi="Times New Roman" w:cs="Times New Roman"/>
          <w:sz w:val="20"/>
          <w:szCs w:val="20"/>
        </w:rPr>
        <w:t xml:space="preserve"> a zásilkového obchodu, Asociace družstevních záložen, Asociace exportérů, Asociace osobního prodeje, Asociace penzijních společností České republiky, Asociace poskytovatelů energetických služeb, Asociace poskytovatelů platebních služeb, Asociace pro devizový trh, Asociace pro</w:t>
      </w:r>
      <w:r w:rsidR="00BE3B2A" w:rsidRPr="0035187E">
        <w:rPr>
          <w:rFonts w:ascii="Times New Roman" w:hAnsi="Times New Roman" w:cs="Times New Roman"/>
          <w:sz w:val="20"/>
          <w:szCs w:val="20"/>
        </w:rPr>
        <w:t> </w:t>
      </w:r>
      <w:r w:rsidRPr="0035187E">
        <w:rPr>
          <w:rFonts w:ascii="Times New Roman" w:hAnsi="Times New Roman" w:cs="Times New Roman"/>
          <w:sz w:val="20"/>
          <w:szCs w:val="20"/>
        </w:rPr>
        <w:t xml:space="preserve">kapitálový trh, Asociace provozovatelů kabelových a telekomunikačních sítí v ČR, Asociace provozovatelů mobilních sítí, Asociace provozovatelů veřejných telekomunikačních sítí, Asociace restauratérů APRON, Asociace úvěrových institucí, Asociace veřejně prospěšných organizací, Czech Viet - Česko vietnamská organizace, Česká asociace elektronických komunikací, Česká asociace mezinárodních expresních přepravců, Česká asociace pojišťoven, Česká asociace společností finančního poradenství a zprostředkování, Česká asociace telekomunikací, Česká bankovní asociace, Česká energetická společnost, Česká leasingová a finanční asociace České republiky, Česká startupová asociace, České sdružení pro značkové výrobky, Česko-maďarská obchodní </w:t>
      </w:r>
      <w:r w:rsidRPr="0035187E">
        <w:rPr>
          <w:rFonts w:ascii="Times New Roman" w:hAnsi="Times New Roman" w:cs="Times New Roman"/>
          <w:sz w:val="20"/>
          <w:szCs w:val="20"/>
        </w:rPr>
        <w:lastRenderedPageBreak/>
        <w:t>komora, Českomoravský svaz minipivovarů, Česko-německá obchodní a průmyslová komora, Český svaz pivovarů a sladoven, ICT Unie, Katedra finančního práva a finanční vědy Právnické fakulty Univerzity Karlovy v Praze, Katedra finančního práva a národního hospodářství Právnické fakulty Masarykovy univerzity, Potravinářská komora České republiky, Rada hospodářské a sociální dohody České republiky, Rada vlády pro osoby se zdravotním postižením, Sdružení podnikatelů a živnostníků České republiky, Sjednocená organizace nevidomých a</w:t>
      </w:r>
      <w:r w:rsidR="00BE3B2A" w:rsidRPr="0035187E">
        <w:rPr>
          <w:rFonts w:ascii="Times New Roman" w:hAnsi="Times New Roman" w:cs="Times New Roman"/>
          <w:sz w:val="20"/>
          <w:szCs w:val="20"/>
        </w:rPr>
        <w:t> </w:t>
      </w:r>
      <w:r w:rsidRPr="0035187E">
        <w:rPr>
          <w:rFonts w:ascii="Times New Roman" w:hAnsi="Times New Roman" w:cs="Times New Roman"/>
          <w:sz w:val="20"/>
          <w:szCs w:val="20"/>
        </w:rPr>
        <w:t>slabozrakých, Soudcovská unie České republiky, Státní fond podpory investic, Svaz českých a moravských spotřebních družstev, Svaz českých a moravských výrobních družstev, Svaz účetních, Svaz vinařů České republiky, Svaz zdravotních pojišťoven České republiky, Unie státních zástupců České republiky, Unie výrobců a dovozců lihovin České republiky, Zemědělský svaz České republiky.</w:t>
      </w:r>
    </w:p>
    <w:sectPr w:rsidR="00EF0944" w:rsidRPr="0035187E" w:rsidSect="001B6175">
      <w:footerReference w:type="default" r:id="rId20"/>
      <w:headerReference w:type="first" r:id="rId21"/>
      <w:pgSz w:w="16838" w:h="11906" w:orient="landscape"/>
      <w:pgMar w:top="720" w:right="720" w:bottom="426" w:left="72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5AEEB" w14:textId="77777777" w:rsidR="00B06848" w:rsidRDefault="00B06848">
      <w:r>
        <w:separator/>
      </w:r>
    </w:p>
  </w:endnote>
  <w:endnote w:type="continuationSeparator" w:id="0">
    <w:p w14:paraId="3954910E" w14:textId="77777777" w:rsidR="00B06848" w:rsidRDefault="00B06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0454764"/>
      <w:docPartObj>
        <w:docPartGallery w:val="Page Numbers (Bottom of Page)"/>
        <w:docPartUnique/>
      </w:docPartObj>
    </w:sdtPr>
    <w:sdtEndPr>
      <w:rPr>
        <w:rFonts w:ascii="Times New Roman" w:hAnsi="Times New Roman" w:cs="Times New Roman"/>
        <w:sz w:val="20"/>
      </w:rPr>
    </w:sdtEndPr>
    <w:sdtContent>
      <w:p w14:paraId="4393BD09" w14:textId="24D1F3DC" w:rsidR="00B06848" w:rsidRPr="001B6175" w:rsidRDefault="00B06848">
        <w:pPr>
          <w:pStyle w:val="Zpat"/>
          <w:jc w:val="center"/>
          <w:rPr>
            <w:rFonts w:ascii="Times New Roman" w:hAnsi="Times New Roman" w:cs="Times New Roman"/>
            <w:sz w:val="20"/>
          </w:rPr>
        </w:pPr>
        <w:r w:rsidRPr="001B6175">
          <w:rPr>
            <w:rFonts w:ascii="Times New Roman" w:hAnsi="Times New Roman" w:cs="Times New Roman"/>
            <w:sz w:val="20"/>
          </w:rPr>
          <w:fldChar w:fldCharType="begin"/>
        </w:r>
        <w:r w:rsidRPr="001B6175">
          <w:rPr>
            <w:rFonts w:ascii="Times New Roman" w:hAnsi="Times New Roman" w:cs="Times New Roman"/>
            <w:sz w:val="20"/>
          </w:rPr>
          <w:instrText>PAGE   \* MERGEFORMAT</w:instrText>
        </w:r>
        <w:r w:rsidRPr="001B6175">
          <w:rPr>
            <w:rFonts w:ascii="Times New Roman" w:hAnsi="Times New Roman" w:cs="Times New Roman"/>
            <w:sz w:val="20"/>
          </w:rPr>
          <w:fldChar w:fldCharType="separate"/>
        </w:r>
        <w:r w:rsidR="00415026">
          <w:rPr>
            <w:rFonts w:ascii="Times New Roman" w:hAnsi="Times New Roman" w:cs="Times New Roman"/>
            <w:noProof/>
            <w:sz w:val="20"/>
          </w:rPr>
          <w:t>157</w:t>
        </w:r>
        <w:r w:rsidRPr="001B6175">
          <w:rPr>
            <w:rFonts w:ascii="Times New Roman" w:hAnsi="Times New Roman" w:cs="Times New Roman"/>
            <w:sz w:val="20"/>
          </w:rPr>
          <w:fldChar w:fldCharType="end"/>
        </w:r>
      </w:p>
    </w:sdtContent>
  </w:sdt>
  <w:p w14:paraId="15C7E9C0" w14:textId="77777777" w:rsidR="00B06848" w:rsidRDefault="00B0684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95E23" w14:textId="77777777" w:rsidR="00B06848" w:rsidRDefault="00B06848">
      <w:r>
        <w:separator/>
      </w:r>
    </w:p>
  </w:footnote>
  <w:footnote w:type="continuationSeparator" w:id="0">
    <w:p w14:paraId="779EC166" w14:textId="77777777" w:rsidR="00B06848" w:rsidRDefault="00B06848">
      <w:r>
        <w:continuationSeparator/>
      </w:r>
    </w:p>
  </w:footnote>
  <w:footnote w:id="1">
    <w:p w14:paraId="0C220ED5" w14:textId="77777777" w:rsidR="00B06848" w:rsidRPr="00C607DE" w:rsidRDefault="00B06848" w:rsidP="00FA608F">
      <w:pPr>
        <w:pStyle w:val="Textpoznpodarou"/>
        <w:rPr>
          <w:rFonts w:ascii="Times New Roman" w:hAnsi="Times New Roman" w:cs="Times New Roman"/>
        </w:rPr>
      </w:pPr>
      <w:r w:rsidRPr="00C607DE">
        <w:rPr>
          <w:rStyle w:val="Znakapoznpodarou"/>
          <w:rFonts w:ascii="Times New Roman" w:hAnsi="Times New Roman" w:cs="Times New Roman"/>
        </w:rPr>
        <w:footnoteRef/>
      </w:r>
      <w:r w:rsidRPr="00C607DE">
        <w:rPr>
          <w:rFonts w:ascii="Times New Roman" w:hAnsi="Times New Roman" w:cs="Times New Roman"/>
        </w:rPr>
        <w:t xml:space="preserve"> Pl. ÚS 26/16</w:t>
      </w:r>
    </w:p>
  </w:footnote>
  <w:footnote w:id="2">
    <w:p w14:paraId="718C9A5F" w14:textId="77777777" w:rsidR="00B06848" w:rsidRPr="00C607DE" w:rsidRDefault="00B06848" w:rsidP="00FA608F">
      <w:pPr>
        <w:rPr>
          <w:rFonts w:ascii="Times New Roman" w:eastAsia="Arial" w:hAnsi="Times New Roman" w:cs="Times New Roman"/>
          <w:i/>
          <w:iCs/>
          <w:sz w:val="20"/>
          <w:szCs w:val="20"/>
        </w:rPr>
      </w:pPr>
      <w:r w:rsidRPr="00C607DE">
        <w:rPr>
          <w:rFonts w:ascii="Times New Roman" w:eastAsia="Arial" w:hAnsi="Times New Roman" w:cs="Times New Roman"/>
          <w:sz w:val="20"/>
          <w:szCs w:val="20"/>
          <w:vertAlign w:val="superscript"/>
        </w:rPr>
        <w:footnoteRef/>
      </w:r>
      <w:r w:rsidRPr="00C607DE">
        <w:rPr>
          <w:rFonts w:ascii="Times New Roman" w:eastAsia="Arial" w:hAnsi="Times New Roman" w:cs="Times New Roman"/>
          <w:sz w:val="20"/>
          <w:szCs w:val="20"/>
        </w:rPr>
        <w:t xml:space="preserve"> </w:t>
      </w:r>
      <w:r w:rsidRPr="00C607DE">
        <w:rPr>
          <w:rFonts w:ascii="Times New Roman" w:eastAsia="Arial" w:hAnsi="Times New Roman" w:cs="Times New Roman"/>
          <w:i/>
          <w:iCs/>
          <w:sz w:val="20"/>
          <w:szCs w:val="20"/>
        </w:rPr>
        <w:t xml:space="preserve">„Členské státy mohou uložit další povinnosti, které považují za nezbytné k správnému výběru daně a k předcházení daňovým únikům, dostojí–li požadavku rovného zacházení s domácími plněními i plněními mezi členskými státy uskutečňovanými osobami povinnými k dani, a za podmínky, že tyto povinnosti nevedou při obchodu mezi členskými státy k formalitám spojeným s překračováním hranic. </w:t>
      </w:r>
    </w:p>
    <w:p w14:paraId="3A0B30D9" w14:textId="77777777" w:rsidR="00B06848" w:rsidRPr="008C1A62" w:rsidRDefault="00B06848" w:rsidP="00FA608F">
      <w:pPr>
        <w:rPr>
          <w:rFonts w:eastAsia="Arial"/>
          <w:sz w:val="20"/>
          <w:szCs w:val="20"/>
        </w:rPr>
      </w:pPr>
      <w:r w:rsidRPr="00C607DE">
        <w:rPr>
          <w:rFonts w:ascii="Times New Roman" w:eastAsia="Arial" w:hAnsi="Times New Roman" w:cs="Times New Roman"/>
          <w:i/>
          <w:iCs/>
          <w:sz w:val="20"/>
          <w:szCs w:val="20"/>
        </w:rPr>
        <w:t>Možnost stanovená v prvním pododstavci nemůže být využita k ukládání dodatečných fakturačních povinností nad povinnosti stanovené v kapitole 3”</w:t>
      </w:r>
      <w:r w:rsidRPr="00C607DE">
        <w:rPr>
          <w:rFonts w:ascii="Times New Roman" w:eastAsia="Arial" w:hAnsi="Times New Roman" w:cs="Times New Roman"/>
          <w:sz w:val="20"/>
          <w:szCs w:val="20"/>
        </w:rPr>
        <w:t>.</w:t>
      </w:r>
    </w:p>
  </w:footnote>
  <w:footnote w:id="3">
    <w:p w14:paraId="401FA524" w14:textId="77777777" w:rsidR="00B06848" w:rsidRPr="00C607DE" w:rsidRDefault="00B06848" w:rsidP="00CE5D42">
      <w:pPr>
        <w:pStyle w:val="Textpoznpodarou"/>
        <w:rPr>
          <w:rFonts w:ascii="Times New Roman" w:hAnsi="Times New Roman" w:cs="Times New Roman"/>
        </w:rPr>
      </w:pPr>
      <w:r w:rsidRPr="00C607DE">
        <w:rPr>
          <w:rStyle w:val="Znakapoznpodarou"/>
          <w:rFonts w:ascii="Times New Roman" w:hAnsi="Times New Roman" w:cs="Times New Roman"/>
        </w:rPr>
        <w:footnoteRef/>
      </w:r>
      <w:r w:rsidRPr="00C607DE">
        <w:rPr>
          <w:rFonts w:ascii="Times New Roman" w:hAnsi="Times New Roman" w:cs="Times New Roman"/>
        </w:rPr>
        <w:t xml:space="preserve"> </w:t>
      </w:r>
      <w:r w:rsidRPr="00C607DE">
        <w:rPr>
          <w:rStyle w:val="Znakapoznpodarou"/>
          <w:rFonts w:ascii="Times New Roman" w:hAnsi="Times New Roman" w:cs="Times New Roman"/>
        </w:rPr>
        <w:tab/>
      </w:r>
      <w:r w:rsidRPr="00C607DE">
        <w:rPr>
          <w:rFonts w:ascii="Times New Roman" w:hAnsi="Times New Roman" w:cs="Times New Roman"/>
        </w:rPr>
        <w:t>Zákon č. 586/1992 Sb., o daních z příjmů.</w:t>
      </w:r>
    </w:p>
  </w:footnote>
  <w:footnote w:id="4">
    <w:p w14:paraId="190F2C79" w14:textId="77777777" w:rsidR="00B06848" w:rsidRPr="00C607DE" w:rsidRDefault="00B06848" w:rsidP="00CE5D42">
      <w:pPr>
        <w:pStyle w:val="Textpoznpodarou"/>
        <w:rPr>
          <w:rFonts w:ascii="Times New Roman" w:hAnsi="Times New Roman" w:cs="Times New Roman"/>
        </w:rPr>
      </w:pPr>
      <w:r w:rsidRPr="00C607DE">
        <w:rPr>
          <w:rStyle w:val="Znakapoznpodarou"/>
          <w:rFonts w:ascii="Times New Roman" w:hAnsi="Times New Roman" w:cs="Times New Roman"/>
        </w:rPr>
        <w:footnoteRef/>
      </w:r>
      <w:r w:rsidRPr="00C607DE">
        <w:rPr>
          <w:rFonts w:ascii="Times New Roman" w:hAnsi="Times New Roman" w:cs="Times New Roman"/>
        </w:rPr>
        <w:t xml:space="preserve"> </w:t>
      </w:r>
      <w:r w:rsidRPr="00C607DE">
        <w:rPr>
          <w:rStyle w:val="Znakapoznpodarou"/>
          <w:rFonts w:ascii="Times New Roman" w:hAnsi="Times New Roman" w:cs="Times New Roman"/>
        </w:rPr>
        <w:tab/>
      </w:r>
      <w:r w:rsidRPr="00C607DE">
        <w:rPr>
          <w:rFonts w:ascii="Times New Roman" w:hAnsi="Times New Roman" w:cs="Times New Roman"/>
        </w:rPr>
        <w:t>Zákon č. 561/2004 Sb., o předškolním, základním, středním, vyšším odborném a jiném vzdělávání (školský zákon).</w:t>
      </w:r>
    </w:p>
  </w:footnote>
  <w:footnote w:id="5">
    <w:p w14:paraId="5219466F" w14:textId="6FCFF40C" w:rsidR="00B06848" w:rsidRPr="00AF7711" w:rsidRDefault="00B06848">
      <w:pPr>
        <w:pStyle w:val="Textpoznpodarou"/>
        <w:rPr>
          <w:rFonts w:ascii="Times New Roman" w:hAnsi="Times New Roman" w:cs="Times New Roman"/>
        </w:rPr>
      </w:pPr>
      <w:r w:rsidRPr="00AF7711">
        <w:rPr>
          <w:rStyle w:val="Znakapoznpodarou"/>
          <w:rFonts w:ascii="Times New Roman" w:hAnsi="Times New Roman" w:cs="Times New Roman"/>
        </w:rPr>
        <w:footnoteRef/>
      </w:r>
      <w:r w:rsidRPr="00AF7711">
        <w:rPr>
          <w:rFonts w:ascii="Times New Roman" w:hAnsi="Times New Roman" w:cs="Times New Roman"/>
        </w:rPr>
        <w:t xml:space="preserve"> Petrov, J., Výtisk, M., Beran, V. a kol. Občanský zákoník. Komentář. 2. vydání (3. aktualizace). Praha: C. H. Beck, 2024</w:t>
      </w:r>
    </w:p>
  </w:footnote>
  <w:footnote w:id="6">
    <w:p w14:paraId="5556D45E" w14:textId="77777777" w:rsidR="00B06848" w:rsidRPr="00F34E04" w:rsidRDefault="00B06848" w:rsidP="00AC3245">
      <w:pPr>
        <w:rPr>
          <w:rFonts w:ascii="Times New Roman" w:hAnsi="Times New Roman" w:cs="Times New Roman"/>
          <w:sz w:val="20"/>
          <w:szCs w:val="20"/>
        </w:rPr>
      </w:pPr>
      <w:r w:rsidRPr="00F34E04">
        <w:rPr>
          <w:rFonts w:ascii="Times New Roman" w:hAnsi="Times New Roman" w:cs="Times New Roman"/>
          <w:sz w:val="20"/>
          <w:szCs w:val="20"/>
          <w:vertAlign w:val="superscript"/>
        </w:rPr>
        <w:footnoteRef/>
      </w:r>
      <w:r w:rsidRPr="00F34E04">
        <w:rPr>
          <w:rFonts w:ascii="Times New Roman" w:hAnsi="Times New Roman" w:cs="Times New Roman"/>
          <w:sz w:val="20"/>
          <w:szCs w:val="20"/>
        </w:rPr>
        <w:t xml:space="preserve"> Scherer, S., Pavolini, E. &amp; Brini, E. Formal childcare services and fertility: the case of Italy.Genus 79, 29 (2023). </w:t>
      </w:r>
      <w:hyperlink r:id="rId1">
        <w:r w:rsidRPr="00F34E04">
          <w:rPr>
            <w:rFonts w:ascii="Times New Roman" w:hAnsi="Times New Roman" w:cs="Times New Roman"/>
            <w:color w:val="1155CC"/>
            <w:sz w:val="20"/>
            <w:szCs w:val="20"/>
            <w:u w:val="single"/>
          </w:rPr>
          <w:t>https://doi.org/10.1186/s41118-023-00208-7</w:t>
        </w:r>
      </w:hyperlink>
    </w:p>
    <w:p w14:paraId="7F1DFD46" w14:textId="77777777" w:rsidR="00B06848" w:rsidRPr="00F34E04" w:rsidRDefault="00B06848" w:rsidP="00AC3245">
      <w:pPr>
        <w:shd w:val="clear" w:color="auto" w:fill="FFFFFF"/>
        <w:rPr>
          <w:rFonts w:ascii="Times New Roman" w:hAnsi="Times New Roman" w:cs="Times New Roman"/>
          <w:sz w:val="20"/>
          <w:szCs w:val="20"/>
        </w:rPr>
      </w:pPr>
      <w:r w:rsidRPr="00F34E04">
        <w:rPr>
          <w:rFonts w:ascii="Times New Roman" w:hAnsi="Times New Roman" w:cs="Times New Roman"/>
          <w:sz w:val="20"/>
          <w:szCs w:val="20"/>
        </w:rPr>
        <w:t>Bauernschuster, S., Hener, T. &amp; Rainer, H. Does the Expansion of Public Child Care Increase Birth Rates? Evidence from a Low-Fertility Country, Ifo Working Paper No. 158, (2013).</w:t>
      </w:r>
    </w:p>
    <w:p w14:paraId="3C8A728C" w14:textId="77777777" w:rsidR="00B06848" w:rsidRDefault="00B06848" w:rsidP="00AC32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73C4B" w14:textId="475F7C70" w:rsidR="00B06848" w:rsidRPr="0039458B" w:rsidRDefault="00B06848" w:rsidP="0039458B">
    <w:pPr>
      <w:pStyle w:val="Zhlav"/>
      <w:jc w:val="right"/>
      <w:rPr>
        <w:rFonts w:ascii="Times New Roman" w:hAnsi="Times New Roman" w:cs="Times New Roman"/>
        <w:b/>
      </w:rPr>
    </w:pPr>
    <w:r>
      <w:rPr>
        <w:rFonts w:ascii="Times New Roman" w:hAnsi="Times New Roman" w:cs="Times New Roman"/>
        <w:b/>
      </w:rPr>
      <w:t>IX</w:t>
    </w:r>
    <w:r w:rsidRPr="0039458B">
      <w:rPr>
        <w:rFonts w:ascii="Times New Roman" w:hAnsi="Times New Roman" w:cs="Times New Roman"/>
        <w:b/>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3D72CAE"/>
    <w:multiLevelType w:val="hybridMultilevel"/>
    <w:tmpl w:val="3AB1BD5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B365D3E"/>
    <w:multiLevelType w:val="hybridMultilevel"/>
    <w:tmpl w:val="8B68FD3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C1C5580"/>
    <w:multiLevelType w:val="hybridMultilevel"/>
    <w:tmpl w:val="9AE2495A"/>
    <w:lvl w:ilvl="0" w:tplc="0405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9EB0CA9"/>
    <w:multiLevelType w:val="hybridMultilevel"/>
    <w:tmpl w:val="E5A91DA7"/>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10B43E2"/>
    <w:multiLevelType w:val="hybridMultilevel"/>
    <w:tmpl w:val="F3FE12A0"/>
    <w:lvl w:ilvl="0" w:tplc="0ACEBE88">
      <w:start w:val="1"/>
      <w:numFmt w:val="decimal"/>
      <w:pStyle w:val="slovn"/>
      <w:lvlText w:val="%1."/>
      <w:lvlJc w:val="center"/>
      <w:pPr>
        <w:tabs>
          <w:tab w:val="num" w:pos="340"/>
        </w:tabs>
        <w:ind w:left="0" w:firstLine="340"/>
      </w:pPr>
      <w:rPr>
        <w:rFonts w:hint="default"/>
        <w:sz w:val="20"/>
        <w:szCs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017341A1"/>
    <w:multiLevelType w:val="hybridMultilevel"/>
    <w:tmpl w:val="BD7E1DB2"/>
    <w:lvl w:ilvl="0" w:tplc="04050019">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17A6213"/>
    <w:multiLevelType w:val="hybridMultilevel"/>
    <w:tmpl w:val="39802F86"/>
    <w:lvl w:ilvl="0" w:tplc="FFFFFFFF">
      <w:start w:val="1"/>
      <w:numFmt w:val="decimal"/>
      <w:lvlText w:val="%1."/>
      <w:lvlJc w:val="left"/>
      <w:pPr>
        <w:ind w:left="1080" w:hanging="360"/>
      </w:pPr>
      <w:rPr>
        <w:rFonts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01DF6872"/>
    <w:multiLevelType w:val="hybridMultilevel"/>
    <w:tmpl w:val="D608B1A2"/>
    <w:lvl w:ilvl="0" w:tplc="0405000F">
      <w:start w:val="1"/>
      <w:numFmt w:val="decimal"/>
      <w:lvlText w:val="%1."/>
      <w:lvlJc w:val="left"/>
      <w:pPr>
        <w:tabs>
          <w:tab w:val="num" w:pos="780"/>
        </w:tabs>
        <w:ind w:left="780" w:hanging="360"/>
      </w:pPr>
    </w:lvl>
    <w:lvl w:ilvl="1" w:tplc="04050019" w:tentative="1">
      <w:start w:val="1"/>
      <w:numFmt w:val="lowerLetter"/>
      <w:lvlText w:val="%2."/>
      <w:lvlJc w:val="left"/>
      <w:pPr>
        <w:tabs>
          <w:tab w:val="num" w:pos="1500"/>
        </w:tabs>
        <w:ind w:left="1500" w:hanging="360"/>
      </w:pPr>
    </w:lvl>
    <w:lvl w:ilvl="2" w:tplc="0405001B" w:tentative="1">
      <w:start w:val="1"/>
      <w:numFmt w:val="lowerRoman"/>
      <w:lvlText w:val="%3."/>
      <w:lvlJc w:val="right"/>
      <w:pPr>
        <w:tabs>
          <w:tab w:val="num" w:pos="2220"/>
        </w:tabs>
        <w:ind w:left="2220" w:hanging="180"/>
      </w:pPr>
    </w:lvl>
    <w:lvl w:ilvl="3" w:tplc="0405000F" w:tentative="1">
      <w:start w:val="1"/>
      <w:numFmt w:val="decimal"/>
      <w:lvlText w:val="%4."/>
      <w:lvlJc w:val="left"/>
      <w:pPr>
        <w:tabs>
          <w:tab w:val="num" w:pos="2940"/>
        </w:tabs>
        <w:ind w:left="2940" w:hanging="360"/>
      </w:pPr>
    </w:lvl>
    <w:lvl w:ilvl="4" w:tplc="04050019" w:tentative="1">
      <w:start w:val="1"/>
      <w:numFmt w:val="lowerLetter"/>
      <w:lvlText w:val="%5."/>
      <w:lvlJc w:val="left"/>
      <w:pPr>
        <w:tabs>
          <w:tab w:val="num" w:pos="3660"/>
        </w:tabs>
        <w:ind w:left="3660" w:hanging="360"/>
      </w:pPr>
    </w:lvl>
    <w:lvl w:ilvl="5" w:tplc="0405001B" w:tentative="1">
      <w:start w:val="1"/>
      <w:numFmt w:val="lowerRoman"/>
      <w:lvlText w:val="%6."/>
      <w:lvlJc w:val="right"/>
      <w:pPr>
        <w:tabs>
          <w:tab w:val="num" w:pos="4380"/>
        </w:tabs>
        <w:ind w:left="4380" w:hanging="180"/>
      </w:pPr>
    </w:lvl>
    <w:lvl w:ilvl="6" w:tplc="0405000F" w:tentative="1">
      <w:start w:val="1"/>
      <w:numFmt w:val="decimal"/>
      <w:lvlText w:val="%7."/>
      <w:lvlJc w:val="left"/>
      <w:pPr>
        <w:tabs>
          <w:tab w:val="num" w:pos="5100"/>
        </w:tabs>
        <w:ind w:left="5100" w:hanging="360"/>
      </w:pPr>
    </w:lvl>
    <w:lvl w:ilvl="7" w:tplc="04050019" w:tentative="1">
      <w:start w:val="1"/>
      <w:numFmt w:val="lowerLetter"/>
      <w:lvlText w:val="%8."/>
      <w:lvlJc w:val="left"/>
      <w:pPr>
        <w:tabs>
          <w:tab w:val="num" w:pos="5820"/>
        </w:tabs>
        <w:ind w:left="5820" w:hanging="360"/>
      </w:pPr>
    </w:lvl>
    <w:lvl w:ilvl="8" w:tplc="0405001B" w:tentative="1">
      <w:start w:val="1"/>
      <w:numFmt w:val="lowerRoman"/>
      <w:lvlText w:val="%9."/>
      <w:lvlJc w:val="right"/>
      <w:pPr>
        <w:tabs>
          <w:tab w:val="num" w:pos="6540"/>
        </w:tabs>
        <w:ind w:left="6540" w:hanging="180"/>
      </w:pPr>
    </w:lvl>
  </w:abstractNum>
  <w:abstractNum w:abstractNumId="8" w15:restartNumberingAfterBreak="0">
    <w:nsid w:val="023C75F4"/>
    <w:multiLevelType w:val="hybridMultilevel"/>
    <w:tmpl w:val="C6A2AC52"/>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0327E811"/>
    <w:multiLevelType w:val="hybridMultilevel"/>
    <w:tmpl w:val="A40DA34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7905C80"/>
    <w:multiLevelType w:val="multilevel"/>
    <w:tmpl w:val="D5C2F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A0A4852"/>
    <w:multiLevelType w:val="multilevel"/>
    <w:tmpl w:val="995AB3DC"/>
    <w:lvl w:ilvl="0">
      <w:start w:val="4"/>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B0E4105"/>
    <w:multiLevelType w:val="hybridMultilevel"/>
    <w:tmpl w:val="26223C62"/>
    <w:lvl w:ilvl="0" w:tplc="0405000F">
      <w:start w:val="1"/>
      <w:numFmt w:val="decimal"/>
      <w:lvlText w:val="%1."/>
      <w:lvlJc w:val="left"/>
      <w:pPr>
        <w:tabs>
          <w:tab w:val="num" w:pos="780"/>
        </w:tabs>
        <w:ind w:left="780" w:hanging="360"/>
      </w:pPr>
    </w:lvl>
    <w:lvl w:ilvl="1" w:tplc="04050019" w:tentative="1">
      <w:start w:val="1"/>
      <w:numFmt w:val="lowerLetter"/>
      <w:lvlText w:val="%2."/>
      <w:lvlJc w:val="left"/>
      <w:pPr>
        <w:tabs>
          <w:tab w:val="num" w:pos="1500"/>
        </w:tabs>
        <w:ind w:left="1500" w:hanging="360"/>
      </w:pPr>
    </w:lvl>
    <w:lvl w:ilvl="2" w:tplc="0405001B" w:tentative="1">
      <w:start w:val="1"/>
      <w:numFmt w:val="lowerRoman"/>
      <w:lvlText w:val="%3."/>
      <w:lvlJc w:val="right"/>
      <w:pPr>
        <w:tabs>
          <w:tab w:val="num" w:pos="2220"/>
        </w:tabs>
        <w:ind w:left="2220" w:hanging="180"/>
      </w:pPr>
    </w:lvl>
    <w:lvl w:ilvl="3" w:tplc="0405000F" w:tentative="1">
      <w:start w:val="1"/>
      <w:numFmt w:val="decimal"/>
      <w:lvlText w:val="%4."/>
      <w:lvlJc w:val="left"/>
      <w:pPr>
        <w:tabs>
          <w:tab w:val="num" w:pos="2940"/>
        </w:tabs>
        <w:ind w:left="2940" w:hanging="360"/>
      </w:pPr>
    </w:lvl>
    <w:lvl w:ilvl="4" w:tplc="04050019" w:tentative="1">
      <w:start w:val="1"/>
      <w:numFmt w:val="lowerLetter"/>
      <w:lvlText w:val="%5."/>
      <w:lvlJc w:val="left"/>
      <w:pPr>
        <w:tabs>
          <w:tab w:val="num" w:pos="3660"/>
        </w:tabs>
        <w:ind w:left="3660" w:hanging="360"/>
      </w:pPr>
    </w:lvl>
    <w:lvl w:ilvl="5" w:tplc="0405001B" w:tentative="1">
      <w:start w:val="1"/>
      <w:numFmt w:val="lowerRoman"/>
      <w:lvlText w:val="%6."/>
      <w:lvlJc w:val="right"/>
      <w:pPr>
        <w:tabs>
          <w:tab w:val="num" w:pos="4380"/>
        </w:tabs>
        <w:ind w:left="4380" w:hanging="180"/>
      </w:pPr>
    </w:lvl>
    <w:lvl w:ilvl="6" w:tplc="0405000F" w:tentative="1">
      <w:start w:val="1"/>
      <w:numFmt w:val="decimal"/>
      <w:lvlText w:val="%7."/>
      <w:lvlJc w:val="left"/>
      <w:pPr>
        <w:tabs>
          <w:tab w:val="num" w:pos="5100"/>
        </w:tabs>
        <w:ind w:left="5100" w:hanging="360"/>
      </w:pPr>
    </w:lvl>
    <w:lvl w:ilvl="7" w:tplc="04050019" w:tentative="1">
      <w:start w:val="1"/>
      <w:numFmt w:val="lowerLetter"/>
      <w:lvlText w:val="%8."/>
      <w:lvlJc w:val="left"/>
      <w:pPr>
        <w:tabs>
          <w:tab w:val="num" w:pos="5820"/>
        </w:tabs>
        <w:ind w:left="5820" w:hanging="360"/>
      </w:pPr>
    </w:lvl>
    <w:lvl w:ilvl="8" w:tplc="0405001B" w:tentative="1">
      <w:start w:val="1"/>
      <w:numFmt w:val="lowerRoman"/>
      <w:lvlText w:val="%9."/>
      <w:lvlJc w:val="right"/>
      <w:pPr>
        <w:tabs>
          <w:tab w:val="num" w:pos="6540"/>
        </w:tabs>
        <w:ind w:left="6540" w:hanging="180"/>
      </w:pPr>
    </w:lvl>
  </w:abstractNum>
  <w:abstractNum w:abstractNumId="13" w15:restartNumberingAfterBreak="0">
    <w:nsid w:val="0DC903DA"/>
    <w:multiLevelType w:val="hybridMultilevel"/>
    <w:tmpl w:val="B9EADC7A"/>
    <w:lvl w:ilvl="0" w:tplc="E7D2FA68">
      <w:start w:val="1"/>
      <w:numFmt w:val="decimal"/>
      <w:lvlText w:val="%1)"/>
      <w:lvlJc w:val="left"/>
      <w:pPr>
        <w:ind w:left="420" w:hanging="360"/>
      </w:pPr>
      <w:rPr>
        <w:rFonts w:hint="default"/>
        <w:b/>
        <w:bCs/>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14" w15:restartNumberingAfterBreak="0">
    <w:nsid w:val="0F376C47"/>
    <w:multiLevelType w:val="hybridMultilevel"/>
    <w:tmpl w:val="592E92D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1645AFB"/>
    <w:multiLevelType w:val="multilevel"/>
    <w:tmpl w:val="4D4823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116C0F0E"/>
    <w:multiLevelType w:val="multilevel"/>
    <w:tmpl w:val="87F8C2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17461E16"/>
    <w:multiLevelType w:val="hybridMultilevel"/>
    <w:tmpl w:val="5C662C2C"/>
    <w:lvl w:ilvl="0" w:tplc="3E328E88">
      <w:start w:val="1"/>
      <w:numFmt w:val="lowerLetter"/>
      <w:lvlText w:val="%1."/>
      <w:lvlJc w:val="left"/>
      <w:pPr>
        <w:ind w:left="1080" w:hanging="360"/>
      </w:pPr>
      <w:rPr>
        <w:rFonts w:ascii="Calibri" w:hAnsi="Calibri" w:cs="Calibri"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8" w15:restartNumberingAfterBreak="0">
    <w:nsid w:val="19B86B94"/>
    <w:multiLevelType w:val="hybridMultilevel"/>
    <w:tmpl w:val="9CD6248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1A4C0294"/>
    <w:multiLevelType w:val="multilevel"/>
    <w:tmpl w:val="4CDCE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B386403"/>
    <w:multiLevelType w:val="hybridMultilevel"/>
    <w:tmpl w:val="51DE27FA"/>
    <w:lvl w:ilvl="0" w:tplc="41CA4E0A">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1F6E6EA6"/>
    <w:multiLevelType w:val="hybridMultilevel"/>
    <w:tmpl w:val="0C3805B4"/>
    <w:lvl w:ilvl="0" w:tplc="0405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20B16CE8"/>
    <w:multiLevelType w:val="hybridMultilevel"/>
    <w:tmpl w:val="001455FC"/>
    <w:lvl w:ilvl="0" w:tplc="2F16C97A">
      <w:start w:val="1"/>
      <w:numFmt w:val="decimal"/>
      <w:lvlText w:val="%1."/>
      <w:lvlJc w:val="left"/>
      <w:pPr>
        <w:ind w:left="360" w:hanging="360"/>
      </w:pPr>
      <w:rPr>
        <w:b/>
        <w:bCs w:val="0"/>
      </w:r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start w:val="1"/>
      <w:numFmt w:val="decimal"/>
      <w:lvlText w:val="%4."/>
      <w:lvlJc w:val="left"/>
      <w:pPr>
        <w:ind w:left="2520" w:hanging="360"/>
      </w:pPr>
    </w:lvl>
    <w:lvl w:ilvl="4" w:tplc="04050019">
      <w:start w:val="1"/>
      <w:numFmt w:val="lowerLetter"/>
      <w:lvlText w:val="%5."/>
      <w:lvlJc w:val="left"/>
      <w:pPr>
        <w:ind w:left="3240" w:hanging="360"/>
      </w:pPr>
    </w:lvl>
    <w:lvl w:ilvl="5" w:tplc="0405001B">
      <w:start w:val="1"/>
      <w:numFmt w:val="lowerRoman"/>
      <w:lvlText w:val="%6."/>
      <w:lvlJc w:val="right"/>
      <w:pPr>
        <w:ind w:left="3960" w:hanging="180"/>
      </w:pPr>
    </w:lvl>
    <w:lvl w:ilvl="6" w:tplc="0405000F">
      <w:start w:val="1"/>
      <w:numFmt w:val="decimal"/>
      <w:lvlText w:val="%7."/>
      <w:lvlJc w:val="left"/>
      <w:pPr>
        <w:ind w:left="4680" w:hanging="360"/>
      </w:pPr>
    </w:lvl>
    <w:lvl w:ilvl="7" w:tplc="04050019">
      <w:start w:val="1"/>
      <w:numFmt w:val="lowerLetter"/>
      <w:lvlText w:val="%8."/>
      <w:lvlJc w:val="left"/>
      <w:pPr>
        <w:ind w:left="5400" w:hanging="360"/>
      </w:pPr>
    </w:lvl>
    <w:lvl w:ilvl="8" w:tplc="0405001B">
      <w:start w:val="1"/>
      <w:numFmt w:val="lowerRoman"/>
      <w:lvlText w:val="%9."/>
      <w:lvlJc w:val="right"/>
      <w:pPr>
        <w:ind w:left="6120" w:hanging="180"/>
      </w:pPr>
    </w:lvl>
  </w:abstractNum>
  <w:abstractNum w:abstractNumId="23" w15:restartNumberingAfterBreak="0">
    <w:nsid w:val="2403439E"/>
    <w:multiLevelType w:val="hybridMultilevel"/>
    <w:tmpl w:val="866204DA"/>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4" w15:restartNumberingAfterBreak="0">
    <w:nsid w:val="26E85E83"/>
    <w:multiLevelType w:val="multilevel"/>
    <w:tmpl w:val="539AC7AA"/>
    <w:lvl w:ilvl="0">
      <w:start w:val="1"/>
      <w:numFmt w:val="none"/>
      <w:isLgl/>
      <w:suff w:val="nothing"/>
      <w:lvlText w:val=""/>
      <w:lvlJc w:val="left"/>
      <w:pPr>
        <w:ind w:left="0" w:firstLine="0"/>
      </w:pPr>
    </w:lvl>
    <w:lvl w:ilvl="1">
      <w:start w:val="1"/>
      <w:numFmt w:val="none"/>
      <w:lvlRestart w:val="0"/>
      <w:suff w:val="nothing"/>
      <w:lvlText w:val=""/>
      <w:lvlJc w:val="left"/>
      <w:pPr>
        <w:ind w:left="0" w:firstLine="0"/>
      </w:pPr>
    </w:lvl>
    <w:lvl w:ilvl="2">
      <w:start w:val="1"/>
      <w:numFmt w:val="decimal"/>
      <w:isLgl/>
      <w:lvlText w:val="(%3)"/>
      <w:lvlJc w:val="left"/>
      <w:pPr>
        <w:tabs>
          <w:tab w:val="num" w:pos="782"/>
        </w:tabs>
        <w:ind w:left="0" w:firstLine="425"/>
      </w:pPr>
    </w:lvl>
    <w:lvl w:ilvl="3">
      <w:start w:val="1"/>
      <w:numFmt w:val="lowerLetter"/>
      <w:lvlText w:val="%4)"/>
      <w:lvlJc w:val="left"/>
      <w:pPr>
        <w:tabs>
          <w:tab w:val="num" w:pos="425"/>
        </w:tabs>
        <w:ind w:left="425" w:hanging="425"/>
      </w:pPr>
    </w:lvl>
    <w:lvl w:ilvl="4">
      <w:start w:val="1"/>
      <w:numFmt w:val="decimal"/>
      <w:isLgl/>
      <w:lvlText w:val="%5."/>
      <w:lvlJc w:val="left"/>
      <w:pPr>
        <w:tabs>
          <w:tab w:val="num" w:pos="851"/>
        </w:tabs>
        <w:ind w:left="851" w:hanging="426"/>
      </w:pPr>
    </w:lvl>
    <w:lvl w:ilvl="5">
      <w:start w:val="1"/>
      <w:numFmt w:val="none"/>
      <w:suff w:val="nothing"/>
      <w:lvlText w:val="%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5" w15:restartNumberingAfterBreak="0">
    <w:nsid w:val="26FE1CF3"/>
    <w:multiLevelType w:val="hybridMultilevel"/>
    <w:tmpl w:val="9C32A2B6"/>
    <w:lvl w:ilvl="0" w:tplc="0405000F">
      <w:start w:val="1"/>
      <w:numFmt w:val="decimal"/>
      <w:lvlText w:val="%1."/>
      <w:lvlJc w:val="left"/>
      <w:pPr>
        <w:ind w:left="1146" w:hanging="360"/>
      </w:pPr>
    </w:lvl>
    <w:lvl w:ilvl="1" w:tplc="04050019">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6" w15:restartNumberingAfterBreak="0">
    <w:nsid w:val="28806C79"/>
    <w:multiLevelType w:val="hybridMultilevel"/>
    <w:tmpl w:val="07D4A566"/>
    <w:lvl w:ilvl="0" w:tplc="CAF6C6C6">
      <w:start w:val="1"/>
      <w:numFmt w:val="lowerLetter"/>
      <w:lvlText w:val="%1)"/>
      <w:lvlJc w:val="left"/>
      <w:pPr>
        <w:ind w:left="720" w:hanging="360"/>
      </w:pPr>
      <w:rPr>
        <w:rFonts w:ascii="Times New Roman" w:eastAsia="Times New Roman" w:hAnsi="Times New Roman" w:cs="Times New Roman"/>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7" w15:restartNumberingAfterBreak="0">
    <w:nsid w:val="28E7552A"/>
    <w:multiLevelType w:val="hybridMultilevel"/>
    <w:tmpl w:val="D608B1A2"/>
    <w:lvl w:ilvl="0" w:tplc="0405000F">
      <w:start w:val="1"/>
      <w:numFmt w:val="decimal"/>
      <w:lvlText w:val="%1."/>
      <w:lvlJc w:val="left"/>
      <w:pPr>
        <w:tabs>
          <w:tab w:val="num" w:pos="780"/>
        </w:tabs>
        <w:ind w:left="780" w:hanging="360"/>
      </w:pPr>
    </w:lvl>
    <w:lvl w:ilvl="1" w:tplc="04050019" w:tentative="1">
      <w:start w:val="1"/>
      <w:numFmt w:val="lowerLetter"/>
      <w:lvlText w:val="%2."/>
      <w:lvlJc w:val="left"/>
      <w:pPr>
        <w:tabs>
          <w:tab w:val="num" w:pos="1500"/>
        </w:tabs>
        <w:ind w:left="1500" w:hanging="360"/>
      </w:pPr>
    </w:lvl>
    <w:lvl w:ilvl="2" w:tplc="0405001B" w:tentative="1">
      <w:start w:val="1"/>
      <w:numFmt w:val="lowerRoman"/>
      <w:lvlText w:val="%3."/>
      <w:lvlJc w:val="right"/>
      <w:pPr>
        <w:tabs>
          <w:tab w:val="num" w:pos="2220"/>
        </w:tabs>
        <w:ind w:left="2220" w:hanging="180"/>
      </w:pPr>
    </w:lvl>
    <w:lvl w:ilvl="3" w:tplc="0405000F" w:tentative="1">
      <w:start w:val="1"/>
      <w:numFmt w:val="decimal"/>
      <w:lvlText w:val="%4."/>
      <w:lvlJc w:val="left"/>
      <w:pPr>
        <w:tabs>
          <w:tab w:val="num" w:pos="2940"/>
        </w:tabs>
        <w:ind w:left="2940" w:hanging="360"/>
      </w:pPr>
    </w:lvl>
    <w:lvl w:ilvl="4" w:tplc="04050019" w:tentative="1">
      <w:start w:val="1"/>
      <w:numFmt w:val="lowerLetter"/>
      <w:lvlText w:val="%5."/>
      <w:lvlJc w:val="left"/>
      <w:pPr>
        <w:tabs>
          <w:tab w:val="num" w:pos="3660"/>
        </w:tabs>
        <w:ind w:left="3660" w:hanging="360"/>
      </w:pPr>
    </w:lvl>
    <w:lvl w:ilvl="5" w:tplc="0405001B" w:tentative="1">
      <w:start w:val="1"/>
      <w:numFmt w:val="lowerRoman"/>
      <w:lvlText w:val="%6."/>
      <w:lvlJc w:val="right"/>
      <w:pPr>
        <w:tabs>
          <w:tab w:val="num" w:pos="4380"/>
        </w:tabs>
        <w:ind w:left="4380" w:hanging="180"/>
      </w:pPr>
    </w:lvl>
    <w:lvl w:ilvl="6" w:tplc="0405000F" w:tentative="1">
      <w:start w:val="1"/>
      <w:numFmt w:val="decimal"/>
      <w:lvlText w:val="%7."/>
      <w:lvlJc w:val="left"/>
      <w:pPr>
        <w:tabs>
          <w:tab w:val="num" w:pos="5100"/>
        </w:tabs>
        <w:ind w:left="5100" w:hanging="360"/>
      </w:pPr>
    </w:lvl>
    <w:lvl w:ilvl="7" w:tplc="04050019" w:tentative="1">
      <w:start w:val="1"/>
      <w:numFmt w:val="lowerLetter"/>
      <w:lvlText w:val="%8."/>
      <w:lvlJc w:val="left"/>
      <w:pPr>
        <w:tabs>
          <w:tab w:val="num" w:pos="5820"/>
        </w:tabs>
        <w:ind w:left="5820" w:hanging="360"/>
      </w:pPr>
    </w:lvl>
    <w:lvl w:ilvl="8" w:tplc="0405001B" w:tentative="1">
      <w:start w:val="1"/>
      <w:numFmt w:val="lowerRoman"/>
      <w:lvlText w:val="%9."/>
      <w:lvlJc w:val="right"/>
      <w:pPr>
        <w:tabs>
          <w:tab w:val="num" w:pos="6540"/>
        </w:tabs>
        <w:ind w:left="6540" w:hanging="180"/>
      </w:pPr>
    </w:lvl>
  </w:abstractNum>
  <w:abstractNum w:abstractNumId="28" w15:restartNumberingAfterBreak="0">
    <w:nsid w:val="291E249A"/>
    <w:multiLevelType w:val="hybridMultilevel"/>
    <w:tmpl w:val="52DAFBC8"/>
    <w:lvl w:ilvl="0" w:tplc="BDFC2320">
      <w:start w:val="1"/>
      <w:numFmt w:val="decimal"/>
      <w:lvlText w:val="%1."/>
      <w:lvlJc w:val="left"/>
      <w:pPr>
        <w:ind w:left="1080" w:hanging="360"/>
      </w:pPr>
      <w:rPr>
        <w:b/>
        <w:bCs/>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9" w15:restartNumberingAfterBreak="0">
    <w:nsid w:val="2AF66ADF"/>
    <w:multiLevelType w:val="multilevel"/>
    <w:tmpl w:val="00A410C0"/>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pStyle w:val="Textpechodka"/>
      <w:isLgl/>
      <w:lvlText w:val="%3."/>
      <w:lvlJc w:val="left"/>
      <w:pPr>
        <w:tabs>
          <w:tab w:val="num" w:pos="425"/>
        </w:tabs>
        <w:ind w:left="425" w:hanging="425"/>
      </w:pPr>
      <w:rPr>
        <w:rFonts w:hint="default"/>
      </w:rPr>
    </w:lvl>
    <w:lvl w:ilvl="3">
      <w:start w:val="1"/>
      <w:numFmt w:val="lowerLetter"/>
      <w:pStyle w:val="Textpechodkapsmene"/>
      <w:lvlText w:val="%4)"/>
      <w:lvlJc w:val="left"/>
      <w:pPr>
        <w:tabs>
          <w:tab w:val="num" w:pos="851"/>
        </w:tabs>
        <w:ind w:left="851" w:hanging="426"/>
      </w:pPr>
      <w:rPr>
        <w:rFonts w:hint="default"/>
      </w:rPr>
    </w:lvl>
    <w:lvl w:ilvl="4">
      <w:start w:val="1"/>
      <w:numFmt w:val="none"/>
      <w:suff w:val="nothing"/>
      <w:lvlText w:val=""/>
      <w:lvlJc w:val="left"/>
      <w:pPr>
        <w:ind w:left="0" w:firstLine="0"/>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0" w15:restartNumberingAfterBreak="0">
    <w:nsid w:val="2B50581F"/>
    <w:multiLevelType w:val="hybridMultilevel"/>
    <w:tmpl w:val="48C2CB0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337B2967"/>
    <w:multiLevelType w:val="hybridMultilevel"/>
    <w:tmpl w:val="7FA2FE0E"/>
    <w:lvl w:ilvl="0" w:tplc="FFFFFFFF">
      <w:start w:val="1"/>
      <w:numFmt w:val="lowerLetter"/>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33A45B47"/>
    <w:multiLevelType w:val="hybridMultilevel"/>
    <w:tmpl w:val="FD94B7B8"/>
    <w:lvl w:ilvl="0" w:tplc="D6BC784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33FA43B6"/>
    <w:multiLevelType w:val="hybridMultilevel"/>
    <w:tmpl w:val="DD42BCFA"/>
    <w:lvl w:ilvl="0" w:tplc="04050015">
      <w:start w:val="1"/>
      <w:numFmt w:val="upp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355E157D"/>
    <w:multiLevelType w:val="hybridMultilevel"/>
    <w:tmpl w:val="43EC028C"/>
    <w:lvl w:ilvl="0" w:tplc="FFFFFFFF">
      <w:start w:val="1"/>
      <w:numFmt w:val="decimal"/>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5" w15:restartNumberingAfterBreak="0">
    <w:nsid w:val="35C7449A"/>
    <w:multiLevelType w:val="hybridMultilevel"/>
    <w:tmpl w:val="04F4725E"/>
    <w:lvl w:ilvl="0" w:tplc="04050015">
      <w:start w:val="1"/>
      <w:numFmt w:val="upp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3877693A"/>
    <w:multiLevelType w:val="hybridMultilevel"/>
    <w:tmpl w:val="5B7C4104"/>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7" w15:restartNumberingAfterBreak="0">
    <w:nsid w:val="39208B8D"/>
    <w:multiLevelType w:val="hybridMultilevel"/>
    <w:tmpl w:val="22849E0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39C1714D"/>
    <w:multiLevelType w:val="hybridMultilevel"/>
    <w:tmpl w:val="AD6EEAC6"/>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39" w15:restartNumberingAfterBreak="0">
    <w:nsid w:val="3AA17959"/>
    <w:multiLevelType w:val="hybridMultilevel"/>
    <w:tmpl w:val="9746EA7E"/>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3B3F2522"/>
    <w:multiLevelType w:val="hybridMultilevel"/>
    <w:tmpl w:val="661E230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3BA61AEE"/>
    <w:multiLevelType w:val="hybridMultilevel"/>
    <w:tmpl w:val="9732FF10"/>
    <w:lvl w:ilvl="0" w:tplc="0405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3BF02DFC"/>
    <w:multiLevelType w:val="multilevel"/>
    <w:tmpl w:val="25F0C7C0"/>
    <w:numStyleLink w:val="Styl1"/>
  </w:abstractNum>
  <w:abstractNum w:abstractNumId="43" w15:restartNumberingAfterBreak="0">
    <w:nsid w:val="3CA015C3"/>
    <w:multiLevelType w:val="hybridMultilevel"/>
    <w:tmpl w:val="6D18D48E"/>
    <w:lvl w:ilvl="0" w:tplc="4F36632A">
      <w:start w:val="1"/>
      <w:numFmt w:val="decimal"/>
      <w:lvlText w:val="%1."/>
      <w:lvlJc w:val="left"/>
      <w:pPr>
        <w:ind w:left="720" w:hanging="360"/>
      </w:pPr>
      <w:rPr>
        <w:rFonts w:hint="default"/>
        <w:b/>
        <w:bCs/>
        <w:i w:val="0"/>
        <w:i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3CA13B25"/>
    <w:multiLevelType w:val="multilevel"/>
    <w:tmpl w:val="76A04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DA94A44"/>
    <w:multiLevelType w:val="multilevel"/>
    <w:tmpl w:val="30F8ED06"/>
    <w:lvl w:ilvl="0">
      <w:start w:val="1"/>
      <w:numFmt w:val="bullet"/>
      <w:lvlText w:val=""/>
      <w:lvlJc w:val="left"/>
      <w:pPr>
        <w:ind w:left="720" w:hanging="360"/>
      </w:pPr>
      <w:rPr>
        <w:rFonts w:ascii="Symbol" w:hAnsi="Symbol" w:hint="default"/>
      </w:rPr>
    </w:lvl>
    <w:lvl w:ilvl="1">
      <w:start w:val="1"/>
      <w:numFmt w:val="decimal"/>
      <w:lvlText w:val="%2."/>
      <w:lvlJc w:val="left"/>
      <w:pPr>
        <w:ind w:left="72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46" w15:restartNumberingAfterBreak="0">
    <w:nsid w:val="3E394F0E"/>
    <w:multiLevelType w:val="multilevel"/>
    <w:tmpl w:val="48462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ECE3556"/>
    <w:multiLevelType w:val="hybridMultilevel"/>
    <w:tmpl w:val="F9DC263E"/>
    <w:lvl w:ilvl="0" w:tplc="A56A83D8">
      <w:start w:val="1"/>
      <w:numFmt w:val="decimal"/>
      <w:lvlText w:val="%1."/>
      <w:lvlJc w:val="left"/>
      <w:pPr>
        <w:ind w:left="720" w:hanging="360"/>
      </w:pPr>
      <w:rPr>
        <w:b/>
        <w:bCs/>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48" w15:restartNumberingAfterBreak="0">
    <w:nsid w:val="3FF30EE7"/>
    <w:multiLevelType w:val="multilevel"/>
    <w:tmpl w:val="DED05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02A3A96"/>
    <w:multiLevelType w:val="hybridMultilevel"/>
    <w:tmpl w:val="727A32D2"/>
    <w:lvl w:ilvl="0" w:tplc="0405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0" w15:restartNumberingAfterBreak="0">
    <w:nsid w:val="4239402F"/>
    <w:multiLevelType w:val="multilevel"/>
    <w:tmpl w:val="E1609F96"/>
    <w:lvl w:ilvl="0">
      <w:start w:val="3"/>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2E64042"/>
    <w:multiLevelType w:val="multilevel"/>
    <w:tmpl w:val="5E3CB39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3F714AF"/>
    <w:multiLevelType w:val="hybridMultilevel"/>
    <w:tmpl w:val="B3BCE52C"/>
    <w:lvl w:ilvl="0" w:tplc="FFFFFFFF">
      <w:start w:val="1"/>
      <w:numFmt w:val="bullet"/>
      <w:lvlText w:val="•"/>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3" w15:restartNumberingAfterBreak="0">
    <w:nsid w:val="441D4D5E"/>
    <w:multiLevelType w:val="hybridMultilevel"/>
    <w:tmpl w:val="8BB40804"/>
    <w:lvl w:ilvl="0" w:tplc="0405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4" w15:restartNumberingAfterBreak="0">
    <w:nsid w:val="447C163D"/>
    <w:multiLevelType w:val="multilevel"/>
    <w:tmpl w:val="BE96F6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58F4081"/>
    <w:multiLevelType w:val="hybridMultilevel"/>
    <w:tmpl w:val="183C1F0C"/>
    <w:lvl w:ilvl="0" w:tplc="5A1AF7B8">
      <w:numFmt w:val="bullet"/>
      <w:lvlText w:val="-"/>
      <w:lvlJc w:val="left"/>
      <w:pPr>
        <w:ind w:left="720" w:hanging="360"/>
      </w:pPr>
      <w:rPr>
        <w:rFonts w:ascii="Times New Roman" w:eastAsia="Aptos"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56" w15:restartNumberingAfterBreak="0">
    <w:nsid w:val="47DD2A80"/>
    <w:multiLevelType w:val="hybridMultilevel"/>
    <w:tmpl w:val="43C096B8"/>
    <w:lvl w:ilvl="0" w:tplc="8B68A672">
      <w:start w:val="1"/>
      <w:numFmt w:val="decimal"/>
      <w:lvlText w:val="%1."/>
      <w:lvlJc w:val="left"/>
      <w:pPr>
        <w:ind w:left="1080" w:hanging="360"/>
      </w:pPr>
      <w:rPr>
        <w:rFonts w:hint="default"/>
        <w:b/>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7" w15:restartNumberingAfterBreak="0">
    <w:nsid w:val="4F02DAF9"/>
    <w:multiLevelType w:val="hybridMultilevel"/>
    <w:tmpl w:val="B80A58A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8" w15:restartNumberingAfterBreak="0">
    <w:nsid w:val="4FD27748"/>
    <w:multiLevelType w:val="multilevel"/>
    <w:tmpl w:val="A44477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524C73CB"/>
    <w:multiLevelType w:val="multilevel"/>
    <w:tmpl w:val="273211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557A69BC"/>
    <w:multiLevelType w:val="hybridMultilevel"/>
    <w:tmpl w:val="233E84F8"/>
    <w:lvl w:ilvl="0" w:tplc="FFFFFFFF">
      <w:start w:val="1"/>
      <w:numFmt w:val="decimal"/>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1" w15:restartNumberingAfterBreak="0">
    <w:nsid w:val="566765CD"/>
    <w:multiLevelType w:val="hybridMultilevel"/>
    <w:tmpl w:val="1EBC9920"/>
    <w:lvl w:ilvl="0" w:tplc="DADCAC64">
      <w:start w:val="1"/>
      <w:numFmt w:val="decimal"/>
      <w:lvlText w:val="%1."/>
      <w:lvlJc w:val="left"/>
      <w:pPr>
        <w:ind w:left="360" w:hanging="360"/>
      </w:pPr>
      <w:rPr>
        <w:b/>
        <w:bCs w:val="0"/>
        <w:i w:val="0"/>
        <w:i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2" w15:restartNumberingAfterBreak="0">
    <w:nsid w:val="58C34FF8"/>
    <w:multiLevelType w:val="hybridMultilevel"/>
    <w:tmpl w:val="FFFFFFFF"/>
    <w:lvl w:ilvl="0" w:tplc="FFFFFFFF">
      <w:start w:val="1"/>
      <w:numFmt w:val="upperLetter"/>
      <w:lvlText w:val=""/>
      <w:lvlJc w:val="left"/>
    </w:lvl>
    <w:lvl w:ilvl="1" w:tplc="FFFFFFFF">
      <w:start w:val="1"/>
      <w:numFmt w:val="lowerLetter"/>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3" w15:restartNumberingAfterBreak="0">
    <w:nsid w:val="5CBF4B39"/>
    <w:multiLevelType w:val="hybridMultilevel"/>
    <w:tmpl w:val="A53222A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4" w15:restartNumberingAfterBreak="0">
    <w:nsid w:val="5E565C7F"/>
    <w:multiLevelType w:val="hybridMultilevel"/>
    <w:tmpl w:val="583C873C"/>
    <w:lvl w:ilvl="0" w:tplc="0405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5" w15:restartNumberingAfterBreak="0">
    <w:nsid w:val="5E5B088B"/>
    <w:multiLevelType w:val="hybridMultilevel"/>
    <w:tmpl w:val="B944D74E"/>
    <w:lvl w:ilvl="0" w:tplc="0405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6" w15:restartNumberingAfterBreak="0">
    <w:nsid w:val="5F32A3E3"/>
    <w:multiLevelType w:val="hybridMultilevel"/>
    <w:tmpl w:val="9C8D4BF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7" w15:restartNumberingAfterBreak="0">
    <w:nsid w:val="5F3D77E7"/>
    <w:multiLevelType w:val="multilevel"/>
    <w:tmpl w:val="25F0C7C0"/>
    <w:styleLink w:val="Styl1"/>
    <w:lvl w:ilvl="0">
      <w:start w:val="1"/>
      <w:numFmt w:val="upperLetter"/>
      <w:lvlText w:val="%1."/>
      <w:lvlJc w:val="left"/>
      <w:pPr>
        <w:ind w:left="360" w:hanging="360"/>
      </w:pPr>
      <w:rPr>
        <w:rFonts w:cs="Times New Roman" w:hint="default"/>
      </w:rPr>
    </w:lvl>
    <w:lvl w:ilvl="1">
      <w:start w:val="1"/>
      <w:numFmt w:val="decimal"/>
      <w:lvlText w:val="%2."/>
      <w:lvlJc w:val="left"/>
      <w:pPr>
        <w:ind w:left="36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8" w15:restartNumberingAfterBreak="0">
    <w:nsid w:val="60502EBB"/>
    <w:multiLevelType w:val="hybridMultilevel"/>
    <w:tmpl w:val="FDFC5B3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9" w15:restartNumberingAfterBreak="0">
    <w:nsid w:val="619F4F85"/>
    <w:multiLevelType w:val="hybridMultilevel"/>
    <w:tmpl w:val="0360F24A"/>
    <w:lvl w:ilvl="0" w:tplc="ABBA93AC">
      <w:start w:val="1"/>
      <w:numFmt w:val="decimal"/>
      <w:lvlText w:val="%1."/>
      <w:lvlJc w:val="left"/>
      <w:rPr>
        <w:b/>
        <w:bCs/>
        <w:i w:val="0"/>
        <w:iCs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0" w15:restartNumberingAfterBreak="0">
    <w:nsid w:val="61FA79E2"/>
    <w:multiLevelType w:val="multilevel"/>
    <w:tmpl w:val="A524DAA6"/>
    <w:lvl w:ilvl="0">
      <w:start w:val="2"/>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2BF7A06"/>
    <w:multiLevelType w:val="hybridMultilevel"/>
    <w:tmpl w:val="39802F86"/>
    <w:lvl w:ilvl="0" w:tplc="8B68A672">
      <w:start w:val="1"/>
      <w:numFmt w:val="decimal"/>
      <w:lvlText w:val="%1."/>
      <w:lvlJc w:val="left"/>
      <w:pPr>
        <w:ind w:left="1080" w:hanging="360"/>
      </w:pPr>
      <w:rPr>
        <w:rFonts w:hint="default"/>
        <w:b/>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2" w15:restartNumberingAfterBreak="0">
    <w:nsid w:val="63160BF9"/>
    <w:multiLevelType w:val="hybridMultilevel"/>
    <w:tmpl w:val="01B84AB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3" w15:restartNumberingAfterBreak="0">
    <w:nsid w:val="644F7FF7"/>
    <w:multiLevelType w:val="multilevel"/>
    <w:tmpl w:val="DF3CBA3E"/>
    <w:lvl w:ilvl="0">
      <w:start w:val="1"/>
      <w:numFmt w:val="none"/>
      <w:suff w:val="nothing"/>
      <w:lvlText w:val=""/>
      <w:lvlJc w:val="left"/>
      <w:pPr>
        <w:tabs>
          <w:tab w:val="num" w:pos="360"/>
        </w:tabs>
        <w:ind w:left="360" w:hanging="360"/>
      </w:pPr>
    </w:lvl>
    <w:lvl w:ilvl="1">
      <w:start w:val="1"/>
      <w:numFmt w:val="none"/>
      <w:suff w:val="nothing"/>
      <w:lvlText w:val=""/>
      <w:lvlJc w:val="left"/>
      <w:pPr>
        <w:ind w:left="0" w:firstLine="0"/>
      </w:pPr>
    </w:lvl>
    <w:lvl w:ilvl="2">
      <w:start w:val="1"/>
      <w:numFmt w:val="decimal"/>
      <w:suff w:val="space"/>
      <w:lvlText w:val="%3."/>
      <w:lvlJc w:val="left"/>
      <w:pPr>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suff w:val="space"/>
      <w:lvlText w:val="%8)"/>
      <w:lvlJc w:val="left"/>
      <w:pPr>
        <w:ind w:left="2880" w:hanging="360"/>
      </w:pPr>
    </w:lvl>
    <w:lvl w:ilvl="8">
      <w:start w:val="1"/>
      <w:numFmt w:val="lowerRoman"/>
      <w:lvlText w:val="%9."/>
      <w:lvlJc w:val="left"/>
      <w:pPr>
        <w:tabs>
          <w:tab w:val="num" w:pos="3240"/>
        </w:tabs>
        <w:ind w:left="3240" w:hanging="360"/>
      </w:pPr>
    </w:lvl>
  </w:abstractNum>
  <w:abstractNum w:abstractNumId="74" w15:restartNumberingAfterBreak="0">
    <w:nsid w:val="648B7192"/>
    <w:multiLevelType w:val="multilevel"/>
    <w:tmpl w:val="8DA0C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49E4AB2"/>
    <w:multiLevelType w:val="hybridMultilevel"/>
    <w:tmpl w:val="3DB00036"/>
    <w:lvl w:ilvl="0" w:tplc="FFFFFFFF">
      <w:start w:val="1"/>
      <w:numFmt w:val="decimal"/>
      <w:lvlText w:val="%1."/>
      <w:lvlJc w:val="left"/>
      <w:pPr>
        <w:ind w:left="360" w:hanging="360"/>
      </w:pPr>
      <w:rPr>
        <w:b/>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6" w15:restartNumberingAfterBreak="0">
    <w:nsid w:val="669F1FC6"/>
    <w:multiLevelType w:val="multilevel"/>
    <w:tmpl w:val="E0C8EA34"/>
    <w:lvl w:ilvl="0">
      <w:start w:val="5"/>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66C263B1"/>
    <w:multiLevelType w:val="hybridMultilevel"/>
    <w:tmpl w:val="FA2C0780"/>
    <w:lvl w:ilvl="0" w:tplc="88E4FB66">
      <w:start w:val="1"/>
      <w:numFmt w:val="upperRoman"/>
      <w:lvlText w:val="%1."/>
      <w:lvlJc w:val="left"/>
      <w:pPr>
        <w:ind w:left="1080" w:hanging="72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8" w15:restartNumberingAfterBreak="0">
    <w:nsid w:val="6A150715"/>
    <w:multiLevelType w:val="hybridMultilevel"/>
    <w:tmpl w:val="CDC82CD4"/>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79" w15:restartNumberingAfterBreak="0">
    <w:nsid w:val="6A275B12"/>
    <w:multiLevelType w:val="hybridMultilevel"/>
    <w:tmpl w:val="B31DC76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0" w15:restartNumberingAfterBreak="0">
    <w:nsid w:val="6B597CAB"/>
    <w:multiLevelType w:val="multilevel"/>
    <w:tmpl w:val="DAE65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C652FD9"/>
    <w:multiLevelType w:val="hybridMultilevel"/>
    <w:tmpl w:val="C37AA1AA"/>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82" w15:restartNumberingAfterBreak="0">
    <w:nsid w:val="6D7B45E9"/>
    <w:multiLevelType w:val="hybridMultilevel"/>
    <w:tmpl w:val="F094EA80"/>
    <w:styleLink w:val="Styl13"/>
    <w:lvl w:ilvl="0" w:tplc="E7D2E78C">
      <w:start w:val="1"/>
      <w:numFmt w:val="decimal"/>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3" w15:restartNumberingAfterBreak="0">
    <w:nsid w:val="6FF26ED4"/>
    <w:multiLevelType w:val="hybridMultilevel"/>
    <w:tmpl w:val="0EE48D9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4" w15:restartNumberingAfterBreak="0">
    <w:nsid w:val="70942853"/>
    <w:multiLevelType w:val="multilevel"/>
    <w:tmpl w:val="75EC7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1023599"/>
    <w:multiLevelType w:val="hybridMultilevel"/>
    <w:tmpl w:val="D37E321A"/>
    <w:lvl w:ilvl="0" w:tplc="FFFFFFFF">
      <w:start w:val="1"/>
      <w:numFmt w:val="upperLetter"/>
      <w:lvlText w:val=""/>
      <w:lvlJc w:val="left"/>
    </w:lvl>
    <w:lvl w:ilvl="1" w:tplc="04050015">
      <w:start w:val="1"/>
      <w:numFmt w:val="upperLetter"/>
      <w:lvlText w:val="%2."/>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6" w15:restartNumberingAfterBreak="0">
    <w:nsid w:val="72771C3F"/>
    <w:multiLevelType w:val="hybridMultilevel"/>
    <w:tmpl w:val="20C2F84E"/>
    <w:lvl w:ilvl="0" w:tplc="A4667EF6">
      <w:start w:val="1"/>
      <w:numFmt w:val="decimal"/>
      <w:lvlText w:val="%1."/>
      <w:lvlJc w:val="left"/>
      <w:pPr>
        <w:ind w:left="1127" w:hanging="560"/>
      </w:pPr>
    </w:lvl>
    <w:lvl w:ilvl="1" w:tplc="04050019">
      <w:start w:val="1"/>
      <w:numFmt w:val="lowerLetter"/>
      <w:lvlText w:val="%2."/>
      <w:lvlJc w:val="left"/>
      <w:pPr>
        <w:ind w:left="1647" w:hanging="360"/>
      </w:pPr>
    </w:lvl>
    <w:lvl w:ilvl="2" w:tplc="0405001B">
      <w:start w:val="1"/>
      <w:numFmt w:val="lowerRoman"/>
      <w:lvlText w:val="%3."/>
      <w:lvlJc w:val="right"/>
      <w:pPr>
        <w:ind w:left="2367" w:hanging="180"/>
      </w:pPr>
    </w:lvl>
    <w:lvl w:ilvl="3" w:tplc="0405000F">
      <w:start w:val="1"/>
      <w:numFmt w:val="decimal"/>
      <w:lvlText w:val="%4."/>
      <w:lvlJc w:val="left"/>
      <w:pPr>
        <w:ind w:left="3087" w:hanging="360"/>
      </w:pPr>
    </w:lvl>
    <w:lvl w:ilvl="4" w:tplc="04050019">
      <w:start w:val="1"/>
      <w:numFmt w:val="lowerLetter"/>
      <w:lvlText w:val="%5."/>
      <w:lvlJc w:val="left"/>
      <w:pPr>
        <w:ind w:left="3807" w:hanging="360"/>
      </w:pPr>
    </w:lvl>
    <w:lvl w:ilvl="5" w:tplc="0405001B">
      <w:start w:val="1"/>
      <w:numFmt w:val="lowerRoman"/>
      <w:lvlText w:val="%6."/>
      <w:lvlJc w:val="right"/>
      <w:pPr>
        <w:ind w:left="4527" w:hanging="180"/>
      </w:pPr>
    </w:lvl>
    <w:lvl w:ilvl="6" w:tplc="0405000F">
      <w:start w:val="1"/>
      <w:numFmt w:val="decimal"/>
      <w:lvlText w:val="%7."/>
      <w:lvlJc w:val="left"/>
      <w:pPr>
        <w:ind w:left="5247" w:hanging="360"/>
      </w:pPr>
    </w:lvl>
    <w:lvl w:ilvl="7" w:tplc="04050019">
      <w:start w:val="1"/>
      <w:numFmt w:val="lowerLetter"/>
      <w:lvlText w:val="%8."/>
      <w:lvlJc w:val="left"/>
      <w:pPr>
        <w:ind w:left="5967" w:hanging="360"/>
      </w:pPr>
    </w:lvl>
    <w:lvl w:ilvl="8" w:tplc="0405001B">
      <w:start w:val="1"/>
      <w:numFmt w:val="lowerRoman"/>
      <w:lvlText w:val="%9."/>
      <w:lvlJc w:val="right"/>
      <w:pPr>
        <w:ind w:left="6687" w:hanging="180"/>
      </w:pPr>
    </w:lvl>
  </w:abstractNum>
  <w:abstractNum w:abstractNumId="87" w15:restartNumberingAfterBreak="0">
    <w:nsid w:val="72CD7AB0"/>
    <w:multiLevelType w:val="hybridMultilevel"/>
    <w:tmpl w:val="036A7AE2"/>
    <w:lvl w:ilvl="0" w:tplc="0405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8" w15:restartNumberingAfterBreak="0">
    <w:nsid w:val="72F446FA"/>
    <w:multiLevelType w:val="hybridMultilevel"/>
    <w:tmpl w:val="3E5E107E"/>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9" w15:restartNumberingAfterBreak="0">
    <w:nsid w:val="7359746C"/>
    <w:multiLevelType w:val="hybridMultilevel"/>
    <w:tmpl w:val="65CE10F6"/>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0" w15:restartNumberingAfterBreak="0">
    <w:nsid w:val="74CA47FF"/>
    <w:multiLevelType w:val="hybridMultilevel"/>
    <w:tmpl w:val="21C4A16E"/>
    <w:lvl w:ilvl="0" w:tplc="FFFFFFFF">
      <w:start w:val="1"/>
      <w:numFmt w:val="lowerLetter"/>
      <w:lvlText w:val="%1)"/>
      <w:lvlJc w:val="left"/>
      <w:pPr>
        <w:ind w:left="720" w:hanging="360"/>
      </w:pPr>
      <w:rPr>
        <w:rFonts w:ascii="Times New Roman" w:eastAsia="Times New Roman" w:hAnsi="Times New Roman" w:cs="Arial"/>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1" w15:restartNumberingAfterBreak="0">
    <w:nsid w:val="75576E22"/>
    <w:multiLevelType w:val="multilevel"/>
    <w:tmpl w:val="DC2E85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765D29DB"/>
    <w:multiLevelType w:val="multilevel"/>
    <w:tmpl w:val="D714D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6FF71D4"/>
    <w:multiLevelType w:val="hybridMultilevel"/>
    <w:tmpl w:val="BB84526E"/>
    <w:lvl w:ilvl="0" w:tplc="AC3C1A74">
      <w:start w:val="1"/>
      <w:numFmt w:val="decimal"/>
      <w:lvlText w:val="%1)"/>
      <w:lvlJc w:val="left"/>
      <w:pPr>
        <w:ind w:left="720" w:hanging="360"/>
      </w:pPr>
      <w:rPr>
        <w:rFonts w:hint="default"/>
        <w:b/>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4" w15:restartNumberingAfterBreak="0">
    <w:nsid w:val="77B10107"/>
    <w:multiLevelType w:val="hybridMultilevel"/>
    <w:tmpl w:val="4D90031C"/>
    <w:lvl w:ilvl="0" w:tplc="0405000F">
      <w:start w:val="1"/>
      <w:numFmt w:val="decimal"/>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95" w15:restartNumberingAfterBreak="0">
    <w:nsid w:val="7833208D"/>
    <w:multiLevelType w:val="hybridMultilevel"/>
    <w:tmpl w:val="3FE6ADC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6" w15:restartNumberingAfterBreak="0">
    <w:nsid w:val="7A4C0C3D"/>
    <w:multiLevelType w:val="hybridMultilevel"/>
    <w:tmpl w:val="D1AA2502"/>
    <w:lvl w:ilvl="0" w:tplc="D6BC7842">
      <w:start w:val="1"/>
      <w:numFmt w:val="decimal"/>
      <w:lvlText w:val="%1)"/>
      <w:lvlJc w:val="left"/>
      <w:pPr>
        <w:ind w:left="720" w:hanging="360"/>
      </w:pPr>
      <w:rPr>
        <w:rFonts w:hint="default"/>
      </w:rPr>
    </w:lvl>
    <w:lvl w:ilvl="1" w:tplc="ED78BC84" w:tentative="1">
      <w:start w:val="1"/>
      <w:numFmt w:val="lowerLetter"/>
      <w:lvlText w:val="%2."/>
      <w:lvlJc w:val="left"/>
      <w:pPr>
        <w:ind w:left="1440" w:hanging="360"/>
      </w:pPr>
    </w:lvl>
    <w:lvl w:ilvl="2" w:tplc="ACB40AD8" w:tentative="1">
      <w:start w:val="1"/>
      <w:numFmt w:val="lowerRoman"/>
      <w:lvlText w:val="%3."/>
      <w:lvlJc w:val="right"/>
      <w:pPr>
        <w:ind w:left="2160" w:hanging="180"/>
      </w:pPr>
    </w:lvl>
    <w:lvl w:ilvl="3" w:tplc="4F805CF6" w:tentative="1">
      <w:start w:val="1"/>
      <w:numFmt w:val="decimal"/>
      <w:lvlText w:val="%4."/>
      <w:lvlJc w:val="left"/>
      <w:pPr>
        <w:ind w:left="2880" w:hanging="360"/>
      </w:pPr>
    </w:lvl>
    <w:lvl w:ilvl="4" w:tplc="D7CC5F0E" w:tentative="1">
      <w:start w:val="1"/>
      <w:numFmt w:val="lowerLetter"/>
      <w:lvlText w:val="%5."/>
      <w:lvlJc w:val="left"/>
      <w:pPr>
        <w:ind w:left="3600" w:hanging="360"/>
      </w:pPr>
    </w:lvl>
    <w:lvl w:ilvl="5" w:tplc="3012B0C2" w:tentative="1">
      <w:start w:val="1"/>
      <w:numFmt w:val="lowerRoman"/>
      <w:lvlText w:val="%6."/>
      <w:lvlJc w:val="right"/>
      <w:pPr>
        <w:ind w:left="4320" w:hanging="180"/>
      </w:pPr>
    </w:lvl>
    <w:lvl w:ilvl="6" w:tplc="9FBEDEBE" w:tentative="1">
      <w:start w:val="1"/>
      <w:numFmt w:val="decimal"/>
      <w:lvlText w:val="%7."/>
      <w:lvlJc w:val="left"/>
      <w:pPr>
        <w:ind w:left="5040" w:hanging="360"/>
      </w:pPr>
    </w:lvl>
    <w:lvl w:ilvl="7" w:tplc="AD7049F6" w:tentative="1">
      <w:start w:val="1"/>
      <w:numFmt w:val="lowerLetter"/>
      <w:lvlText w:val="%8."/>
      <w:lvlJc w:val="left"/>
      <w:pPr>
        <w:ind w:left="5760" w:hanging="360"/>
      </w:pPr>
    </w:lvl>
    <w:lvl w:ilvl="8" w:tplc="DD06CEC4" w:tentative="1">
      <w:start w:val="1"/>
      <w:numFmt w:val="lowerRoman"/>
      <w:lvlText w:val="%9."/>
      <w:lvlJc w:val="right"/>
      <w:pPr>
        <w:ind w:left="6480" w:hanging="180"/>
      </w:pPr>
    </w:lvl>
  </w:abstractNum>
  <w:abstractNum w:abstractNumId="97" w15:restartNumberingAfterBreak="0">
    <w:nsid w:val="7A5F681C"/>
    <w:multiLevelType w:val="hybridMultilevel"/>
    <w:tmpl w:val="B094C09A"/>
    <w:lvl w:ilvl="0" w:tplc="F6469976">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98" w15:restartNumberingAfterBreak="0">
    <w:nsid w:val="7AC54B4A"/>
    <w:multiLevelType w:val="hybridMultilevel"/>
    <w:tmpl w:val="3BE5B3E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9" w15:restartNumberingAfterBreak="0">
    <w:nsid w:val="7D8D516C"/>
    <w:multiLevelType w:val="hybridMultilevel"/>
    <w:tmpl w:val="78968A34"/>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16cid:durableId="700282008">
    <w:abstractNumId w:val="4"/>
  </w:num>
  <w:num w:numId="2" w16cid:durableId="1953514665">
    <w:abstractNumId w:val="29"/>
  </w:num>
  <w:num w:numId="3" w16cid:durableId="1830903376">
    <w:abstractNumId w:val="93"/>
  </w:num>
  <w:num w:numId="4" w16cid:durableId="1198275250">
    <w:abstractNumId w:val="0"/>
  </w:num>
  <w:num w:numId="5" w16cid:durableId="1161190370">
    <w:abstractNumId w:val="98"/>
  </w:num>
  <w:num w:numId="6" w16cid:durableId="1063064686">
    <w:abstractNumId w:val="65"/>
  </w:num>
  <w:num w:numId="7" w16cid:durableId="1132864909">
    <w:abstractNumId w:val="82"/>
  </w:num>
  <w:num w:numId="8" w16cid:durableId="997684157">
    <w:abstractNumId w:val="2"/>
  </w:num>
  <w:num w:numId="9" w16cid:durableId="1560365768">
    <w:abstractNumId w:val="33"/>
  </w:num>
  <w:num w:numId="10" w16cid:durableId="494341206">
    <w:abstractNumId w:val="53"/>
  </w:num>
  <w:num w:numId="11" w16cid:durableId="188840453">
    <w:abstractNumId w:val="85"/>
  </w:num>
  <w:num w:numId="12" w16cid:durableId="1867206264">
    <w:abstractNumId w:val="5"/>
  </w:num>
  <w:num w:numId="13" w16cid:durableId="1609656613">
    <w:abstractNumId w:val="17"/>
  </w:num>
  <w:num w:numId="14" w16cid:durableId="595141536">
    <w:abstractNumId w:val="64"/>
  </w:num>
  <w:num w:numId="15" w16cid:durableId="1542552069">
    <w:abstractNumId w:val="49"/>
  </w:num>
  <w:num w:numId="16" w16cid:durableId="810829770">
    <w:abstractNumId w:val="41"/>
  </w:num>
  <w:num w:numId="17" w16cid:durableId="1803229799">
    <w:abstractNumId w:val="87"/>
  </w:num>
  <w:num w:numId="18" w16cid:durableId="222300896">
    <w:abstractNumId w:val="35"/>
  </w:num>
  <w:num w:numId="19" w16cid:durableId="156727434">
    <w:abstractNumId w:val="28"/>
  </w:num>
  <w:num w:numId="20" w16cid:durableId="715858194">
    <w:abstractNumId w:val="54"/>
  </w:num>
  <w:num w:numId="21" w16cid:durableId="970943396">
    <w:abstractNumId w:val="13"/>
  </w:num>
  <w:num w:numId="22" w16cid:durableId="1638144807">
    <w:abstractNumId w:val="46"/>
  </w:num>
  <w:num w:numId="23" w16cid:durableId="1221212194">
    <w:abstractNumId w:val="84"/>
  </w:num>
  <w:num w:numId="24" w16cid:durableId="234780406">
    <w:abstractNumId w:val="74"/>
  </w:num>
  <w:num w:numId="25" w16cid:durableId="16088492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65856716">
    <w:abstractNumId w:val="55"/>
  </w:num>
  <w:num w:numId="27" w16cid:durableId="1718318634">
    <w:abstractNumId w:val="7"/>
  </w:num>
  <w:num w:numId="28" w16cid:durableId="7806505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4289049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44972138">
    <w:abstractNumId w:val="30"/>
  </w:num>
  <w:num w:numId="31" w16cid:durableId="1654219218">
    <w:abstractNumId w:val="96"/>
  </w:num>
  <w:num w:numId="32" w16cid:durableId="1977640891">
    <w:abstractNumId w:val="32"/>
  </w:num>
  <w:num w:numId="33" w16cid:durableId="1904757777">
    <w:abstractNumId w:val="40"/>
  </w:num>
  <w:num w:numId="34" w16cid:durableId="1635061784">
    <w:abstractNumId w:val="72"/>
  </w:num>
  <w:num w:numId="35" w16cid:durableId="999701473">
    <w:abstractNumId w:val="68"/>
  </w:num>
  <w:num w:numId="36" w16cid:durableId="1169717542">
    <w:abstractNumId w:val="12"/>
  </w:num>
  <w:num w:numId="37" w16cid:durableId="54554782">
    <w:abstractNumId w:val="39"/>
  </w:num>
  <w:num w:numId="38" w16cid:durableId="1841654444">
    <w:abstractNumId w:val="14"/>
  </w:num>
  <w:num w:numId="39" w16cid:durableId="711853074">
    <w:abstractNumId w:val="95"/>
  </w:num>
  <w:num w:numId="40" w16cid:durableId="1822308517">
    <w:abstractNumId w:val="92"/>
  </w:num>
  <w:num w:numId="41" w16cid:durableId="750738577">
    <w:abstractNumId w:val="77"/>
  </w:num>
  <w:num w:numId="42" w16cid:durableId="1454128596">
    <w:abstractNumId w:val="43"/>
  </w:num>
  <w:num w:numId="43" w16cid:durableId="95248479">
    <w:abstractNumId w:val="88"/>
  </w:num>
  <w:num w:numId="44" w16cid:durableId="410473880">
    <w:abstractNumId w:val="73"/>
  </w:num>
  <w:num w:numId="45" w16cid:durableId="1684548188">
    <w:abstractNumId w:val="25"/>
  </w:num>
  <w:num w:numId="46" w16cid:durableId="695347110">
    <w:abstractNumId w:val="75"/>
  </w:num>
  <w:num w:numId="47" w16cid:durableId="339280124">
    <w:abstractNumId w:val="61"/>
  </w:num>
  <w:num w:numId="48" w16cid:durableId="394085460">
    <w:abstractNumId w:val="27"/>
  </w:num>
  <w:num w:numId="49" w16cid:durableId="350618033">
    <w:abstractNumId w:val="67"/>
  </w:num>
  <w:num w:numId="50" w16cid:durableId="1959295206">
    <w:abstractNumId w:val="42"/>
  </w:num>
  <w:num w:numId="51" w16cid:durableId="1948072607">
    <w:abstractNumId w:val="45"/>
  </w:num>
  <w:num w:numId="52" w16cid:durableId="78797973">
    <w:abstractNumId w:val="34"/>
  </w:num>
  <w:num w:numId="53" w16cid:durableId="745957756">
    <w:abstractNumId w:val="47"/>
  </w:num>
  <w:num w:numId="54" w16cid:durableId="514463660">
    <w:abstractNumId w:val="60"/>
  </w:num>
  <w:num w:numId="55" w16cid:durableId="1825389193">
    <w:abstractNumId w:val="94"/>
  </w:num>
  <w:num w:numId="56" w16cid:durableId="1228802893">
    <w:abstractNumId w:val="23"/>
  </w:num>
  <w:num w:numId="57" w16cid:durableId="1888759332">
    <w:abstractNumId w:val="97"/>
  </w:num>
  <w:num w:numId="58" w16cid:durableId="983848966">
    <w:abstractNumId w:val="20"/>
  </w:num>
  <w:num w:numId="59" w16cid:durableId="1088622809">
    <w:abstractNumId w:val="99"/>
  </w:num>
  <w:num w:numId="60" w16cid:durableId="721710029">
    <w:abstractNumId w:val="36"/>
  </w:num>
  <w:num w:numId="61" w16cid:durableId="642780017">
    <w:abstractNumId w:val="78"/>
  </w:num>
  <w:num w:numId="62" w16cid:durableId="1837112677">
    <w:abstractNumId w:val="89"/>
  </w:num>
  <w:num w:numId="63" w16cid:durableId="279528431">
    <w:abstractNumId w:val="38"/>
  </w:num>
  <w:num w:numId="64" w16cid:durableId="210773185">
    <w:abstractNumId w:val="81"/>
  </w:num>
  <w:num w:numId="65" w16cid:durableId="1178811091">
    <w:abstractNumId w:val="63"/>
  </w:num>
  <w:num w:numId="66" w16cid:durableId="314651830">
    <w:abstractNumId w:val="83"/>
  </w:num>
  <w:num w:numId="67" w16cid:durableId="1263534626">
    <w:abstractNumId w:val="69"/>
  </w:num>
  <w:num w:numId="68" w16cid:durableId="322322463">
    <w:abstractNumId w:val="8"/>
  </w:num>
  <w:num w:numId="69" w16cid:durableId="1483811555">
    <w:abstractNumId w:val="21"/>
  </w:num>
  <w:num w:numId="70" w16cid:durableId="312106081">
    <w:abstractNumId w:val="56"/>
  </w:num>
  <w:num w:numId="71" w16cid:durableId="27606364">
    <w:abstractNumId w:val="62"/>
  </w:num>
  <w:num w:numId="72" w16cid:durableId="1129318079">
    <w:abstractNumId w:val="71"/>
  </w:num>
  <w:num w:numId="73" w16cid:durableId="121853954">
    <w:abstractNumId w:val="6"/>
  </w:num>
  <w:num w:numId="74" w16cid:durableId="158885661">
    <w:abstractNumId w:val="44"/>
  </w:num>
  <w:num w:numId="75" w16cid:durableId="683553209">
    <w:abstractNumId w:val="80"/>
  </w:num>
  <w:num w:numId="76" w16cid:durableId="270017331">
    <w:abstractNumId w:val="48"/>
  </w:num>
  <w:num w:numId="77" w16cid:durableId="2102674943">
    <w:abstractNumId w:val="19"/>
  </w:num>
  <w:num w:numId="78" w16cid:durableId="1581257321">
    <w:abstractNumId w:val="51"/>
  </w:num>
  <w:num w:numId="79" w16cid:durableId="1957635508">
    <w:abstractNumId w:val="70"/>
  </w:num>
  <w:num w:numId="80" w16cid:durableId="373576740">
    <w:abstractNumId w:val="50"/>
  </w:num>
  <w:num w:numId="81" w16cid:durableId="534195365">
    <w:abstractNumId w:val="11"/>
  </w:num>
  <w:num w:numId="82" w16cid:durableId="1289120707">
    <w:abstractNumId w:val="76"/>
  </w:num>
  <w:num w:numId="83" w16cid:durableId="2019766144">
    <w:abstractNumId w:val="66"/>
  </w:num>
  <w:num w:numId="84" w16cid:durableId="256209157">
    <w:abstractNumId w:val="57"/>
  </w:num>
  <w:num w:numId="85" w16cid:durableId="1124889907">
    <w:abstractNumId w:val="52"/>
  </w:num>
  <w:num w:numId="86" w16cid:durableId="7104098">
    <w:abstractNumId w:val="37"/>
  </w:num>
  <w:num w:numId="87" w16cid:durableId="927815399">
    <w:abstractNumId w:val="3"/>
  </w:num>
  <w:num w:numId="88" w16cid:durableId="1978097223">
    <w:abstractNumId w:val="1"/>
  </w:num>
  <w:num w:numId="89" w16cid:durableId="146023716">
    <w:abstractNumId w:val="79"/>
  </w:num>
  <w:num w:numId="90" w16cid:durableId="2057389451">
    <w:abstractNumId w:val="9"/>
  </w:num>
  <w:num w:numId="91" w16cid:durableId="1342002604">
    <w:abstractNumId w:val="18"/>
  </w:num>
  <w:num w:numId="92" w16cid:durableId="978991978">
    <w:abstractNumId w:val="10"/>
  </w:num>
  <w:num w:numId="93" w16cid:durableId="1430736528">
    <w:abstractNumId w:val="58"/>
  </w:num>
  <w:num w:numId="94" w16cid:durableId="1438214300">
    <w:abstractNumId w:val="15"/>
  </w:num>
  <w:num w:numId="95" w16cid:durableId="1330065220">
    <w:abstractNumId w:val="16"/>
  </w:num>
  <w:num w:numId="96" w16cid:durableId="705715852">
    <w:abstractNumId w:val="59"/>
  </w:num>
  <w:num w:numId="97" w16cid:durableId="1452482723">
    <w:abstractNumId w:val="91"/>
  </w:num>
  <w:num w:numId="98" w16cid:durableId="11785446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11872335">
    <w:abstractNumId w:val="31"/>
  </w:num>
  <w:num w:numId="100" w16cid:durableId="2095661607">
    <w:abstractNumId w:val="90"/>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7520"/>
    <w:rsid w:val="00000071"/>
    <w:rsid w:val="00000770"/>
    <w:rsid w:val="00000A8E"/>
    <w:rsid w:val="000017C5"/>
    <w:rsid w:val="000044DB"/>
    <w:rsid w:val="00004D96"/>
    <w:rsid w:val="00005473"/>
    <w:rsid w:val="00007436"/>
    <w:rsid w:val="00010137"/>
    <w:rsid w:val="000124C0"/>
    <w:rsid w:val="0001261F"/>
    <w:rsid w:val="000133D9"/>
    <w:rsid w:val="00014A57"/>
    <w:rsid w:val="0001676C"/>
    <w:rsid w:val="00020122"/>
    <w:rsid w:val="000203B8"/>
    <w:rsid w:val="000206EB"/>
    <w:rsid w:val="000209F3"/>
    <w:rsid w:val="00021C6D"/>
    <w:rsid w:val="00022D18"/>
    <w:rsid w:val="00027C09"/>
    <w:rsid w:val="00030ACA"/>
    <w:rsid w:val="00031A7D"/>
    <w:rsid w:val="00031E50"/>
    <w:rsid w:val="000325AA"/>
    <w:rsid w:val="00033064"/>
    <w:rsid w:val="000335C8"/>
    <w:rsid w:val="000335F7"/>
    <w:rsid w:val="0003422F"/>
    <w:rsid w:val="0003458A"/>
    <w:rsid w:val="00034721"/>
    <w:rsid w:val="00035A7D"/>
    <w:rsid w:val="00036199"/>
    <w:rsid w:val="0003626C"/>
    <w:rsid w:val="00037017"/>
    <w:rsid w:val="00037DED"/>
    <w:rsid w:val="00042464"/>
    <w:rsid w:val="000426A8"/>
    <w:rsid w:val="00042A61"/>
    <w:rsid w:val="0004460F"/>
    <w:rsid w:val="0004675A"/>
    <w:rsid w:val="0004701E"/>
    <w:rsid w:val="000471E5"/>
    <w:rsid w:val="000517DB"/>
    <w:rsid w:val="00051A79"/>
    <w:rsid w:val="00053651"/>
    <w:rsid w:val="00053CCA"/>
    <w:rsid w:val="00054646"/>
    <w:rsid w:val="00056216"/>
    <w:rsid w:val="00057756"/>
    <w:rsid w:val="000601BF"/>
    <w:rsid w:val="00061135"/>
    <w:rsid w:val="00061B7E"/>
    <w:rsid w:val="00062C44"/>
    <w:rsid w:val="00062FFA"/>
    <w:rsid w:val="0006449D"/>
    <w:rsid w:val="0006611B"/>
    <w:rsid w:val="000667D5"/>
    <w:rsid w:val="000668E7"/>
    <w:rsid w:val="00066A74"/>
    <w:rsid w:val="00067CFE"/>
    <w:rsid w:val="000709F0"/>
    <w:rsid w:val="00072173"/>
    <w:rsid w:val="00072A72"/>
    <w:rsid w:val="000760B3"/>
    <w:rsid w:val="00076E7C"/>
    <w:rsid w:val="0008295F"/>
    <w:rsid w:val="00082F9A"/>
    <w:rsid w:val="00083AC7"/>
    <w:rsid w:val="00083DEB"/>
    <w:rsid w:val="000854D2"/>
    <w:rsid w:val="00090F1F"/>
    <w:rsid w:val="00091A41"/>
    <w:rsid w:val="000922C8"/>
    <w:rsid w:val="0009232E"/>
    <w:rsid w:val="00092D2E"/>
    <w:rsid w:val="00093338"/>
    <w:rsid w:val="00093504"/>
    <w:rsid w:val="00093CDF"/>
    <w:rsid w:val="0009525C"/>
    <w:rsid w:val="00095F04"/>
    <w:rsid w:val="00096E81"/>
    <w:rsid w:val="00097786"/>
    <w:rsid w:val="00097C5E"/>
    <w:rsid w:val="000A0B49"/>
    <w:rsid w:val="000A231C"/>
    <w:rsid w:val="000A24E3"/>
    <w:rsid w:val="000A27BC"/>
    <w:rsid w:val="000A2B13"/>
    <w:rsid w:val="000A3C70"/>
    <w:rsid w:val="000A4604"/>
    <w:rsid w:val="000A4712"/>
    <w:rsid w:val="000A4D1D"/>
    <w:rsid w:val="000A58CF"/>
    <w:rsid w:val="000A58EE"/>
    <w:rsid w:val="000A5E1C"/>
    <w:rsid w:val="000A5EF0"/>
    <w:rsid w:val="000A7782"/>
    <w:rsid w:val="000A7867"/>
    <w:rsid w:val="000A7FF0"/>
    <w:rsid w:val="000B02DF"/>
    <w:rsid w:val="000B124B"/>
    <w:rsid w:val="000B13CF"/>
    <w:rsid w:val="000B1898"/>
    <w:rsid w:val="000B3E8B"/>
    <w:rsid w:val="000B4BD4"/>
    <w:rsid w:val="000B5420"/>
    <w:rsid w:val="000B606C"/>
    <w:rsid w:val="000B6893"/>
    <w:rsid w:val="000C0C78"/>
    <w:rsid w:val="000C0FF6"/>
    <w:rsid w:val="000C1241"/>
    <w:rsid w:val="000C2DE0"/>
    <w:rsid w:val="000C2E3C"/>
    <w:rsid w:val="000C4B49"/>
    <w:rsid w:val="000C5BD5"/>
    <w:rsid w:val="000C5D86"/>
    <w:rsid w:val="000C6667"/>
    <w:rsid w:val="000C77AA"/>
    <w:rsid w:val="000C7F33"/>
    <w:rsid w:val="000D30E8"/>
    <w:rsid w:val="000D36D8"/>
    <w:rsid w:val="000D468A"/>
    <w:rsid w:val="000D514A"/>
    <w:rsid w:val="000D559A"/>
    <w:rsid w:val="000D6C56"/>
    <w:rsid w:val="000D7B0D"/>
    <w:rsid w:val="000D7B67"/>
    <w:rsid w:val="000E069E"/>
    <w:rsid w:val="000E402C"/>
    <w:rsid w:val="000E4F8F"/>
    <w:rsid w:val="000E5BE8"/>
    <w:rsid w:val="000E7104"/>
    <w:rsid w:val="000E7C43"/>
    <w:rsid w:val="000F08F7"/>
    <w:rsid w:val="000F0C37"/>
    <w:rsid w:val="000F1DA7"/>
    <w:rsid w:val="000F3ACE"/>
    <w:rsid w:val="000F53B3"/>
    <w:rsid w:val="000F7A67"/>
    <w:rsid w:val="000F7C4A"/>
    <w:rsid w:val="00100C1D"/>
    <w:rsid w:val="00101894"/>
    <w:rsid w:val="00101C38"/>
    <w:rsid w:val="00103305"/>
    <w:rsid w:val="00103611"/>
    <w:rsid w:val="00106879"/>
    <w:rsid w:val="00107A97"/>
    <w:rsid w:val="00107EB4"/>
    <w:rsid w:val="001109A9"/>
    <w:rsid w:val="00110A82"/>
    <w:rsid w:val="00110AAF"/>
    <w:rsid w:val="00111157"/>
    <w:rsid w:val="00111C28"/>
    <w:rsid w:val="00111D57"/>
    <w:rsid w:val="00113459"/>
    <w:rsid w:val="00115454"/>
    <w:rsid w:val="0011631B"/>
    <w:rsid w:val="001169A7"/>
    <w:rsid w:val="00117826"/>
    <w:rsid w:val="00117BCB"/>
    <w:rsid w:val="00120B06"/>
    <w:rsid w:val="00120E3C"/>
    <w:rsid w:val="001211A5"/>
    <w:rsid w:val="001212EF"/>
    <w:rsid w:val="00121C38"/>
    <w:rsid w:val="00122F18"/>
    <w:rsid w:val="001247C6"/>
    <w:rsid w:val="001262C7"/>
    <w:rsid w:val="0012692B"/>
    <w:rsid w:val="001275D8"/>
    <w:rsid w:val="00127E4B"/>
    <w:rsid w:val="00130162"/>
    <w:rsid w:val="001316EA"/>
    <w:rsid w:val="00131BC7"/>
    <w:rsid w:val="00131E87"/>
    <w:rsid w:val="00132AAC"/>
    <w:rsid w:val="001331D5"/>
    <w:rsid w:val="00135B9D"/>
    <w:rsid w:val="001369F0"/>
    <w:rsid w:val="00136E8A"/>
    <w:rsid w:val="00137E5F"/>
    <w:rsid w:val="00140B06"/>
    <w:rsid w:val="00141FFD"/>
    <w:rsid w:val="0014271B"/>
    <w:rsid w:val="00145705"/>
    <w:rsid w:val="0014667B"/>
    <w:rsid w:val="00146D05"/>
    <w:rsid w:val="0014716B"/>
    <w:rsid w:val="00147724"/>
    <w:rsid w:val="00147FCF"/>
    <w:rsid w:val="001520E6"/>
    <w:rsid w:val="00152C0E"/>
    <w:rsid w:val="001530C5"/>
    <w:rsid w:val="001533BB"/>
    <w:rsid w:val="00153F61"/>
    <w:rsid w:val="00155EC4"/>
    <w:rsid w:val="0016191F"/>
    <w:rsid w:val="00161E01"/>
    <w:rsid w:val="00162698"/>
    <w:rsid w:val="00163633"/>
    <w:rsid w:val="001644E1"/>
    <w:rsid w:val="00165E53"/>
    <w:rsid w:val="00166440"/>
    <w:rsid w:val="00166515"/>
    <w:rsid w:val="00166CE4"/>
    <w:rsid w:val="001726A7"/>
    <w:rsid w:val="00172844"/>
    <w:rsid w:val="0017298D"/>
    <w:rsid w:val="001729B4"/>
    <w:rsid w:val="00174E6D"/>
    <w:rsid w:val="0017589E"/>
    <w:rsid w:val="001759DF"/>
    <w:rsid w:val="001764FB"/>
    <w:rsid w:val="00176A0B"/>
    <w:rsid w:val="00180EBA"/>
    <w:rsid w:val="00182CD4"/>
    <w:rsid w:val="00183235"/>
    <w:rsid w:val="00184010"/>
    <w:rsid w:val="001848D8"/>
    <w:rsid w:val="00191B47"/>
    <w:rsid w:val="00191BE5"/>
    <w:rsid w:val="00193AE9"/>
    <w:rsid w:val="00194B05"/>
    <w:rsid w:val="001952AD"/>
    <w:rsid w:val="00195697"/>
    <w:rsid w:val="00195B1B"/>
    <w:rsid w:val="001A020E"/>
    <w:rsid w:val="001A0547"/>
    <w:rsid w:val="001A1563"/>
    <w:rsid w:val="001A327E"/>
    <w:rsid w:val="001A3372"/>
    <w:rsid w:val="001A3554"/>
    <w:rsid w:val="001A4DA1"/>
    <w:rsid w:val="001A5191"/>
    <w:rsid w:val="001A62E2"/>
    <w:rsid w:val="001A73C1"/>
    <w:rsid w:val="001B09DA"/>
    <w:rsid w:val="001B18E0"/>
    <w:rsid w:val="001B1E85"/>
    <w:rsid w:val="001B2120"/>
    <w:rsid w:val="001B2EDE"/>
    <w:rsid w:val="001B4D09"/>
    <w:rsid w:val="001B53C6"/>
    <w:rsid w:val="001B5F55"/>
    <w:rsid w:val="001B6175"/>
    <w:rsid w:val="001B70E8"/>
    <w:rsid w:val="001C059B"/>
    <w:rsid w:val="001C0DBA"/>
    <w:rsid w:val="001C117E"/>
    <w:rsid w:val="001C19BF"/>
    <w:rsid w:val="001C1BAD"/>
    <w:rsid w:val="001C231E"/>
    <w:rsid w:val="001C2D0D"/>
    <w:rsid w:val="001C2E7D"/>
    <w:rsid w:val="001C32EC"/>
    <w:rsid w:val="001C4C69"/>
    <w:rsid w:val="001C4E81"/>
    <w:rsid w:val="001C612B"/>
    <w:rsid w:val="001D2AB5"/>
    <w:rsid w:val="001D2DB0"/>
    <w:rsid w:val="001D2F7C"/>
    <w:rsid w:val="001D3C24"/>
    <w:rsid w:val="001D406B"/>
    <w:rsid w:val="001D489F"/>
    <w:rsid w:val="001D4B86"/>
    <w:rsid w:val="001D5BD9"/>
    <w:rsid w:val="001D6DC1"/>
    <w:rsid w:val="001D7069"/>
    <w:rsid w:val="001D760B"/>
    <w:rsid w:val="001E0302"/>
    <w:rsid w:val="001E10EF"/>
    <w:rsid w:val="001E1462"/>
    <w:rsid w:val="001E196D"/>
    <w:rsid w:val="001E21E3"/>
    <w:rsid w:val="001E2862"/>
    <w:rsid w:val="001E2875"/>
    <w:rsid w:val="001E2A6B"/>
    <w:rsid w:val="001E2C81"/>
    <w:rsid w:val="001E3085"/>
    <w:rsid w:val="001E35E3"/>
    <w:rsid w:val="001E4F3D"/>
    <w:rsid w:val="001E545C"/>
    <w:rsid w:val="001E6636"/>
    <w:rsid w:val="001E739B"/>
    <w:rsid w:val="001F33A5"/>
    <w:rsid w:val="001F3A81"/>
    <w:rsid w:val="001F3CD2"/>
    <w:rsid w:val="001F4834"/>
    <w:rsid w:val="001F75C6"/>
    <w:rsid w:val="001F7EAE"/>
    <w:rsid w:val="0020288D"/>
    <w:rsid w:val="00203FD9"/>
    <w:rsid w:val="00205967"/>
    <w:rsid w:val="002059B3"/>
    <w:rsid w:val="00206618"/>
    <w:rsid w:val="00206FC4"/>
    <w:rsid w:val="0020700F"/>
    <w:rsid w:val="00207080"/>
    <w:rsid w:val="00207291"/>
    <w:rsid w:val="00210239"/>
    <w:rsid w:val="0021049C"/>
    <w:rsid w:val="00210D68"/>
    <w:rsid w:val="00211295"/>
    <w:rsid w:val="00211ACE"/>
    <w:rsid w:val="002120B7"/>
    <w:rsid w:val="00212382"/>
    <w:rsid w:val="0021242B"/>
    <w:rsid w:val="00212ADB"/>
    <w:rsid w:val="002132CD"/>
    <w:rsid w:val="0021486C"/>
    <w:rsid w:val="0021550B"/>
    <w:rsid w:val="00216075"/>
    <w:rsid w:val="0021656C"/>
    <w:rsid w:val="00216768"/>
    <w:rsid w:val="002168ED"/>
    <w:rsid w:val="00216AA3"/>
    <w:rsid w:val="002179E1"/>
    <w:rsid w:val="00217CEE"/>
    <w:rsid w:val="002205F8"/>
    <w:rsid w:val="00220CC4"/>
    <w:rsid w:val="00223F0E"/>
    <w:rsid w:val="00224B40"/>
    <w:rsid w:val="0022520E"/>
    <w:rsid w:val="00226BED"/>
    <w:rsid w:val="00230247"/>
    <w:rsid w:val="002325BB"/>
    <w:rsid w:val="00232942"/>
    <w:rsid w:val="00233FDC"/>
    <w:rsid w:val="00234438"/>
    <w:rsid w:val="00234F34"/>
    <w:rsid w:val="002408BC"/>
    <w:rsid w:val="00241145"/>
    <w:rsid w:val="00241C0B"/>
    <w:rsid w:val="00241C24"/>
    <w:rsid w:val="0024320A"/>
    <w:rsid w:val="00243CD9"/>
    <w:rsid w:val="002453B8"/>
    <w:rsid w:val="00245756"/>
    <w:rsid w:val="00245A51"/>
    <w:rsid w:val="00245DFA"/>
    <w:rsid w:val="00246D54"/>
    <w:rsid w:val="00246F8C"/>
    <w:rsid w:val="00247368"/>
    <w:rsid w:val="00251FDB"/>
    <w:rsid w:val="002523C6"/>
    <w:rsid w:val="00253B70"/>
    <w:rsid w:val="00253D21"/>
    <w:rsid w:val="00254415"/>
    <w:rsid w:val="00254AB0"/>
    <w:rsid w:val="0025564B"/>
    <w:rsid w:val="002562F4"/>
    <w:rsid w:val="00256700"/>
    <w:rsid w:val="00261A7B"/>
    <w:rsid w:val="00261EB7"/>
    <w:rsid w:val="0026230F"/>
    <w:rsid w:val="002647B4"/>
    <w:rsid w:val="00264F16"/>
    <w:rsid w:val="00265813"/>
    <w:rsid w:val="00265B13"/>
    <w:rsid w:val="00266F94"/>
    <w:rsid w:val="002678A1"/>
    <w:rsid w:val="0027082B"/>
    <w:rsid w:val="00270CB1"/>
    <w:rsid w:val="00271114"/>
    <w:rsid w:val="00271F34"/>
    <w:rsid w:val="0027266E"/>
    <w:rsid w:val="002765ED"/>
    <w:rsid w:val="00276795"/>
    <w:rsid w:val="002773BB"/>
    <w:rsid w:val="00277CFC"/>
    <w:rsid w:val="0028044A"/>
    <w:rsid w:val="00281683"/>
    <w:rsid w:val="00284DCF"/>
    <w:rsid w:val="00285D9E"/>
    <w:rsid w:val="00285FC8"/>
    <w:rsid w:val="0028726C"/>
    <w:rsid w:val="00287369"/>
    <w:rsid w:val="00287701"/>
    <w:rsid w:val="0028792E"/>
    <w:rsid w:val="00291F07"/>
    <w:rsid w:val="0029227C"/>
    <w:rsid w:val="00292478"/>
    <w:rsid w:val="00293467"/>
    <w:rsid w:val="0029357A"/>
    <w:rsid w:val="00295CFC"/>
    <w:rsid w:val="00296AEE"/>
    <w:rsid w:val="00296FF5"/>
    <w:rsid w:val="002A1962"/>
    <w:rsid w:val="002A26E9"/>
    <w:rsid w:val="002A2D83"/>
    <w:rsid w:val="002A3AEF"/>
    <w:rsid w:val="002A3D12"/>
    <w:rsid w:val="002A5448"/>
    <w:rsid w:val="002A5A69"/>
    <w:rsid w:val="002A6901"/>
    <w:rsid w:val="002A6F24"/>
    <w:rsid w:val="002A7159"/>
    <w:rsid w:val="002B0193"/>
    <w:rsid w:val="002B06EB"/>
    <w:rsid w:val="002B1EA6"/>
    <w:rsid w:val="002B2BD9"/>
    <w:rsid w:val="002B52A7"/>
    <w:rsid w:val="002B6998"/>
    <w:rsid w:val="002B777E"/>
    <w:rsid w:val="002B7B42"/>
    <w:rsid w:val="002B7FAA"/>
    <w:rsid w:val="002C05DF"/>
    <w:rsid w:val="002C0738"/>
    <w:rsid w:val="002C084F"/>
    <w:rsid w:val="002C102C"/>
    <w:rsid w:val="002C1FA5"/>
    <w:rsid w:val="002C2D56"/>
    <w:rsid w:val="002C34E2"/>
    <w:rsid w:val="002C38A9"/>
    <w:rsid w:val="002C3A5F"/>
    <w:rsid w:val="002C4637"/>
    <w:rsid w:val="002C475C"/>
    <w:rsid w:val="002C504E"/>
    <w:rsid w:val="002C6087"/>
    <w:rsid w:val="002C6358"/>
    <w:rsid w:val="002C6EC1"/>
    <w:rsid w:val="002C6F73"/>
    <w:rsid w:val="002D19E1"/>
    <w:rsid w:val="002D225C"/>
    <w:rsid w:val="002D2B1F"/>
    <w:rsid w:val="002D3ADE"/>
    <w:rsid w:val="002D5009"/>
    <w:rsid w:val="002D52C9"/>
    <w:rsid w:val="002D597C"/>
    <w:rsid w:val="002D65E1"/>
    <w:rsid w:val="002D67FF"/>
    <w:rsid w:val="002D7B4B"/>
    <w:rsid w:val="002E03E5"/>
    <w:rsid w:val="002E0807"/>
    <w:rsid w:val="002E21FE"/>
    <w:rsid w:val="002E2A5A"/>
    <w:rsid w:val="002E2E12"/>
    <w:rsid w:val="002E2E87"/>
    <w:rsid w:val="002E3F9B"/>
    <w:rsid w:val="002E4804"/>
    <w:rsid w:val="002E4F4A"/>
    <w:rsid w:val="002E73C9"/>
    <w:rsid w:val="002F055A"/>
    <w:rsid w:val="002F1AA5"/>
    <w:rsid w:val="002F267D"/>
    <w:rsid w:val="002F2691"/>
    <w:rsid w:val="002F5651"/>
    <w:rsid w:val="002F5EDC"/>
    <w:rsid w:val="002F61AF"/>
    <w:rsid w:val="002F6590"/>
    <w:rsid w:val="002F6A43"/>
    <w:rsid w:val="002F7407"/>
    <w:rsid w:val="003000B7"/>
    <w:rsid w:val="00300C6E"/>
    <w:rsid w:val="00300DB5"/>
    <w:rsid w:val="00301317"/>
    <w:rsid w:val="0030308C"/>
    <w:rsid w:val="003036A3"/>
    <w:rsid w:val="00305F69"/>
    <w:rsid w:val="0030606A"/>
    <w:rsid w:val="00310C57"/>
    <w:rsid w:val="00311158"/>
    <w:rsid w:val="003136B5"/>
    <w:rsid w:val="003137B1"/>
    <w:rsid w:val="00313ECA"/>
    <w:rsid w:val="00315929"/>
    <w:rsid w:val="00315C5A"/>
    <w:rsid w:val="00317D19"/>
    <w:rsid w:val="003202ED"/>
    <w:rsid w:val="003219EF"/>
    <w:rsid w:val="00323A3D"/>
    <w:rsid w:val="00324012"/>
    <w:rsid w:val="003240A0"/>
    <w:rsid w:val="00324B17"/>
    <w:rsid w:val="00325C68"/>
    <w:rsid w:val="00326FA5"/>
    <w:rsid w:val="003344DA"/>
    <w:rsid w:val="00335042"/>
    <w:rsid w:val="00335E5E"/>
    <w:rsid w:val="00341D2E"/>
    <w:rsid w:val="003438EF"/>
    <w:rsid w:val="00343B98"/>
    <w:rsid w:val="003450EA"/>
    <w:rsid w:val="00346BA2"/>
    <w:rsid w:val="0035013D"/>
    <w:rsid w:val="00350C5A"/>
    <w:rsid w:val="00350D27"/>
    <w:rsid w:val="00351406"/>
    <w:rsid w:val="00351827"/>
    <w:rsid w:val="0035187E"/>
    <w:rsid w:val="00352008"/>
    <w:rsid w:val="0035227A"/>
    <w:rsid w:val="0035264A"/>
    <w:rsid w:val="00353934"/>
    <w:rsid w:val="00354F49"/>
    <w:rsid w:val="00356349"/>
    <w:rsid w:val="00356B47"/>
    <w:rsid w:val="00356E2E"/>
    <w:rsid w:val="00357980"/>
    <w:rsid w:val="00361A7A"/>
    <w:rsid w:val="00362313"/>
    <w:rsid w:val="00362C51"/>
    <w:rsid w:val="00362D33"/>
    <w:rsid w:val="00362D74"/>
    <w:rsid w:val="00362ED3"/>
    <w:rsid w:val="003643AD"/>
    <w:rsid w:val="00365C2D"/>
    <w:rsid w:val="00366488"/>
    <w:rsid w:val="003669B8"/>
    <w:rsid w:val="00366D40"/>
    <w:rsid w:val="003672C1"/>
    <w:rsid w:val="00367E11"/>
    <w:rsid w:val="003700F4"/>
    <w:rsid w:val="003711ED"/>
    <w:rsid w:val="00371FEE"/>
    <w:rsid w:val="00372EAC"/>
    <w:rsid w:val="003735EC"/>
    <w:rsid w:val="003743A0"/>
    <w:rsid w:val="00377D44"/>
    <w:rsid w:val="003815B2"/>
    <w:rsid w:val="00381C6A"/>
    <w:rsid w:val="00382BF3"/>
    <w:rsid w:val="003865BC"/>
    <w:rsid w:val="00387179"/>
    <w:rsid w:val="003877D8"/>
    <w:rsid w:val="0039080B"/>
    <w:rsid w:val="00390A20"/>
    <w:rsid w:val="003910AD"/>
    <w:rsid w:val="00393208"/>
    <w:rsid w:val="003932EA"/>
    <w:rsid w:val="00393841"/>
    <w:rsid w:val="00394079"/>
    <w:rsid w:val="0039458B"/>
    <w:rsid w:val="00394D87"/>
    <w:rsid w:val="0039551B"/>
    <w:rsid w:val="003959D0"/>
    <w:rsid w:val="00395CE2"/>
    <w:rsid w:val="00395FDA"/>
    <w:rsid w:val="003963CB"/>
    <w:rsid w:val="0039685C"/>
    <w:rsid w:val="003A066E"/>
    <w:rsid w:val="003A1269"/>
    <w:rsid w:val="003A1700"/>
    <w:rsid w:val="003A1A65"/>
    <w:rsid w:val="003A1EB1"/>
    <w:rsid w:val="003A20CD"/>
    <w:rsid w:val="003A22D3"/>
    <w:rsid w:val="003A244E"/>
    <w:rsid w:val="003A3E79"/>
    <w:rsid w:val="003A5280"/>
    <w:rsid w:val="003A6CEC"/>
    <w:rsid w:val="003A73DE"/>
    <w:rsid w:val="003B04D4"/>
    <w:rsid w:val="003B2655"/>
    <w:rsid w:val="003B3E55"/>
    <w:rsid w:val="003B5D8E"/>
    <w:rsid w:val="003B6335"/>
    <w:rsid w:val="003B76D9"/>
    <w:rsid w:val="003C288D"/>
    <w:rsid w:val="003C30C8"/>
    <w:rsid w:val="003C3A84"/>
    <w:rsid w:val="003C433D"/>
    <w:rsid w:val="003C47E6"/>
    <w:rsid w:val="003C766D"/>
    <w:rsid w:val="003D03BD"/>
    <w:rsid w:val="003D07AE"/>
    <w:rsid w:val="003D23C5"/>
    <w:rsid w:val="003D276A"/>
    <w:rsid w:val="003D719F"/>
    <w:rsid w:val="003D744E"/>
    <w:rsid w:val="003D78F4"/>
    <w:rsid w:val="003E0C16"/>
    <w:rsid w:val="003E0D81"/>
    <w:rsid w:val="003E227C"/>
    <w:rsid w:val="003E26A3"/>
    <w:rsid w:val="003E49E8"/>
    <w:rsid w:val="003E56AF"/>
    <w:rsid w:val="003E5E24"/>
    <w:rsid w:val="003F071A"/>
    <w:rsid w:val="003F0AEB"/>
    <w:rsid w:val="003F0AFA"/>
    <w:rsid w:val="003F1647"/>
    <w:rsid w:val="003F165E"/>
    <w:rsid w:val="003F2581"/>
    <w:rsid w:val="003F2D3B"/>
    <w:rsid w:val="003F2E1A"/>
    <w:rsid w:val="003F3BFE"/>
    <w:rsid w:val="003F4C84"/>
    <w:rsid w:val="003F5C64"/>
    <w:rsid w:val="003F6A5C"/>
    <w:rsid w:val="003F6FC8"/>
    <w:rsid w:val="003F70E1"/>
    <w:rsid w:val="003F7A6B"/>
    <w:rsid w:val="003F7E94"/>
    <w:rsid w:val="0040041F"/>
    <w:rsid w:val="004018A4"/>
    <w:rsid w:val="00402416"/>
    <w:rsid w:val="00402694"/>
    <w:rsid w:val="00402ED1"/>
    <w:rsid w:val="004036E9"/>
    <w:rsid w:val="004039EE"/>
    <w:rsid w:val="00403AC3"/>
    <w:rsid w:val="00403CCF"/>
    <w:rsid w:val="00406325"/>
    <w:rsid w:val="00406F88"/>
    <w:rsid w:val="004101D8"/>
    <w:rsid w:val="00410AE7"/>
    <w:rsid w:val="004111C8"/>
    <w:rsid w:val="00411407"/>
    <w:rsid w:val="004141BC"/>
    <w:rsid w:val="0041439A"/>
    <w:rsid w:val="00415026"/>
    <w:rsid w:val="004170E1"/>
    <w:rsid w:val="00417825"/>
    <w:rsid w:val="00420190"/>
    <w:rsid w:val="00420B22"/>
    <w:rsid w:val="00421B58"/>
    <w:rsid w:val="00421CE4"/>
    <w:rsid w:val="00423D56"/>
    <w:rsid w:val="0042477F"/>
    <w:rsid w:val="004310CD"/>
    <w:rsid w:val="004313DE"/>
    <w:rsid w:val="0043249F"/>
    <w:rsid w:val="004328D3"/>
    <w:rsid w:val="00432B0C"/>
    <w:rsid w:val="0043370C"/>
    <w:rsid w:val="00434AD4"/>
    <w:rsid w:val="00435167"/>
    <w:rsid w:val="004360DE"/>
    <w:rsid w:val="004362A8"/>
    <w:rsid w:val="00437041"/>
    <w:rsid w:val="00440470"/>
    <w:rsid w:val="0044231B"/>
    <w:rsid w:val="004436FD"/>
    <w:rsid w:val="0044468D"/>
    <w:rsid w:val="004446E1"/>
    <w:rsid w:val="0044775B"/>
    <w:rsid w:val="00450276"/>
    <w:rsid w:val="004502D6"/>
    <w:rsid w:val="004504F3"/>
    <w:rsid w:val="00450DA8"/>
    <w:rsid w:val="00450F43"/>
    <w:rsid w:val="0045132A"/>
    <w:rsid w:val="00451C9E"/>
    <w:rsid w:val="00452427"/>
    <w:rsid w:val="004530BA"/>
    <w:rsid w:val="004543EE"/>
    <w:rsid w:val="00454646"/>
    <w:rsid w:val="004562C7"/>
    <w:rsid w:val="00460F68"/>
    <w:rsid w:val="004627AF"/>
    <w:rsid w:val="0046281D"/>
    <w:rsid w:val="00463125"/>
    <w:rsid w:val="0046414C"/>
    <w:rsid w:val="00464C75"/>
    <w:rsid w:val="00464D14"/>
    <w:rsid w:val="00465990"/>
    <w:rsid w:val="00465C82"/>
    <w:rsid w:val="00466A14"/>
    <w:rsid w:val="00467072"/>
    <w:rsid w:val="00470294"/>
    <w:rsid w:val="0047231C"/>
    <w:rsid w:val="00474FF5"/>
    <w:rsid w:val="004756CA"/>
    <w:rsid w:val="004806DA"/>
    <w:rsid w:val="00482817"/>
    <w:rsid w:val="00484E3C"/>
    <w:rsid w:val="004858E6"/>
    <w:rsid w:val="004859A8"/>
    <w:rsid w:val="0048658C"/>
    <w:rsid w:val="00486FE8"/>
    <w:rsid w:val="00490895"/>
    <w:rsid w:val="00491ECD"/>
    <w:rsid w:val="004924DE"/>
    <w:rsid w:val="00493BCF"/>
    <w:rsid w:val="004941C9"/>
    <w:rsid w:val="004946E9"/>
    <w:rsid w:val="00495D95"/>
    <w:rsid w:val="004A0390"/>
    <w:rsid w:val="004A352B"/>
    <w:rsid w:val="004A3B5C"/>
    <w:rsid w:val="004A408D"/>
    <w:rsid w:val="004A5D6C"/>
    <w:rsid w:val="004A5F75"/>
    <w:rsid w:val="004A7EF3"/>
    <w:rsid w:val="004B3D34"/>
    <w:rsid w:val="004B4BC8"/>
    <w:rsid w:val="004B6DDB"/>
    <w:rsid w:val="004B7147"/>
    <w:rsid w:val="004B775C"/>
    <w:rsid w:val="004B7D86"/>
    <w:rsid w:val="004B7ED4"/>
    <w:rsid w:val="004C1236"/>
    <w:rsid w:val="004C12E4"/>
    <w:rsid w:val="004C179B"/>
    <w:rsid w:val="004C3DE9"/>
    <w:rsid w:val="004C4374"/>
    <w:rsid w:val="004C4C99"/>
    <w:rsid w:val="004C4E52"/>
    <w:rsid w:val="004C6794"/>
    <w:rsid w:val="004C75A2"/>
    <w:rsid w:val="004D1179"/>
    <w:rsid w:val="004D12FE"/>
    <w:rsid w:val="004D17A4"/>
    <w:rsid w:val="004D240B"/>
    <w:rsid w:val="004D2619"/>
    <w:rsid w:val="004D5524"/>
    <w:rsid w:val="004D724C"/>
    <w:rsid w:val="004E0017"/>
    <w:rsid w:val="004E2A61"/>
    <w:rsid w:val="004E3D47"/>
    <w:rsid w:val="004E4C1D"/>
    <w:rsid w:val="004E60AF"/>
    <w:rsid w:val="004E6D82"/>
    <w:rsid w:val="004E74AD"/>
    <w:rsid w:val="004E7557"/>
    <w:rsid w:val="004E78E7"/>
    <w:rsid w:val="004F00D3"/>
    <w:rsid w:val="004F0283"/>
    <w:rsid w:val="004F08D8"/>
    <w:rsid w:val="004F0ABC"/>
    <w:rsid w:val="004F0DBA"/>
    <w:rsid w:val="004F4958"/>
    <w:rsid w:val="004F4EE3"/>
    <w:rsid w:val="004F58EB"/>
    <w:rsid w:val="004F6303"/>
    <w:rsid w:val="004F6981"/>
    <w:rsid w:val="004F6C14"/>
    <w:rsid w:val="004F6C48"/>
    <w:rsid w:val="004F6C58"/>
    <w:rsid w:val="004F6CEB"/>
    <w:rsid w:val="004F6F35"/>
    <w:rsid w:val="00500BEC"/>
    <w:rsid w:val="00502D25"/>
    <w:rsid w:val="00503275"/>
    <w:rsid w:val="0050407E"/>
    <w:rsid w:val="0050463D"/>
    <w:rsid w:val="00504E42"/>
    <w:rsid w:val="00506235"/>
    <w:rsid w:val="00506F27"/>
    <w:rsid w:val="00507334"/>
    <w:rsid w:val="005075E7"/>
    <w:rsid w:val="005076AD"/>
    <w:rsid w:val="0051079B"/>
    <w:rsid w:val="005107C9"/>
    <w:rsid w:val="00512091"/>
    <w:rsid w:val="0051314C"/>
    <w:rsid w:val="005136C4"/>
    <w:rsid w:val="005143B1"/>
    <w:rsid w:val="005147E5"/>
    <w:rsid w:val="0051529D"/>
    <w:rsid w:val="00515BB6"/>
    <w:rsid w:val="00515E4F"/>
    <w:rsid w:val="0051711E"/>
    <w:rsid w:val="005173D0"/>
    <w:rsid w:val="00520678"/>
    <w:rsid w:val="005213A9"/>
    <w:rsid w:val="005215DC"/>
    <w:rsid w:val="00522BA2"/>
    <w:rsid w:val="00522DBE"/>
    <w:rsid w:val="00522FF3"/>
    <w:rsid w:val="00523983"/>
    <w:rsid w:val="005245D5"/>
    <w:rsid w:val="0052533B"/>
    <w:rsid w:val="00526D72"/>
    <w:rsid w:val="0052748A"/>
    <w:rsid w:val="005275D0"/>
    <w:rsid w:val="005307A8"/>
    <w:rsid w:val="00531561"/>
    <w:rsid w:val="005316F9"/>
    <w:rsid w:val="00533064"/>
    <w:rsid w:val="0053315B"/>
    <w:rsid w:val="0053492F"/>
    <w:rsid w:val="00534BA8"/>
    <w:rsid w:val="00536A88"/>
    <w:rsid w:val="00540208"/>
    <w:rsid w:val="00541F50"/>
    <w:rsid w:val="00542A14"/>
    <w:rsid w:val="00544693"/>
    <w:rsid w:val="00545F57"/>
    <w:rsid w:val="005466C1"/>
    <w:rsid w:val="00546CE3"/>
    <w:rsid w:val="00547A8A"/>
    <w:rsid w:val="00550851"/>
    <w:rsid w:val="00551ADA"/>
    <w:rsid w:val="00553E38"/>
    <w:rsid w:val="005546D0"/>
    <w:rsid w:val="0055626A"/>
    <w:rsid w:val="00556A0F"/>
    <w:rsid w:val="00556ED7"/>
    <w:rsid w:val="00557FA5"/>
    <w:rsid w:val="00560165"/>
    <w:rsid w:val="005613F7"/>
    <w:rsid w:val="00562313"/>
    <w:rsid w:val="00563257"/>
    <w:rsid w:val="00564DD9"/>
    <w:rsid w:val="00566826"/>
    <w:rsid w:val="005671E7"/>
    <w:rsid w:val="00567556"/>
    <w:rsid w:val="00567F9D"/>
    <w:rsid w:val="00570134"/>
    <w:rsid w:val="005709BB"/>
    <w:rsid w:val="005719F0"/>
    <w:rsid w:val="00572A1D"/>
    <w:rsid w:val="00572E5D"/>
    <w:rsid w:val="005740A6"/>
    <w:rsid w:val="005757DE"/>
    <w:rsid w:val="00575C4C"/>
    <w:rsid w:val="00575EF9"/>
    <w:rsid w:val="00576387"/>
    <w:rsid w:val="005768DF"/>
    <w:rsid w:val="0058063A"/>
    <w:rsid w:val="00583F2E"/>
    <w:rsid w:val="00587245"/>
    <w:rsid w:val="005878B2"/>
    <w:rsid w:val="00592398"/>
    <w:rsid w:val="005923D1"/>
    <w:rsid w:val="00592BAA"/>
    <w:rsid w:val="00592DCD"/>
    <w:rsid w:val="0059313A"/>
    <w:rsid w:val="00593C85"/>
    <w:rsid w:val="005944D8"/>
    <w:rsid w:val="00595A8B"/>
    <w:rsid w:val="00596AB6"/>
    <w:rsid w:val="00597A0D"/>
    <w:rsid w:val="00597FEB"/>
    <w:rsid w:val="005A278E"/>
    <w:rsid w:val="005A325F"/>
    <w:rsid w:val="005A58D7"/>
    <w:rsid w:val="005A5D5C"/>
    <w:rsid w:val="005A6C29"/>
    <w:rsid w:val="005A7038"/>
    <w:rsid w:val="005A7520"/>
    <w:rsid w:val="005B1037"/>
    <w:rsid w:val="005B1CFF"/>
    <w:rsid w:val="005B22F1"/>
    <w:rsid w:val="005B3FE8"/>
    <w:rsid w:val="005B52EB"/>
    <w:rsid w:val="005B5C87"/>
    <w:rsid w:val="005B6D1A"/>
    <w:rsid w:val="005B74B7"/>
    <w:rsid w:val="005C1BB0"/>
    <w:rsid w:val="005C34C8"/>
    <w:rsid w:val="005C4E4D"/>
    <w:rsid w:val="005C610B"/>
    <w:rsid w:val="005C66F5"/>
    <w:rsid w:val="005D0D04"/>
    <w:rsid w:val="005D1E5E"/>
    <w:rsid w:val="005D1EED"/>
    <w:rsid w:val="005D3115"/>
    <w:rsid w:val="005D45E8"/>
    <w:rsid w:val="005D4995"/>
    <w:rsid w:val="005D5146"/>
    <w:rsid w:val="005D5A11"/>
    <w:rsid w:val="005D6306"/>
    <w:rsid w:val="005D6DEE"/>
    <w:rsid w:val="005D6ED4"/>
    <w:rsid w:val="005D7879"/>
    <w:rsid w:val="005E0395"/>
    <w:rsid w:val="005E0EC5"/>
    <w:rsid w:val="005E3ED1"/>
    <w:rsid w:val="005E40D9"/>
    <w:rsid w:val="005E4B47"/>
    <w:rsid w:val="005E5BCB"/>
    <w:rsid w:val="005E6612"/>
    <w:rsid w:val="005E7888"/>
    <w:rsid w:val="005E7E7F"/>
    <w:rsid w:val="005F19C0"/>
    <w:rsid w:val="005F2C60"/>
    <w:rsid w:val="005F2DD4"/>
    <w:rsid w:val="005F3426"/>
    <w:rsid w:val="005F3CF3"/>
    <w:rsid w:val="005F4307"/>
    <w:rsid w:val="005F53E3"/>
    <w:rsid w:val="005F5AC4"/>
    <w:rsid w:val="005F6AA1"/>
    <w:rsid w:val="005F6C96"/>
    <w:rsid w:val="005F6F22"/>
    <w:rsid w:val="005F7513"/>
    <w:rsid w:val="005F76E1"/>
    <w:rsid w:val="005F7753"/>
    <w:rsid w:val="005F77BA"/>
    <w:rsid w:val="005F7A1B"/>
    <w:rsid w:val="00602679"/>
    <w:rsid w:val="00602ED1"/>
    <w:rsid w:val="00603DA1"/>
    <w:rsid w:val="006042AA"/>
    <w:rsid w:val="00605688"/>
    <w:rsid w:val="00605A77"/>
    <w:rsid w:val="00606D88"/>
    <w:rsid w:val="00607AB4"/>
    <w:rsid w:val="0061240D"/>
    <w:rsid w:val="00612BA9"/>
    <w:rsid w:val="006137BD"/>
    <w:rsid w:val="006146FE"/>
    <w:rsid w:val="006155B7"/>
    <w:rsid w:val="0061595E"/>
    <w:rsid w:val="00615C63"/>
    <w:rsid w:val="0061638F"/>
    <w:rsid w:val="006204EC"/>
    <w:rsid w:val="00620999"/>
    <w:rsid w:val="00620C25"/>
    <w:rsid w:val="00622D09"/>
    <w:rsid w:val="0062391E"/>
    <w:rsid w:val="00625994"/>
    <w:rsid w:val="00627801"/>
    <w:rsid w:val="006279D8"/>
    <w:rsid w:val="00630355"/>
    <w:rsid w:val="00630B02"/>
    <w:rsid w:val="00630FE8"/>
    <w:rsid w:val="00633038"/>
    <w:rsid w:val="0063315D"/>
    <w:rsid w:val="00633AD7"/>
    <w:rsid w:val="0063493B"/>
    <w:rsid w:val="00635130"/>
    <w:rsid w:val="00636215"/>
    <w:rsid w:val="0063646A"/>
    <w:rsid w:val="00640767"/>
    <w:rsid w:val="00640A25"/>
    <w:rsid w:val="00640CFD"/>
    <w:rsid w:val="00641217"/>
    <w:rsid w:val="0064158D"/>
    <w:rsid w:val="006418D9"/>
    <w:rsid w:val="00641AB8"/>
    <w:rsid w:val="00642D77"/>
    <w:rsid w:val="0064345E"/>
    <w:rsid w:val="0064597C"/>
    <w:rsid w:val="00645F69"/>
    <w:rsid w:val="00645FBB"/>
    <w:rsid w:val="006471B8"/>
    <w:rsid w:val="006508D1"/>
    <w:rsid w:val="006521E6"/>
    <w:rsid w:val="006525D5"/>
    <w:rsid w:val="006526FE"/>
    <w:rsid w:val="006539A9"/>
    <w:rsid w:val="006539BC"/>
    <w:rsid w:val="006542C8"/>
    <w:rsid w:val="00655F5F"/>
    <w:rsid w:val="006602B1"/>
    <w:rsid w:val="00661D92"/>
    <w:rsid w:val="00661EC9"/>
    <w:rsid w:val="0066555B"/>
    <w:rsid w:val="00665D87"/>
    <w:rsid w:val="006662BE"/>
    <w:rsid w:val="00666BCF"/>
    <w:rsid w:val="006670C6"/>
    <w:rsid w:val="00667F12"/>
    <w:rsid w:val="006707E2"/>
    <w:rsid w:val="00671303"/>
    <w:rsid w:val="00671881"/>
    <w:rsid w:val="00671C3F"/>
    <w:rsid w:val="0067251B"/>
    <w:rsid w:val="00673404"/>
    <w:rsid w:val="00674E34"/>
    <w:rsid w:val="00675B5B"/>
    <w:rsid w:val="0067679E"/>
    <w:rsid w:val="00677721"/>
    <w:rsid w:val="00680276"/>
    <w:rsid w:val="00682D92"/>
    <w:rsid w:val="006859D6"/>
    <w:rsid w:val="00686612"/>
    <w:rsid w:val="006869A2"/>
    <w:rsid w:val="00686CA1"/>
    <w:rsid w:val="00692D08"/>
    <w:rsid w:val="00694418"/>
    <w:rsid w:val="00694ED5"/>
    <w:rsid w:val="00694FCB"/>
    <w:rsid w:val="006974C9"/>
    <w:rsid w:val="006A0555"/>
    <w:rsid w:val="006A0624"/>
    <w:rsid w:val="006A0C98"/>
    <w:rsid w:val="006A12C1"/>
    <w:rsid w:val="006A1B39"/>
    <w:rsid w:val="006A28D8"/>
    <w:rsid w:val="006A30D1"/>
    <w:rsid w:val="006A3DE0"/>
    <w:rsid w:val="006A4389"/>
    <w:rsid w:val="006A4E3C"/>
    <w:rsid w:val="006A6816"/>
    <w:rsid w:val="006B181C"/>
    <w:rsid w:val="006B29A4"/>
    <w:rsid w:val="006B2F4C"/>
    <w:rsid w:val="006B3250"/>
    <w:rsid w:val="006B410B"/>
    <w:rsid w:val="006B4CC0"/>
    <w:rsid w:val="006B6FE9"/>
    <w:rsid w:val="006B770F"/>
    <w:rsid w:val="006C1168"/>
    <w:rsid w:val="006C1474"/>
    <w:rsid w:val="006C18EE"/>
    <w:rsid w:val="006C1C82"/>
    <w:rsid w:val="006C291B"/>
    <w:rsid w:val="006C3E26"/>
    <w:rsid w:val="006C450C"/>
    <w:rsid w:val="006C7EC2"/>
    <w:rsid w:val="006D19EE"/>
    <w:rsid w:val="006D1E01"/>
    <w:rsid w:val="006D5A9E"/>
    <w:rsid w:val="006D6FEC"/>
    <w:rsid w:val="006D77AE"/>
    <w:rsid w:val="006D7EA2"/>
    <w:rsid w:val="006E02BB"/>
    <w:rsid w:val="006E0E11"/>
    <w:rsid w:val="006E1435"/>
    <w:rsid w:val="006E26E7"/>
    <w:rsid w:val="006E299D"/>
    <w:rsid w:val="006E2ED6"/>
    <w:rsid w:val="006E4ADA"/>
    <w:rsid w:val="006E4DE6"/>
    <w:rsid w:val="006E4FB9"/>
    <w:rsid w:val="006E635F"/>
    <w:rsid w:val="006E6CCE"/>
    <w:rsid w:val="006E7ABA"/>
    <w:rsid w:val="006E7CB0"/>
    <w:rsid w:val="006E7E50"/>
    <w:rsid w:val="006F07F7"/>
    <w:rsid w:val="006F1E98"/>
    <w:rsid w:val="006F29EA"/>
    <w:rsid w:val="006F4039"/>
    <w:rsid w:val="006F4A42"/>
    <w:rsid w:val="006F6C0C"/>
    <w:rsid w:val="006F73B5"/>
    <w:rsid w:val="006F7E95"/>
    <w:rsid w:val="007008A4"/>
    <w:rsid w:val="00701100"/>
    <w:rsid w:val="007029C4"/>
    <w:rsid w:val="00702BA9"/>
    <w:rsid w:val="007039F1"/>
    <w:rsid w:val="00703E99"/>
    <w:rsid w:val="00704015"/>
    <w:rsid w:val="00705FB4"/>
    <w:rsid w:val="00706830"/>
    <w:rsid w:val="00707166"/>
    <w:rsid w:val="00707A04"/>
    <w:rsid w:val="00710674"/>
    <w:rsid w:val="00710DB5"/>
    <w:rsid w:val="00711039"/>
    <w:rsid w:val="00711227"/>
    <w:rsid w:val="00715BFE"/>
    <w:rsid w:val="00715E30"/>
    <w:rsid w:val="00715F7B"/>
    <w:rsid w:val="00716ECA"/>
    <w:rsid w:val="00717954"/>
    <w:rsid w:val="00720B85"/>
    <w:rsid w:val="00721032"/>
    <w:rsid w:val="007223E3"/>
    <w:rsid w:val="00722EFF"/>
    <w:rsid w:val="007232B3"/>
    <w:rsid w:val="00723F49"/>
    <w:rsid w:val="00724CBF"/>
    <w:rsid w:val="00725D56"/>
    <w:rsid w:val="00725FA6"/>
    <w:rsid w:val="007268E8"/>
    <w:rsid w:val="00726DA6"/>
    <w:rsid w:val="00727FBF"/>
    <w:rsid w:val="007308C9"/>
    <w:rsid w:val="00732C08"/>
    <w:rsid w:val="007336C0"/>
    <w:rsid w:val="00734F1D"/>
    <w:rsid w:val="007367F6"/>
    <w:rsid w:val="00737D76"/>
    <w:rsid w:val="007410DF"/>
    <w:rsid w:val="00741D6B"/>
    <w:rsid w:val="007462BA"/>
    <w:rsid w:val="00746A02"/>
    <w:rsid w:val="007470A9"/>
    <w:rsid w:val="00750CBD"/>
    <w:rsid w:val="00751385"/>
    <w:rsid w:val="00751CB1"/>
    <w:rsid w:val="007537B2"/>
    <w:rsid w:val="007540D8"/>
    <w:rsid w:val="00755A71"/>
    <w:rsid w:val="00755CF7"/>
    <w:rsid w:val="00755FF1"/>
    <w:rsid w:val="00760A29"/>
    <w:rsid w:val="00761946"/>
    <w:rsid w:val="007633AC"/>
    <w:rsid w:val="00763406"/>
    <w:rsid w:val="007637BE"/>
    <w:rsid w:val="00764256"/>
    <w:rsid w:val="007648A3"/>
    <w:rsid w:val="00764EBF"/>
    <w:rsid w:val="0076659F"/>
    <w:rsid w:val="007668F4"/>
    <w:rsid w:val="00770311"/>
    <w:rsid w:val="0077081A"/>
    <w:rsid w:val="0077158B"/>
    <w:rsid w:val="00771BBF"/>
    <w:rsid w:val="007728B2"/>
    <w:rsid w:val="007729E2"/>
    <w:rsid w:val="007746AB"/>
    <w:rsid w:val="00774DC1"/>
    <w:rsid w:val="007751A5"/>
    <w:rsid w:val="00775D15"/>
    <w:rsid w:val="00776851"/>
    <w:rsid w:val="00777786"/>
    <w:rsid w:val="00777EA8"/>
    <w:rsid w:val="00780786"/>
    <w:rsid w:val="007812F6"/>
    <w:rsid w:val="007823F2"/>
    <w:rsid w:val="0078392A"/>
    <w:rsid w:val="00783A20"/>
    <w:rsid w:val="00783B95"/>
    <w:rsid w:val="00784E60"/>
    <w:rsid w:val="00785F92"/>
    <w:rsid w:val="00786035"/>
    <w:rsid w:val="007864A2"/>
    <w:rsid w:val="0078718A"/>
    <w:rsid w:val="00787F92"/>
    <w:rsid w:val="00790379"/>
    <w:rsid w:val="00790A99"/>
    <w:rsid w:val="00790F00"/>
    <w:rsid w:val="007914FF"/>
    <w:rsid w:val="007951CD"/>
    <w:rsid w:val="007952FD"/>
    <w:rsid w:val="0079568A"/>
    <w:rsid w:val="00795C4C"/>
    <w:rsid w:val="00795D79"/>
    <w:rsid w:val="0079657A"/>
    <w:rsid w:val="00796E44"/>
    <w:rsid w:val="007A0872"/>
    <w:rsid w:val="007A088C"/>
    <w:rsid w:val="007A135C"/>
    <w:rsid w:val="007A1629"/>
    <w:rsid w:val="007A22E1"/>
    <w:rsid w:val="007A3ED7"/>
    <w:rsid w:val="007A3FC1"/>
    <w:rsid w:val="007A433C"/>
    <w:rsid w:val="007A6C24"/>
    <w:rsid w:val="007A78B2"/>
    <w:rsid w:val="007B12A8"/>
    <w:rsid w:val="007B12FC"/>
    <w:rsid w:val="007B2255"/>
    <w:rsid w:val="007B505A"/>
    <w:rsid w:val="007B5D58"/>
    <w:rsid w:val="007B5E2E"/>
    <w:rsid w:val="007B6163"/>
    <w:rsid w:val="007B664F"/>
    <w:rsid w:val="007B79D1"/>
    <w:rsid w:val="007C075F"/>
    <w:rsid w:val="007C1EA0"/>
    <w:rsid w:val="007C1FDB"/>
    <w:rsid w:val="007C26BE"/>
    <w:rsid w:val="007C2824"/>
    <w:rsid w:val="007C3B9E"/>
    <w:rsid w:val="007C5441"/>
    <w:rsid w:val="007C69E7"/>
    <w:rsid w:val="007C6B1A"/>
    <w:rsid w:val="007C75A4"/>
    <w:rsid w:val="007C7CA7"/>
    <w:rsid w:val="007D0DA8"/>
    <w:rsid w:val="007D109B"/>
    <w:rsid w:val="007D22E5"/>
    <w:rsid w:val="007D319D"/>
    <w:rsid w:val="007D3306"/>
    <w:rsid w:val="007D3B1D"/>
    <w:rsid w:val="007D3C73"/>
    <w:rsid w:val="007D4C30"/>
    <w:rsid w:val="007D513F"/>
    <w:rsid w:val="007D5D7E"/>
    <w:rsid w:val="007D622B"/>
    <w:rsid w:val="007D789B"/>
    <w:rsid w:val="007D7AF8"/>
    <w:rsid w:val="007D7DD9"/>
    <w:rsid w:val="007E0A20"/>
    <w:rsid w:val="007E1309"/>
    <w:rsid w:val="007E1384"/>
    <w:rsid w:val="007E1C95"/>
    <w:rsid w:val="007E4768"/>
    <w:rsid w:val="007E54EF"/>
    <w:rsid w:val="007E6DCF"/>
    <w:rsid w:val="007E7230"/>
    <w:rsid w:val="007F0113"/>
    <w:rsid w:val="007F04E0"/>
    <w:rsid w:val="007F0C8F"/>
    <w:rsid w:val="007F17B7"/>
    <w:rsid w:val="007F253C"/>
    <w:rsid w:val="007F2B1D"/>
    <w:rsid w:val="007F3264"/>
    <w:rsid w:val="007F3BBD"/>
    <w:rsid w:val="007F4134"/>
    <w:rsid w:val="007F4D34"/>
    <w:rsid w:val="007F6497"/>
    <w:rsid w:val="007F6D49"/>
    <w:rsid w:val="007F73D3"/>
    <w:rsid w:val="007F798C"/>
    <w:rsid w:val="0080059D"/>
    <w:rsid w:val="008013D1"/>
    <w:rsid w:val="008014B3"/>
    <w:rsid w:val="00801616"/>
    <w:rsid w:val="008018F4"/>
    <w:rsid w:val="00802428"/>
    <w:rsid w:val="00802754"/>
    <w:rsid w:val="008028E0"/>
    <w:rsid w:val="00804406"/>
    <w:rsid w:val="00806A89"/>
    <w:rsid w:val="00806D54"/>
    <w:rsid w:val="00807BC5"/>
    <w:rsid w:val="00807F9C"/>
    <w:rsid w:val="00810F57"/>
    <w:rsid w:val="00812D72"/>
    <w:rsid w:val="00815250"/>
    <w:rsid w:val="00815892"/>
    <w:rsid w:val="00816C25"/>
    <w:rsid w:val="00816EC9"/>
    <w:rsid w:val="00820555"/>
    <w:rsid w:val="00820B9D"/>
    <w:rsid w:val="00822ACF"/>
    <w:rsid w:val="008239C9"/>
    <w:rsid w:val="00823E2A"/>
    <w:rsid w:val="008275AF"/>
    <w:rsid w:val="0083022E"/>
    <w:rsid w:val="00830BF5"/>
    <w:rsid w:val="00831912"/>
    <w:rsid w:val="00832129"/>
    <w:rsid w:val="008331E8"/>
    <w:rsid w:val="008339A5"/>
    <w:rsid w:val="008341CC"/>
    <w:rsid w:val="008353BE"/>
    <w:rsid w:val="008358ED"/>
    <w:rsid w:val="00835C62"/>
    <w:rsid w:val="00835EFD"/>
    <w:rsid w:val="00836517"/>
    <w:rsid w:val="0083675F"/>
    <w:rsid w:val="00840897"/>
    <w:rsid w:val="00841169"/>
    <w:rsid w:val="0084330B"/>
    <w:rsid w:val="00843DC0"/>
    <w:rsid w:val="00843EFA"/>
    <w:rsid w:val="008447E3"/>
    <w:rsid w:val="00844A71"/>
    <w:rsid w:val="00846A58"/>
    <w:rsid w:val="0085141E"/>
    <w:rsid w:val="00851B05"/>
    <w:rsid w:val="00853070"/>
    <w:rsid w:val="008530C9"/>
    <w:rsid w:val="0085363F"/>
    <w:rsid w:val="00853777"/>
    <w:rsid w:val="008540D3"/>
    <w:rsid w:val="008547A8"/>
    <w:rsid w:val="00857F79"/>
    <w:rsid w:val="00861D53"/>
    <w:rsid w:val="00861E0B"/>
    <w:rsid w:val="008626FD"/>
    <w:rsid w:val="00863BB1"/>
    <w:rsid w:val="00864230"/>
    <w:rsid w:val="00864D14"/>
    <w:rsid w:val="00866882"/>
    <w:rsid w:val="00867E2A"/>
    <w:rsid w:val="00871959"/>
    <w:rsid w:val="008764E0"/>
    <w:rsid w:val="00876577"/>
    <w:rsid w:val="00877566"/>
    <w:rsid w:val="008777EA"/>
    <w:rsid w:val="00877DAD"/>
    <w:rsid w:val="00880B6B"/>
    <w:rsid w:val="00881802"/>
    <w:rsid w:val="00881C10"/>
    <w:rsid w:val="00882204"/>
    <w:rsid w:val="0088463F"/>
    <w:rsid w:val="00885B5E"/>
    <w:rsid w:val="00887432"/>
    <w:rsid w:val="00887F8F"/>
    <w:rsid w:val="0089064A"/>
    <w:rsid w:val="0089298D"/>
    <w:rsid w:val="008934BB"/>
    <w:rsid w:val="00893D0D"/>
    <w:rsid w:val="00895977"/>
    <w:rsid w:val="00896EB2"/>
    <w:rsid w:val="0089707A"/>
    <w:rsid w:val="008A1062"/>
    <w:rsid w:val="008A2608"/>
    <w:rsid w:val="008A2F08"/>
    <w:rsid w:val="008A364D"/>
    <w:rsid w:val="008A3D6F"/>
    <w:rsid w:val="008A46C8"/>
    <w:rsid w:val="008A5975"/>
    <w:rsid w:val="008A5C47"/>
    <w:rsid w:val="008A730B"/>
    <w:rsid w:val="008B157E"/>
    <w:rsid w:val="008B166E"/>
    <w:rsid w:val="008B2997"/>
    <w:rsid w:val="008B3CD3"/>
    <w:rsid w:val="008B48F5"/>
    <w:rsid w:val="008B55BA"/>
    <w:rsid w:val="008B63AD"/>
    <w:rsid w:val="008B65A0"/>
    <w:rsid w:val="008B673E"/>
    <w:rsid w:val="008C0908"/>
    <w:rsid w:val="008C140F"/>
    <w:rsid w:val="008C2660"/>
    <w:rsid w:val="008C286A"/>
    <w:rsid w:val="008C4A6A"/>
    <w:rsid w:val="008C4DEE"/>
    <w:rsid w:val="008C56A5"/>
    <w:rsid w:val="008C58AF"/>
    <w:rsid w:val="008C5AC6"/>
    <w:rsid w:val="008C6767"/>
    <w:rsid w:val="008C7979"/>
    <w:rsid w:val="008D00C2"/>
    <w:rsid w:val="008D0370"/>
    <w:rsid w:val="008D18D8"/>
    <w:rsid w:val="008D1D31"/>
    <w:rsid w:val="008D27A6"/>
    <w:rsid w:val="008D44D1"/>
    <w:rsid w:val="008D4D14"/>
    <w:rsid w:val="008D4D91"/>
    <w:rsid w:val="008D4DA3"/>
    <w:rsid w:val="008D61EE"/>
    <w:rsid w:val="008D65FE"/>
    <w:rsid w:val="008D7EF6"/>
    <w:rsid w:val="008E0216"/>
    <w:rsid w:val="008E12CD"/>
    <w:rsid w:val="008E14F9"/>
    <w:rsid w:val="008E1FD1"/>
    <w:rsid w:val="008E2A4C"/>
    <w:rsid w:val="008E395C"/>
    <w:rsid w:val="008E5358"/>
    <w:rsid w:val="008E64D0"/>
    <w:rsid w:val="008E6757"/>
    <w:rsid w:val="008E6B35"/>
    <w:rsid w:val="008E6E12"/>
    <w:rsid w:val="008F0164"/>
    <w:rsid w:val="008F1601"/>
    <w:rsid w:val="008F16E6"/>
    <w:rsid w:val="008F239E"/>
    <w:rsid w:val="008F2D2E"/>
    <w:rsid w:val="008F382A"/>
    <w:rsid w:val="008F3923"/>
    <w:rsid w:val="008F5744"/>
    <w:rsid w:val="008F5CBB"/>
    <w:rsid w:val="008F5F27"/>
    <w:rsid w:val="008F6084"/>
    <w:rsid w:val="008F6CB3"/>
    <w:rsid w:val="008F7AA8"/>
    <w:rsid w:val="00900B40"/>
    <w:rsid w:val="009014E8"/>
    <w:rsid w:val="00901EAC"/>
    <w:rsid w:val="009042E8"/>
    <w:rsid w:val="00905029"/>
    <w:rsid w:val="00905688"/>
    <w:rsid w:val="00910228"/>
    <w:rsid w:val="0091048A"/>
    <w:rsid w:val="009111FE"/>
    <w:rsid w:val="0091144B"/>
    <w:rsid w:val="00913B3C"/>
    <w:rsid w:val="00913D68"/>
    <w:rsid w:val="00915365"/>
    <w:rsid w:val="009161B7"/>
    <w:rsid w:val="00921BF2"/>
    <w:rsid w:val="00923BD9"/>
    <w:rsid w:val="00923DE0"/>
    <w:rsid w:val="00924283"/>
    <w:rsid w:val="00924764"/>
    <w:rsid w:val="0092477F"/>
    <w:rsid w:val="009265FF"/>
    <w:rsid w:val="009312B1"/>
    <w:rsid w:val="00931CE3"/>
    <w:rsid w:val="00933165"/>
    <w:rsid w:val="00934A24"/>
    <w:rsid w:val="009352A0"/>
    <w:rsid w:val="009354F4"/>
    <w:rsid w:val="009402FF"/>
    <w:rsid w:val="0094094B"/>
    <w:rsid w:val="00941D4A"/>
    <w:rsid w:val="0094263B"/>
    <w:rsid w:val="009426AF"/>
    <w:rsid w:val="00942FA3"/>
    <w:rsid w:val="009436B5"/>
    <w:rsid w:val="00945DC7"/>
    <w:rsid w:val="00946888"/>
    <w:rsid w:val="00951966"/>
    <w:rsid w:val="00952116"/>
    <w:rsid w:val="0095288F"/>
    <w:rsid w:val="00952E4D"/>
    <w:rsid w:val="009535E3"/>
    <w:rsid w:val="0095647F"/>
    <w:rsid w:val="00956BA9"/>
    <w:rsid w:val="00957981"/>
    <w:rsid w:val="009603E0"/>
    <w:rsid w:val="009614E4"/>
    <w:rsid w:val="00961A16"/>
    <w:rsid w:val="0096266D"/>
    <w:rsid w:val="00962C2E"/>
    <w:rsid w:val="009656AB"/>
    <w:rsid w:val="009660FF"/>
    <w:rsid w:val="009700F1"/>
    <w:rsid w:val="00970286"/>
    <w:rsid w:val="009704FF"/>
    <w:rsid w:val="009706C8"/>
    <w:rsid w:val="00970B10"/>
    <w:rsid w:val="00972076"/>
    <w:rsid w:val="00975AB8"/>
    <w:rsid w:val="00975FC6"/>
    <w:rsid w:val="00976D80"/>
    <w:rsid w:val="009771D5"/>
    <w:rsid w:val="009806AB"/>
    <w:rsid w:val="00981542"/>
    <w:rsid w:val="009848A1"/>
    <w:rsid w:val="009848CE"/>
    <w:rsid w:val="009852D8"/>
    <w:rsid w:val="00990DCE"/>
    <w:rsid w:val="009922D1"/>
    <w:rsid w:val="009931BF"/>
    <w:rsid w:val="00993C60"/>
    <w:rsid w:val="00993CEB"/>
    <w:rsid w:val="00994096"/>
    <w:rsid w:val="00994389"/>
    <w:rsid w:val="009945AB"/>
    <w:rsid w:val="00994CA4"/>
    <w:rsid w:val="00994CA6"/>
    <w:rsid w:val="009952AA"/>
    <w:rsid w:val="00995DF6"/>
    <w:rsid w:val="009963F2"/>
    <w:rsid w:val="00996CA2"/>
    <w:rsid w:val="00997939"/>
    <w:rsid w:val="009A1CA0"/>
    <w:rsid w:val="009A1CCB"/>
    <w:rsid w:val="009A2376"/>
    <w:rsid w:val="009A31F5"/>
    <w:rsid w:val="009A35DB"/>
    <w:rsid w:val="009A3C78"/>
    <w:rsid w:val="009A4A0D"/>
    <w:rsid w:val="009A4F32"/>
    <w:rsid w:val="009A5726"/>
    <w:rsid w:val="009A5E87"/>
    <w:rsid w:val="009A749C"/>
    <w:rsid w:val="009A7F02"/>
    <w:rsid w:val="009B17E5"/>
    <w:rsid w:val="009B1CD8"/>
    <w:rsid w:val="009B2879"/>
    <w:rsid w:val="009B2985"/>
    <w:rsid w:val="009B2E70"/>
    <w:rsid w:val="009B319F"/>
    <w:rsid w:val="009B435F"/>
    <w:rsid w:val="009B4955"/>
    <w:rsid w:val="009B4D8F"/>
    <w:rsid w:val="009B5382"/>
    <w:rsid w:val="009B66D5"/>
    <w:rsid w:val="009B7862"/>
    <w:rsid w:val="009C0E67"/>
    <w:rsid w:val="009C11A1"/>
    <w:rsid w:val="009C1C8B"/>
    <w:rsid w:val="009C470A"/>
    <w:rsid w:val="009C4BBE"/>
    <w:rsid w:val="009C547C"/>
    <w:rsid w:val="009C6021"/>
    <w:rsid w:val="009C61AA"/>
    <w:rsid w:val="009C7CBF"/>
    <w:rsid w:val="009D0A02"/>
    <w:rsid w:val="009D1744"/>
    <w:rsid w:val="009D1968"/>
    <w:rsid w:val="009D19EA"/>
    <w:rsid w:val="009D32CD"/>
    <w:rsid w:val="009D6B73"/>
    <w:rsid w:val="009D79D4"/>
    <w:rsid w:val="009E1556"/>
    <w:rsid w:val="009E1CBD"/>
    <w:rsid w:val="009E3B40"/>
    <w:rsid w:val="009E3FE1"/>
    <w:rsid w:val="009E44F6"/>
    <w:rsid w:val="009E4968"/>
    <w:rsid w:val="009E540E"/>
    <w:rsid w:val="009E5680"/>
    <w:rsid w:val="009E5B7D"/>
    <w:rsid w:val="009E5D77"/>
    <w:rsid w:val="009E6111"/>
    <w:rsid w:val="009E6542"/>
    <w:rsid w:val="009E6544"/>
    <w:rsid w:val="009E6685"/>
    <w:rsid w:val="009E6FF9"/>
    <w:rsid w:val="009F0B3B"/>
    <w:rsid w:val="009F0B92"/>
    <w:rsid w:val="009F12CF"/>
    <w:rsid w:val="009F2833"/>
    <w:rsid w:val="009F2A42"/>
    <w:rsid w:val="009F2BF0"/>
    <w:rsid w:val="009F39B4"/>
    <w:rsid w:val="009F444B"/>
    <w:rsid w:val="009F45F0"/>
    <w:rsid w:val="009F5ED8"/>
    <w:rsid w:val="009F63F7"/>
    <w:rsid w:val="009F76C7"/>
    <w:rsid w:val="009F7AA7"/>
    <w:rsid w:val="00A010D4"/>
    <w:rsid w:val="00A01120"/>
    <w:rsid w:val="00A0299C"/>
    <w:rsid w:val="00A02B0E"/>
    <w:rsid w:val="00A03F7D"/>
    <w:rsid w:val="00A04270"/>
    <w:rsid w:val="00A04D5D"/>
    <w:rsid w:val="00A0512E"/>
    <w:rsid w:val="00A05745"/>
    <w:rsid w:val="00A059E7"/>
    <w:rsid w:val="00A06A88"/>
    <w:rsid w:val="00A06C22"/>
    <w:rsid w:val="00A0759C"/>
    <w:rsid w:val="00A105B5"/>
    <w:rsid w:val="00A1406B"/>
    <w:rsid w:val="00A1699D"/>
    <w:rsid w:val="00A17317"/>
    <w:rsid w:val="00A1761E"/>
    <w:rsid w:val="00A177E3"/>
    <w:rsid w:val="00A219AC"/>
    <w:rsid w:val="00A22336"/>
    <w:rsid w:val="00A22DFC"/>
    <w:rsid w:val="00A243A4"/>
    <w:rsid w:val="00A24E19"/>
    <w:rsid w:val="00A25D27"/>
    <w:rsid w:val="00A25E95"/>
    <w:rsid w:val="00A30E90"/>
    <w:rsid w:val="00A33161"/>
    <w:rsid w:val="00A335DA"/>
    <w:rsid w:val="00A33AD8"/>
    <w:rsid w:val="00A351B1"/>
    <w:rsid w:val="00A41853"/>
    <w:rsid w:val="00A41B0B"/>
    <w:rsid w:val="00A4250E"/>
    <w:rsid w:val="00A4368A"/>
    <w:rsid w:val="00A45780"/>
    <w:rsid w:val="00A45DAB"/>
    <w:rsid w:val="00A4600F"/>
    <w:rsid w:val="00A46F58"/>
    <w:rsid w:val="00A50105"/>
    <w:rsid w:val="00A511BC"/>
    <w:rsid w:val="00A51F93"/>
    <w:rsid w:val="00A52432"/>
    <w:rsid w:val="00A52AD8"/>
    <w:rsid w:val="00A54295"/>
    <w:rsid w:val="00A54FBA"/>
    <w:rsid w:val="00A55456"/>
    <w:rsid w:val="00A554BA"/>
    <w:rsid w:val="00A55A85"/>
    <w:rsid w:val="00A56185"/>
    <w:rsid w:val="00A57F57"/>
    <w:rsid w:val="00A609C6"/>
    <w:rsid w:val="00A618ED"/>
    <w:rsid w:val="00A62248"/>
    <w:rsid w:val="00A63402"/>
    <w:rsid w:val="00A65122"/>
    <w:rsid w:val="00A66282"/>
    <w:rsid w:val="00A66F7D"/>
    <w:rsid w:val="00A6769D"/>
    <w:rsid w:val="00A70491"/>
    <w:rsid w:val="00A73D73"/>
    <w:rsid w:val="00A73D7F"/>
    <w:rsid w:val="00A75A2F"/>
    <w:rsid w:val="00A76096"/>
    <w:rsid w:val="00A76307"/>
    <w:rsid w:val="00A76C90"/>
    <w:rsid w:val="00A77A39"/>
    <w:rsid w:val="00A805F6"/>
    <w:rsid w:val="00A8095E"/>
    <w:rsid w:val="00A845E6"/>
    <w:rsid w:val="00A85DA9"/>
    <w:rsid w:val="00A87717"/>
    <w:rsid w:val="00A925F7"/>
    <w:rsid w:val="00A931FA"/>
    <w:rsid w:val="00A93BA8"/>
    <w:rsid w:val="00A94DB9"/>
    <w:rsid w:val="00A964FB"/>
    <w:rsid w:val="00A97613"/>
    <w:rsid w:val="00A97E24"/>
    <w:rsid w:val="00AA398D"/>
    <w:rsid w:val="00AA425B"/>
    <w:rsid w:val="00AA47A8"/>
    <w:rsid w:val="00AA5053"/>
    <w:rsid w:val="00AA50BC"/>
    <w:rsid w:val="00AA7D74"/>
    <w:rsid w:val="00AB228F"/>
    <w:rsid w:val="00AB3113"/>
    <w:rsid w:val="00AB4548"/>
    <w:rsid w:val="00AB48A6"/>
    <w:rsid w:val="00AB64B7"/>
    <w:rsid w:val="00AB6CE0"/>
    <w:rsid w:val="00AB6F91"/>
    <w:rsid w:val="00AB78FC"/>
    <w:rsid w:val="00AC0686"/>
    <w:rsid w:val="00AC0F20"/>
    <w:rsid w:val="00AC1A16"/>
    <w:rsid w:val="00AC23E8"/>
    <w:rsid w:val="00AC27FF"/>
    <w:rsid w:val="00AC3245"/>
    <w:rsid w:val="00AC430F"/>
    <w:rsid w:val="00AC469B"/>
    <w:rsid w:val="00AC47A8"/>
    <w:rsid w:val="00AC5889"/>
    <w:rsid w:val="00AC5D6B"/>
    <w:rsid w:val="00AC5E99"/>
    <w:rsid w:val="00AC69C0"/>
    <w:rsid w:val="00AC7399"/>
    <w:rsid w:val="00AC7A96"/>
    <w:rsid w:val="00AC7E90"/>
    <w:rsid w:val="00AD0BD4"/>
    <w:rsid w:val="00AD223F"/>
    <w:rsid w:val="00AD52C4"/>
    <w:rsid w:val="00AD5E26"/>
    <w:rsid w:val="00AD7FC5"/>
    <w:rsid w:val="00AE11E4"/>
    <w:rsid w:val="00AE1515"/>
    <w:rsid w:val="00AE2D18"/>
    <w:rsid w:val="00AE355B"/>
    <w:rsid w:val="00AE460F"/>
    <w:rsid w:val="00AE5DD8"/>
    <w:rsid w:val="00AE5E02"/>
    <w:rsid w:val="00AE78DD"/>
    <w:rsid w:val="00AF1C35"/>
    <w:rsid w:val="00AF1D21"/>
    <w:rsid w:val="00AF1D39"/>
    <w:rsid w:val="00AF3E77"/>
    <w:rsid w:val="00AF423A"/>
    <w:rsid w:val="00AF47CE"/>
    <w:rsid w:val="00AF496D"/>
    <w:rsid w:val="00AF7711"/>
    <w:rsid w:val="00B004A1"/>
    <w:rsid w:val="00B00678"/>
    <w:rsid w:val="00B00B5E"/>
    <w:rsid w:val="00B028CF"/>
    <w:rsid w:val="00B03196"/>
    <w:rsid w:val="00B043E5"/>
    <w:rsid w:val="00B06070"/>
    <w:rsid w:val="00B06848"/>
    <w:rsid w:val="00B07F86"/>
    <w:rsid w:val="00B106DF"/>
    <w:rsid w:val="00B122BD"/>
    <w:rsid w:val="00B13476"/>
    <w:rsid w:val="00B138F1"/>
    <w:rsid w:val="00B15C38"/>
    <w:rsid w:val="00B16BB5"/>
    <w:rsid w:val="00B22174"/>
    <w:rsid w:val="00B23EFE"/>
    <w:rsid w:val="00B257E7"/>
    <w:rsid w:val="00B25CCE"/>
    <w:rsid w:val="00B27EAF"/>
    <w:rsid w:val="00B30C74"/>
    <w:rsid w:val="00B31CE9"/>
    <w:rsid w:val="00B32476"/>
    <w:rsid w:val="00B32FB2"/>
    <w:rsid w:val="00B330CA"/>
    <w:rsid w:val="00B3381A"/>
    <w:rsid w:val="00B34238"/>
    <w:rsid w:val="00B342E7"/>
    <w:rsid w:val="00B34D37"/>
    <w:rsid w:val="00B350D3"/>
    <w:rsid w:val="00B3670B"/>
    <w:rsid w:val="00B37AC3"/>
    <w:rsid w:val="00B37EE3"/>
    <w:rsid w:val="00B4087F"/>
    <w:rsid w:val="00B409FE"/>
    <w:rsid w:val="00B410DF"/>
    <w:rsid w:val="00B41B6A"/>
    <w:rsid w:val="00B4282B"/>
    <w:rsid w:val="00B43258"/>
    <w:rsid w:val="00B435DC"/>
    <w:rsid w:val="00B43796"/>
    <w:rsid w:val="00B472D9"/>
    <w:rsid w:val="00B51A80"/>
    <w:rsid w:val="00B55460"/>
    <w:rsid w:val="00B56410"/>
    <w:rsid w:val="00B565B4"/>
    <w:rsid w:val="00B56AA3"/>
    <w:rsid w:val="00B60421"/>
    <w:rsid w:val="00B60B07"/>
    <w:rsid w:val="00B611FD"/>
    <w:rsid w:val="00B61F99"/>
    <w:rsid w:val="00B62140"/>
    <w:rsid w:val="00B6246D"/>
    <w:rsid w:val="00B6273E"/>
    <w:rsid w:val="00B62844"/>
    <w:rsid w:val="00B628CA"/>
    <w:rsid w:val="00B63678"/>
    <w:rsid w:val="00B66DA1"/>
    <w:rsid w:val="00B670E3"/>
    <w:rsid w:val="00B70FDC"/>
    <w:rsid w:val="00B71FDB"/>
    <w:rsid w:val="00B7299A"/>
    <w:rsid w:val="00B72DE5"/>
    <w:rsid w:val="00B74526"/>
    <w:rsid w:val="00B74589"/>
    <w:rsid w:val="00B75412"/>
    <w:rsid w:val="00B75488"/>
    <w:rsid w:val="00B754CD"/>
    <w:rsid w:val="00B75C19"/>
    <w:rsid w:val="00B77494"/>
    <w:rsid w:val="00B7762E"/>
    <w:rsid w:val="00B77C75"/>
    <w:rsid w:val="00B80019"/>
    <w:rsid w:val="00B8037D"/>
    <w:rsid w:val="00B803A1"/>
    <w:rsid w:val="00B81330"/>
    <w:rsid w:val="00B814A2"/>
    <w:rsid w:val="00B814DE"/>
    <w:rsid w:val="00B81E90"/>
    <w:rsid w:val="00B83197"/>
    <w:rsid w:val="00B83348"/>
    <w:rsid w:val="00B843A4"/>
    <w:rsid w:val="00B868BB"/>
    <w:rsid w:val="00B8735A"/>
    <w:rsid w:val="00B91E7A"/>
    <w:rsid w:val="00B941A6"/>
    <w:rsid w:val="00B94568"/>
    <w:rsid w:val="00B95535"/>
    <w:rsid w:val="00B9656D"/>
    <w:rsid w:val="00B972E4"/>
    <w:rsid w:val="00B9738B"/>
    <w:rsid w:val="00BA418A"/>
    <w:rsid w:val="00BA4F03"/>
    <w:rsid w:val="00BA5D9E"/>
    <w:rsid w:val="00BA5E30"/>
    <w:rsid w:val="00BA75A0"/>
    <w:rsid w:val="00BA7DC0"/>
    <w:rsid w:val="00BB1032"/>
    <w:rsid w:val="00BB1A97"/>
    <w:rsid w:val="00BB2DBC"/>
    <w:rsid w:val="00BB47E7"/>
    <w:rsid w:val="00BB48BF"/>
    <w:rsid w:val="00BB5206"/>
    <w:rsid w:val="00BB54E2"/>
    <w:rsid w:val="00BB615B"/>
    <w:rsid w:val="00BB6397"/>
    <w:rsid w:val="00BB6747"/>
    <w:rsid w:val="00BB6C6F"/>
    <w:rsid w:val="00BB7EE5"/>
    <w:rsid w:val="00BC0ACC"/>
    <w:rsid w:val="00BC1072"/>
    <w:rsid w:val="00BC30BA"/>
    <w:rsid w:val="00BC3191"/>
    <w:rsid w:val="00BC50AA"/>
    <w:rsid w:val="00BC590D"/>
    <w:rsid w:val="00BC63B2"/>
    <w:rsid w:val="00BC7444"/>
    <w:rsid w:val="00BD00D3"/>
    <w:rsid w:val="00BD08C8"/>
    <w:rsid w:val="00BD511C"/>
    <w:rsid w:val="00BD5685"/>
    <w:rsid w:val="00BD67DD"/>
    <w:rsid w:val="00BE00F8"/>
    <w:rsid w:val="00BE0D08"/>
    <w:rsid w:val="00BE1AA4"/>
    <w:rsid w:val="00BE39F6"/>
    <w:rsid w:val="00BE3B2A"/>
    <w:rsid w:val="00BE4DB2"/>
    <w:rsid w:val="00BE5C21"/>
    <w:rsid w:val="00BE60CB"/>
    <w:rsid w:val="00BE73FF"/>
    <w:rsid w:val="00BF069C"/>
    <w:rsid w:val="00BF31BD"/>
    <w:rsid w:val="00BF3EE9"/>
    <w:rsid w:val="00BF637D"/>
    <w:rsid w:val="00BF6B3F"/>
    <w:rsid w:val="00BF6D05"/>
    <w:rsid w:val="00BF79C5"/>
    <w:rsid w:val="00BF7A34"/>
    <w:rsid w:val="00BF7BA2"/>
    <w:rsid w:val="00BF7C33"/>
    <w:rsid w:val="00BF7CEE"/>
    <w:rsid w:val="00C00CD1"/>
    <w:rsid w:val="00C01643"/>
    <w:rsid w:val="00C02972"/>
    <w:rsid w:val="00C049A0"/>
    <w:rsid w:val="00C0537D"/>
    <w:rsid w:val="00C069F6"/>
    <w:rsid w:val="00C10C7C"/>
    <w:rsid w:val="00C11CD5"/>
    <w:rsid w:val="00C11F31"/>
    <w:rsid w:val="00C13B69"/>
    <w:rsid w:val="00C17A68"/>
    <w:rsid w:val="00C20282"/>
    <w:rsid w:val="00C20471"/>
    <w:rsid w:val="00C205C9"/>
    <w:rsid w:val="00C21246"/>
    <w:rsid w:val="00C230B0"/>
    <w:rsid w:val="00C2398A"/>
    <w:rsid w:val="00C241DE"/>
    <w:rsid w:val="00C25022"/>
    <w:rsid w:val="00C25537"/>
    <w:rsid w:val="00C256DE"/>
    <w:rsid w:val="00C277AD"/>
    <w:rsid w:val="00C278EF"/>
    <w:rsid w:val="00C27B33"/>
    <w:rsid w:val="00C3100E"/>
    <w:rsid w:val="00C31401"/>
    <w:rsid w:val="00C31F3B"/>
    <w:rsid w:val="00C32CFD"/>
    <w:rsid w:val="00C32F9A"/>
    <w:rsid w:val="00C34648"/>
    <w:rsid w:val="00C34D45"/>
    <w:rsid w:val="00C36054"/>
    <w:rsid w:val="00C40014"/>
    <w:rsid w:val="00C40267"/>
    <w:rsid w:val="00C40383"/>
    <w:rsid w:val="00C40CEE"/>
    <w:rsid w:val="00C429FB"/>
    <w:rsid w:val="00C431FB"/>
    <w:rsid w:val="00C43212"/>
    <w:rsid w:val="00C434B9"/>
    <w:rsid w:val="00C4364B"/>
    <w:rsid w:val="00C436A8"/>
    <w:rsid w:val="00C43A82"/>
    <w:rsid w:val="00C44CFD"/>
    <w:rsid w:val="00C45143"/>
    <w:rsid w:val="00C46990"/>
    <w:rsid w:val="00C47B65"/>
    <w:rsid w:val="00C500D3"/>
    <w:rsid w:val="00C500E8"/>
    <w:rsid w:val="00C50399"/>
    <w:rsid w:val="00C507E7"/>
    <w:rsid w:val="00C50BE5"/>
    <w:rsid w:val="00C50EDC"/>
    <w:rsid w:val="00C51CBE"/>
    <w:rsid w:val="00C51F16"/>
    <w:rsid w:val="00C555D6"/>
    <w:rsid w:val="00C56C51"/>
    <w:rsid w:val="00C56D1E"/>
    <w:rsid w:val="00C5739A"/>
    <w:rsid w:val="00C607DE"/>
    <w:rsid w:val="00C610D7"/>
    <w:rsid w:val="00C62149"/>
    <w:rsid w:val="00C62339"/>
    <w:rsid w:val="00C62ACA"/>
    <w:rsid w:val="00C6434E"/>
    <w:rsid w:val="00C6693F"/>
    <w:rsid w:val="00C66D02"/>
    <w:rsid w:val="00C67664"/>
    <w:rsid w:val="00C67F44"/>
    <w:rsid w:val="00C70BA6"/>
    <w:rsid w:val="00C70BE0"/>
    <w:rsid w:val="00C70CAD"/>
    <w:rsid w:val="00C71C2C"/>
    <w:rsid w:val="00C7306B"/>
    <w:rsid w:val="00C73D88"/>
    <w:rsid w:val="00C76369"/>
    <w:rsid w:val="00C76CDA"/>
    <w:rsid w:val="00C77840"/>
    <w:rsid w:val="00C77B17"/>
    <w:rsid w:val="00C80E42"/>
    <w:rsid w:val="00C81D65"/>
    <w:rsid w:val="00C85E41"/>
    <w:rsid w:val="00C87156"/>
    <w:rsid w:val="00C901C4"/>
    <w:rsid w:val="00C901D8"/>
    <w:rsid w:val="00C90CD7"/>
    <w:rsid w:val="00C91198"/>
    <w:rsid w:val="00C91430"/>
    <w:rsid w:val="00C923CD"/>
    <w:rsid w:val="00C93503"/>
    <w:rsid w:val="00C93805"/>
    <w:rsid w:val="00C94FB7"/>
    <w:rsid w:val="00C952FB"/>
    <w:rsid w:val="00C95B9E"/>
    <w:rsid w:val="00C95F48"/>
    <w:rsid w:val="00C96764"/>
    <w:rsid w:val="00C96CA1"/>
    <w:rsid w:val="00C972A0"/>
    <w:rsid w:val="00C9771B"/>
    <w:rsid w:val="00C97D46"/>
    <w:rsid w:val="00C97F1D"/>
    <w:rsid w:val="00CA0341"/>
    <w:rsid w:val="00CA1920"/>
    <w:rsid w:val="00CA1EFC"/>
    <w:rsid w:val="00CA49CE"/>
    <w:rsid w:val="00CA52FA"/>
    <w:rsid w:val="00CA5812"/>
    <w:rsid w:val="00CA767F"/>
    <w:rsid w:val="00CA7B94"/>
    <w:rsid w:val="00CB106B"/>
    <w:rsid w:val="00CB21B7"/>
    <w:rsid w:val="00CB2E56"/>
    <w:rsid w:val="00CB2E66"/>
    <w:rsid w:val="00CB3A56"/>
    <w:rsid w:val="00CB4CC6"/>
    <w:rsid w:val="00CC1C57"/>
    <w:rsid w:val="00CC297A"/>
    <w:rsid w:val="00CC2D4E"/>
    <w:rsid w:val="00CC3541"/>
    <w:rsid w:val="00CD01E3"/>
    <w:rsid w:val="00CD0E51"/>
    <w:rsid w:val="00CD0EC8"/>
    <w:rsid w:val="00CD1F12"/>
    <w:rsid w:val="00CD34C2"/>
    <w:rsid w:val="00CD3AE3"/>
    <w:rsid w:val="00CD45E4"/>
    <w:rsid w:val="00CD5783"/>
    <w:rsid w:val="00CD58DF"/>
    <w:rsid w:val="00CE0054"/>
    <w:rsid w:val="00CE4BB9"/>
    <w:rsid w:val="00CE4C51"/>
    <w:rsid w:val="00CE5298"/>
    <w:rsid w:val="00CE5B45"/>
    <w:rsid w:val="00CE5D42"/>
    <w:rsid w:val="00CE6031"/>
    <w:rsid w:val="00CE66D5"/>
    <w:rsid w:val="00CE68AD"/>
    <w:rsid w:val="00CE6CD2"/>
    <w:rsid w:val="00CE769F"/>
    <w:rsid w:val="00CF1380"/>
    <w:rsid w:val="00CF199A"/>
    <w:rsid w:val="00CF21E5"/>
    <w:rsid w:val="00CF2589"/>
    <w:rsid w:val="00CF2C9B"/>
    <w:rsid w:val="00CF316F"/>
    <w:rsid w:val="00CF35CE"/>
    <w:rsid w:val="00CF5014"/>
    <w:rsid w:val="00CF5A26"/>
    <w:rsid w:val="00CF5CEC"/>
    <w:rsid w:val="00CF5F59"/>
    <w:rsid w:val="00CF690E"/>
    <w:rsid w:val="00CF6AB6"/>
    <w:rsid w:val="00CF75FF"/>
    <w:rsid w:val="00CF7E83"/>
    <w:rsid w:val="00D00C7D"/>
    <w:rsid w:val="00D00D44"/>
    <w:rsid w:val="00D00E64"/>
    <w:rsid w:val="00D01E9B"/>
    <w:rsid w:val="00D02663"/>
    <w:rsid w:val="00D0299D"/>
    <w:rsid w:val="00D073A3"/>
    <w:rsid w:val="00D102A8"/>
    <w:rsid w:val="00D10950"/>
    <w:rsid w:val="00D10A21"/>
    <w:rsid w:val="00D1126C"/>
    <w:rsid w:val="00D11FC7"/>
    <w:rsid w:val="00D12E50"/>
    <w:rsid w:val="00D13808"/>
    <w:rsid w:val="00D15238"/>
    <w:rsid w:val="00D167F0"/>
    <w:rsid w:val="00D174AA"/>
    <w:rsid w:val="00D17B20"/>
    <w:rsid w:val="00D201A8"/>
    <w:rsid w:val="00D215FE"/>
    <w:rsid w:val="00D218C2"/>
    <w:rsid w:val="00D226C9"/>
    <w:rsid w:val="00D237A4"/>
    <w:rsid w:val="00D24562"/>
    <w:rsid w:val="00D24778"/>
    <w:rsid w:val="00D24A99"/>
    <w:rsid w:val="00D24B67"/>
    <w:rsid w:val="00D269EA"/>
    <w:rsid w:val="00D26FE9"/>
    <w:rsid w:val="00D278DD"/>
    <w:rsid w:val="00D31E87"/>
    <w:rsid w:val="00D33B83"/>
    <w:rsid w:val="00D355DA"/>
    <w:rsid w:val="00D37484"/>
    <w:rsid w:val="00D40AFA"/>
    <w:rsid w:val="00D43B42"/>
    <w:rsid w:val="00D44012"/>
    <w:rsid w:val="00D44501"/>
    <w:rsid w:val="00D46345"/>
    <w:rsid w:val="00D46825"/>
    <w:rsid w:val="00D4771B"/>
    <w:rsid w:val="00D52232"/>
    <w:rsid w:val="00D53649"/>
    <w:rsid w:val="00D54876"/>
    <w:rsid w:val="00D55135"/>
    <w:rsid w:val="00D55A65"/>
    <w:rsid w:val="00D567C8"/>
    <w:rsid w:val="00D571E8"/>
    <w:rsid w:val="00D57ECE"/>
    <w:rsid w:val="00D57F94"/>
    <w:rsid w:val="00D61160"/>
    <w:rsid w:val="00D61777"/>
    <w:rsid w:val="00D623F8"/>
    <w:rsid w:val="00D64E76"/>
    <w:rsid w:val="00D64FCC"/>
    <w:rsid w:val="00D651A2"/>
    <w:rsid w:val="00D70566"/>
    <w:rsid w:val="00D7096D"/>
    <w:rsid w:val="00D713EB"/>
    <w:rsid w:val="00D72822"/>
    <w:rsid w:val="00D73F15"/>
    <w:rsid w:val="00D747FF"/>
    <w:rsid w:val="00D76098"/>
    <w:rsid w:val="00D7629F"/>
    <w:rsid w:val="00D76816"/>
    <w:rsid w:val="00D805CF"/>
    <w:rsid w:val="00D80871"/>
    <w:rsid w:val="00D8157A"/>
    <w:rsid w:val="00D83550"/>
    <w:rsid w:val="00D83767"/>
    <w:rsid w:val="00D83808"/>
    <w:rsid w:val="00D83EA2"/>
    <w:rsid w:val="00D84129"/>
    <w:rsid w:val="00D845F6"/>
    <w:rsid w:val="00D86C64"/>
    <w:rsid w:val="00D90AEB"/>
    <w:rsid w:val="00D92194"/>
    <w:rsid w:val="00D925AA"/>
    <w:rsid w:val="00D92AD0"/>
    <w:rsid w:val="00D9324E"/>
    <w:rsid w:val="00D94C23"/>
    <w:rsid w:val="00D95B97"/>
    <w:rsid w:val="00D97365"/>
    <w:rsid w:val="00D977AE"/>
    <w:rsid w:val="00DA1FBF"/>
    <w:rsid w:val="00DA288D"/>
    <w:rsid w:val="00DA2EA4"/>
    <w:rsid w:val="00DA390A"/>
    <w:rsid w:val="00DA3BA9"/>
    <w:rsid w:val="00DA40BC"/>
    <w:rsid w:val="00DA4102"/>
    <w:rsid w:val="00DA4E94"/>
    <w:rsid w:val="00DA5C14"/>
    <w:rsid w:val="00DB0459"/>
    <w:rsid w:val="00DB0597"/>
    <w:rsid w:val="00DB169D"/>
    <w:rsid w:val="00DB3951"/>
    <w:rsid w:val="00DB69E7"/>
    <w:rsid w:val="00DB759F"/>
    <w:rsid w:val="00DB77B8"/>
    <w:rsid w:val="00DB7A85"/>
    <w:rsid w:val="00DC05CC"/>
    <w:rsid w:val="00DC1084"/>
    <w:rsid w:val="00DC171B"/>
    <w:rsid w:val="00DC2C5F"/>
    <w:rsid w:val="00DC2D36"/>
    <w:rsid w:val="00DC4919"/>
    <w:rsid w:val="00DC5518"/>
    <w:rsid w:val="00DC6827"/>
    <w:rsid w:val="00DC74E2"/>
    <w:rsid w:val="00DD2CC4"/>
    <w:rsid w:val="00DD4739"/>
    <w:rsid w:val="00DD5F81"/>
    <w:rsid w:val="00DD61F1"/>
    <w:rsid w:val="00DD733E"/>
    <w:rsid w:val="00DE3EF8"/>
    <w:rsid w:val="00DE4306"/>
    <w:rsid w:val="00DE4E52"/>
    <w:rsid w:val="00DE5945"/>
    <w:rsid w:val="00DE6B03"/>
    <w:rsid w:val="00DE6B25"/>
    <w:rsid w:val="00DE7916"/>
    <w:rsid w:val="00DE7FBD"/>
    <w:rsid w:val="00DF0C8E"/>
    <w:rsid w:val="00DF1248"/>
    <w:rsid w:val="00DF17E1"/>
    <w:rsid w:val="00DF2FEC"/>
    <w:rsid w:val="00DF324A"/>
    <w:rsid w:val="00DF3F5B"/>
    <w:rsid w:val="00DF5515"/>
    <w:rsid w:val="00DF647E"/>
    <w:rsid w:val="00DF74ED"/>
    <w:rsid w:val="00DF7ED9"/>
    <w:rsid w:val="00DF7EED"/>
    <w:rsid w:val="00E0063A"/>
    <w:rsid w:val="00E039A8"/>
    <w:rsid w:val="00E059E5"/>
    <w:rsid w:val="00E05C61"/>
    <w:rsid w:val="00E05E7C"/>
    <w:rsid w:val="00E06734"/>
    <w:rsid w:val="00E07704"/>
    <w:rsid w:val="00E07C63"/>
    <w:rsid w:val="00E111E0"/>
    <w:rsid w:val="00E1247D"/>
    <w:rsid w:val="00E12956"/>
    <w:rsid w:val="00E13976"/>
    <w:rsid w:val="00E13CF6"/>
    <w:rsid w:val="00E150CC"/>
    <w:rsid w:val="00E1594A"/>
    <w:rsid w:val="00E15FD1"/>
    <w:rsid w:val="00E17152"/>
    <w:rsid w:val="00E20215"/>
    <w:rsid w:val="00E20FB9"/>
    <w:rsid w:val="00E22265"/>
    <w:rsid w:val="00E22A89"/>
    <w:rsid w:val="00E235D5"/>
    <w:rsid w:val="00E240A1"/>
    <w:rsid w:val="00E24C79"/>
    <w:rsid w:val="00E24D0A"/>
    <w:rsid w:val="00E250A6"/>
    <w:rsid w:val="00E26471"/>
    <w:rsid w:val="00E26899"/>
    <w:rsid w:val="00E26AB7"/>
    <w:rsid w:val="00E3087D"/>
    <w:rsid w:val="00E30B48"/>
    <w:rsid w:val="00E30C5F"/>
    <w:rsid w:val="00E317BB"/>
    <w:rsid w:val="00E33D95"/>
    <w:rsid w:val="00E34EC9"/>
    <w:rsid w:val="00E364F6"/>
    <w:rsid w:val="00E3659C"/>
    <w:rsid w:val="00E36D08"/>
    <w:rsid w:val="00E3760B"/>
    <w:rsid w:val="00E411EF"/>
    <w:rsid w:val="00E4158E"/>
    <w:rsid w:val="00E41A7F"/>
    <w:rsid w:val="00E4290A"/>
    <w:rsid w:val="00E433D4"/>
    <w:rsid w:val="00E43BE2"/>
    <w:rsid w:val="00E458EC"/>
    <w:rsid w:val="00E47DEE"/>
    <w:rsid w:val="00E5163F"/>
    <w:rsid w:val="00E52944"/>
    <w:rsid w:val="00E565C1"/>
    <w:rsid w:val="00E57C9D"/>
    <w:rsid w:val="00E60047"/>
    <w:rsid w:val="00E60211"/>
    <w:rsid w:val="00E60E9D"/>
    <w:rsid w:val="00E61760"/>
    <w:rsid w:val="00E63087"/>
    <w:rsid w:val="00E63665"/>
    <w:rsid w:val="00E64146"/>
    <w:rsid w:val="00E64D6F"/>
    <w:rsid w:val="00E6675C"/>
    <w:rsid w:val="00E67958"/>
    <w:rsid w:val="00E67B6D"/>
    <w:rsid w:val="00E700CB"/>
    <w:rsid w:val="00E70846"/>
    <w:rsid w:val="00E71203"/>
    <w:rsid w:val="00E72897"/>
    <w:rsid w:val="00E7397F"/>
    <w:rsid w:val="00E73F4B"/>
    <w:rsid w:val="00E743CB"/>
    <w:rsid w:val="00E748EC"/>
    <w:rsid w:val="00E768E0"/>
    <w:rsid w:val="00E76E3F"/>
    <w:rsid w:val="00E8251D"/>
    <w:rsid w:val="00E84E3D"/>
    <w:rsid w:val="00E857CB"/>
    <w:rsid w:val="00E866E1"/>
    <w:rsid w:val="00E900AF"/>
    <w:rsid w:val="00E91089"/>
    <w:rsid w:val="00E91A03"/>
    <w:rsid w:val="00E92911"/>
    <w:rsid w:val="00E93FBE"/>
    <w:rsid w:val="00E94CE3"/>
    <w:rsid w:val="00E965EF"/>
    <w:rsid w:val="00E96682"/>
    <w:rsid w:val="00E96EDE"/>
    <w:rsid w:val="00EA2D6F"/>
    <w:rsid w:val="00EA3AAA"/>
    <w:rsid w:val="00EA4229"/>
    <w:rsid w:val="00EA4740"/>
    <w:rsid w:val="00EA533D"/>
    <w:rsid w:val="00EA54FA"/>
    <w:rsid w:val="00EA6DCB"/>
    <w:rsid w:val="00EB03F6"/>
    <w:rsid w:val="00EB08EE"/>
    <w:rsid w:val="00EB0F86"/>
    <w:rsid w:val="00EB10D0"/>
    <w:rsid w:val="00EB14DE"/>
    <w:rsid w:val="00EB19C4"/>
    <w:rsid w:val="00EB21CE"/>
    <w:rsid w:val="00EB2D80"/>
    <w:rsid w:val="00EB4EE9"/>
    <w:rsid w:val="00EB5A4B"/>
    <w:rsid w:val="00EB6BE4"/>
    <w:rsid w:val="00EC053A"/>
    <w:rsid w:val="00EC055D"/>
    <w:rsid w:val="00EC086B"/>
    <w:rsid w:val="00EC156E"/>
    <w:rsid w:val="00EC15A5"/>
    <w:rsid w:val="00EC1E31"/>
    <w:rsid w:val="00EC4069"/>
    <w:rsid w:val="00EC60E4"/>
    <w:rsid w:val="00EC623A"/>
    <w:rsid w:val="00EC6B16"/>
    <w:rsid w:val="00EC7C41"/>
    <w:rsid w:val="00ED3218"/>
    <w:rsid w:val="00ED333D"/>
    <w:rsid w:val="00ED54E4"/>
    <w:rsid w:val="00ED5962"/>
    <w:rsid w:val="00ED73C4"/>
    <w:rsid w:val="00EE1633"/>
    <w:rsid w:val="00EE1FB2"/>
    <w:rsid w:val="00EE21F4"/>
    <w:rsid w:val="00EE392C"/>
    <w:rsid w:val="00EE3E7E"/>
    <w:rsid w:val="00EE5B36"/>
    <w:rsid w:val="00EE6240"/>
    <w:rsid w:val="00EE6A8D"/>
    <w:rsid w:val="00EE6E3F"/>
    <w:rsid w:val="00EE6E6E"/>
    <w:rsid w:val="00EF0944"/>
    <w:rsid w:val="00EF52E8"/>
    <w:rsid w:val="00EF5527"/>
    <w:rsid w:val="00EF7044"/>
    <w:rsid w:val="00EF7577"/>
    <w:rsid w:val="00F00414"/>
    <w:rsid w:val="00F0151B"/>
    <w:rsid w:val="00F030BD"/>
    <w:rsid w:val="00F034A2"/>
    <w:rsid w:val="00F03CB4"/>
    <w:rsid w:val="00F060CF"/>
    <w:rsid w:val="00F072AD"/>
    <w:rsid w:val="00F11AF3"/>
    <w:rsid w:val="00F1319C"/>
    <w:rsid w:val="00F146E6"/>
    <w:rsid w:val="00F154B6"/>
    <w:rsid w:val="00F16D4D"/>
    <w:rsid w:val="00F175F2"/>
    <w:rsid w:val="00F21115"/>
    <w:rsid w:val="00F2204A"/>
    <w:rsid w:val="00F225A1"/>
    <w:rsid w:val="00F243AC"/>
    <w:rsid w:val="00F249A9"/>
    <w:rsid w:val="00F25871"/>
    <w:rsid w:val="00F25F38"/>
    <w:rsid w:val="00F2677F"/>
    <w:rsid w:val="00F26914"/>
    <w:rsid w:val="00F303DE"/>
    <w:rsid w:val="00F31C85"/>
    <w:rsid w:val="00F3301B"/>
    <w:rsid w:val="00F34E04"/>
    <w:rsid w:val="00F35D82"/>
    <w:rsid w:val="00F362FE"/>
    <w:rsid w:val="00F375BF"/>
    <w:rsid w:val="00F40AA2"/>
    <w:rsid w:val="00F40C1B"/>
    <w:rsid w:val="00F41920"/>
    <w:rsid w:val="00F41C1D"/>
    <w:rsid w:val="00F45079"/>
    <w:rsid w:val="00F464E1"/>
    <w:rsid w:val="00F468C2"/>
    <w:rsid w:val="00F4777B"/>
    <w:rsid w:val="00F5178C"/>
    <w:rsid w:val="00F56D0C"/>
    <w:rsid w:val="00F60B8B"/>
    <w:rsid w:val="00F60EFE"/>
    <w:rsid w:val="00F614CC"/>
    <w:rsid w:val="00F654FC"/>
    <w:rsid w:val="00F655A7"/>
    <w:rsid w:val="00F65769"/>
    <w:rsid w:val="00F6679B"/>
    <w:rsid w:val="00F70175"/>
    <w:rsid w:val="00F70958"/>
    <w:rsid w:val="00F70D4E"/>
    <w:rsid w:val="00F73092"/>
    <w:rsid w:val="00F75DAD"/>
    <w:rsid w:val="00F76292"/>
    <w:rsid w:val="00F77FBB"/>
    <w:rsid w:val="00F8035A"/>
    <w:rsid w:val="00F82875"/>
    <w:rsid w:val="00F86B57"/>
    <w:rsid w:val="00F86DBE"/>
    <w:rsid w:val="00F86E44"/>
    <w:rsid w:val="00F90803"/>
    <w:rsid w:val="00F90B73"/>
    <w:rsid w:val="00F90E23"/>
    <w:rsid w:val="00F91558"/>
    <w:rsid w:val="00F916FF"/>
    <w:rsid w:val="00F938B5"/>
    <w:rsid w:val="00F945F3"/>
    <w:rsid w:val="00F94B0F"/>
    <w:rsid w:val="00F95575"/>
    <w:rsid w:val="00F96D62"/>
    <w:rsid w:val="00FA006B"/>
    <w:rsid w:val="00FA153B"/>
    <w:rsid w:val="00FA220A"/>
    <w:rsid w:val="00FA340B"/>
    <w:rsid w:val="00FA5001"/>
    <w:rsid w:val="00FA608F"/>
    <w:rsid w:val="00FB3722"/>
    <w:rsid w:val="00FB433D"/>
    <w:rsid w:val="00FB4C6A"/>
    <w:rsid w:val="00FB6B0C"/>
    <w:rsid w:val="00FB6E31"/>
    <w:rsid w:val="00FB73F2"/>
    <w:rsid w:val="00FC0708"/>
    <w:rsid w:val="00FC0EE0"/>
    <w:rsid w:val="00FC12D4"/>
    <w:rsid w:val="00FC1E6A"/>
    <w:rsid w:val="00FC1F4E"/>
    <w:rsid w:val="00FC5166"/>
    <w:rsid w:val="00FC71DC"/>
    <w:rsid w:val="00FC79D5"/>
    <w:rsid w:val="00FD0A26"/>
    <w:rsid w:val="00FD17F6"/>
    <w:rsid w:val="00FD1F35"/>
    <w:rsid w:val="00FD289F"/>
    <w:rsid w:val="00FD3809"/>
    <w:rsid w:val="00FD469C"/>
    <w:rsid w:val="00FD49B5"/>
    <w:rsid w:val="00FD4B66"/>
    <w:rsid w:val="00FD69C1"/>
    <w:rsid w:val="00FE0729"/>
    <w:rsid w:val="00FE084B"/>
    <w:rsid w:val="00FE0E7D"/>
    <w:rsid w:val="00FE1A7B"/>
    <w:rsid w:val="00FE2559"/>
    <w:rsid w:val="00FE3C94"/>
    <w:rsid w:val="00FE4EC1"/>
    <w:rsid w:val="00FE6304"/>
    <w:rsid w:val="00FE737A"/>
    <w:rsid w:val="00FE75E6"/>
    <w:rsid w:val="00FF0849"/>
    <w:rsid w:val="00FF0AB5"/>
    <w:rsid w:val="00FF1747"/>
    <w:rsid w:val="00FF179C"/>
    <w:rsid w:val="00FF32B2"/>
    <w:rsid w:val="00FF4466"/>
    <w:rsid w:val="00FF60CF"/>
    <w:rsid w:val="00FF670F"/>
    <w:rsid w:val="00FF6DE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DC2F6"/>
  <w15:docId w15:val="{D051FCAE-D695-48BB-A7E8-5B4C93D63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097C5E"/>
    <w:rPr>
      <w:rFonts w:ascii="Arial" w:hAnsi="Arial" w:cs="Arial"/>
      <w:sz w:val="24"/>
      <w:szCs w:val="24"/>
    </w:rPr>
  </w:style>
  <w:style w:type="paragraph" w:styleId="Nadpis1">
    <w:name w:val="heading 1"/>
    <w:basedOn w:val="Normln"/>
    <w:next w:val="Normln"/>
    <w:qFormat/>
    <w:pPr>
      <w:keepNext/>
      <w:jc w:val="center"/>
      <w:outlineLvl w:val="0"/>
    </w:pPr>
    <w:rPr>
      <w:b/>
      <w:bCs/>
    </w:rPr>
  </w:style>
  <w:style w:type="paragraph" w:styleId="Nadpis2">
    <w:name w:val="heading 2"/>
    <w:basedOn w:val="Normln"/>
    <w:next w:val="Normln"/>
    <w:qFormat/>
    <w:pPr>
      <w:keepNext/>
      <w:outlineLvl w:val="1"/>
    </w:pPr>
    <w:rPr>
      <w:b/>
      <w:bCs/>
      <w:caps/>
    </w:rPr>
  </w:style>
  <w:style w:type="paragraph" w:styleId="Nadpis3">
    <w:name w:val="heading 3"/>
    <w:basedOn w:val="Normln"/>
    <w:next w:val="Normln"/>
    <w:link w:val="Nadpis3Char"/>
    <w:unhideWhenUsed/>
    <w:qFormat/>
    <w:rsid w:val="00B25CCE"/>
    <w:pPr>
      <w:keepNext/>
      <w:keepLines/>
      <w:spacing w:before="40"/>
      <w:outlineLvl w:val="2"/>
    </w:pPr>
    <w:rPr>
      <w:rFonts w:asciiTheme="majorHAnsi" w:eastAsiaTheme="majorEastAsia" w:hAnsiTheme="majorHAnsi" w:cstheme="majorBidi"/>
      <w:color w:val="243F60" w:themeColor="accent1" w:themeShade="7F"/>
    </w:rPr>
  </w:style>
  <w:style w:type="paragraph" w:styleId="Nadpis4">
    <w:name w:val="heading 4"/>
    <w:basedOn w:val="Normln"/>
    <w:next w:val="Normln"/>
    <w:link w:val="Nadpis4Char"/>
    <w:semiHidden/>
    <w:unhideWhenUsed/>
    <w:qFormat/>
    <w:rsid w:val="00B25CCE"/>
    <w:pPr>
      <w:keepNext/>
      <w:keepLines/>
      <w:spacing w:before="40"/>
      <w:outlineLvl w:val="3"/>
    </w:pPr>
    <w:rPr>
      <w:rFonts w:asciiTheme="majorHAnsi" w:eastAsiaTheme="majorEastAsia" w:hAnsiTheme="majorHAnsi" w:cstheme="majorBidi"/>
      <w:i/>
      <w:iCs/>
      <w:color w:val="365F91" w:themeColor="accent1" w:themeShade="BF"/>
    </w:rPr>
  </w:style>
  <w:style w:type="paragraph" w:styleId="Nadpis5">
    <w:name w:val="heading 5"/>
    <w:basedOn w:val="Normln"/>
    <w:next w:val="Normln"/>
    <w:link w:val="Nadpis5Char"/>
    <w:unhideWhenUsed/>
    <w:qFormat/>
    <w:rsid w:val="00905688"/>
    <w:pPr>
      <w:keepNext/>
      <w:keepLines/>
      <w:spacing w:before="40"/>
      <w:outlineLvl w:val="4"/>
    </w:pPr>
    <w:rPr>
      <w:rFonts w:asciiTheme="majorHAnsi" w:eastAsiaTheme="majorEastAsia" w:hAnsiTheme="majorHAnsi" w:cstheme="majorBidi"/>
      <w:color w:val="365F91" w:themeColor="accent1" w:themeShade="BF"/>
    </w:rPr>
  </w:style>
  <w:style w:type="paragraph" w:styleId="Nadpis7">
    <w:name w:val="heading 7"/>
    <w:basedOn w:val="Normln"/>
    <w:next w:val="Normln"/>
    <w:link w:val="Nadpis7Char"/>
    <w:uiPriority w:val="9"/>
    <w:unhideWhenUsed/>
    <w:qFormat/>
    <w:rsid w:val="007A088C"/>
    <w:pPr>
      <w:keepNext/>
      <w:keepLines/>
      <w:spacing w:before="40"/>
      <w:jc w:val="both"/>
      <w:outlineLvl w:val="6"/>
    </w:pPr>
    <w:rPr>
      <w:rFonts w:ascii="Cambria" w:hAnsi="Cambria" w:cs="Times New Roman"/>
      <w:i/>
      <w:iCs/>
      <w:color w:val="243F60"/>
      <w:szCs w:val="20"/>
    </w:rPr>
  </w:style>
  <w:style w:type="paragraph" w:styleId="Nadpis8">
    <w:name w:val="heading 8"/>
    <w:basedOn w:val="Normln"/>
    <w:next w:val="Normln"/>
    <w:link w:val="Nadpis8Char"/>
    <w:uiPriority w:val="9"/>
    <w:unhideWhenUsed/>
    <w:qFormat/>
    <w:rsid w:val="007A088C"/>
    <w:pPr>
      <w:keepNext/>
      <w:keepLines/>
      <w:spacing w:before="40"/>
      <w:jc w:val="both"/>
      <w:outlineLvl w:val="7"/>
    </w:pPr>
    <w:rPr>
      <w:rFonts w:ascii="Cambria" w:hAnsi="Cambria" w:cs="Times New Roman"/>
      <w:color w:val="272727"/>
      <w:sz w:val="21"/>
      <w:szCs w:val="21"/>
    </w:rPr>
  </w:style>
  <w:style w:type="paragraph" w:styleId="Nadpis9">
    <w:name w:val="heading 9"/>
    <w:basedOn w:val="Normln"/>
    <w:next w:val="Normln"/>
    <w:link w:val="Nadpis9Char"/>
    <w:uiPriority w:val="9"/>
    <w:unhideWhenUsed/>
    <w:qFormat/>
    <w:rsid w:val="007A088C"/>
    <w:pPr>
      <w:keepNext/>
      <w:keepLines/>
      <w:spacing w:before="40"/>
      <w:jc w:val="both"/>
      <w:outlineLvl w:val="8"/>
    </w:pPr>
    <w:rPr>
      <w:rFonts w:ascii="Cambria" w:hAnsi="Cambria" w:cs="Times New Roman"/>
      <w:i/>
      <w:iCs/>
      <w:color w:val="272727"/>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pPr>
      <w:jc w:val="both"/>
    </w:pPr>
  </w:style>
  <w:style w:type="character" w:styleId="Hypertextovodkaz">
    <w:name w:val="Hyperlink"/>
    <w:rPr>
      <w:color w:val="0000FF"/>
      <w:u w:val="single"/>
    </w:rPr>
  </w:style>
  <w:style w:type="paragraph" w:styleId="Rozloendokumentu">
    <w:name w:val="Document Map"/>
    <w:basedOn w:val="Normln"/>
    <w:semiHidden/>
    <w:rsid w:val="00E235D5"/>
    <w:pPr>
      <w:shd w:val="clear" w:color="auto" w:fill="000080"/>
    </w:pPr>
    <w:rPr>
      <w:rFonts w:ascii="Tahoma" w:hAnsi="Tahoma" w:cs="Tahoma"/>
      <w:sz w:val="16"/>
      <w:szCs w:val="20"/>
    </w:rPr>
  </w:style>
  <w:style w:type="paragraph" w:styleId="Textbubliny">
    <w:name w:val="Balloon Text"/>
    <w:basedOn w:val="Normln"/>
    <w:semiHidden/>
    <w:rsid w:val="00E235D5"/>
    <w:rPr>
      <w:rFonts w:ascii="Tahoma" w:hAnsi="Tahoma" w:cs="Tahoma"/>
      <w:sz w:val="16"/>
      <w:szCs w:val="16"/>
    </w:rPr>
  </w:style>
  <w:style w:type="character" w:styleId="Odkaznakoment">
    <w:name w:val="annotation reference"/>
    <w:semiHidden/>
    <w:rsid w:val="00B028CF"/>
    <w:rPr>
      <w:sz w:val="16"/>
      <w:szCs w:val="16"/>
    </w:rPr>
  </w:style>
  <w:style w:type="paragraph" w:styleId="Textkomente">
    <w:name w:val="annotation text"/>
    <w:basedOn w:val="Normln"/>
    <w:link w:val="TextkomenteChar"/>
    <w:uiPriority w:val="99"/>
    <w:rsid w:val="00B028CF"/>
    <w:rPr>
      <w:sz w:val="20"/>
      <w:szCs w:val="20"/>
    </w:rPr>
  </w:style>
  <w:style w:type="paragraph" w:styleId="Pedmtkomente">
    <w:name w:val="annotation subject"/>
    <w:basedOn w:val="Textkomente"/>
    <w:next w:val="Textkomente"/>
    <w:semiHidden/>
    <w:rsid w:val="00B028CF"/>
    <w:rPr>
      <w:b/>
      <w:bCs/>
    </w:rPr>
  </w:style>
  <w:style w:type="table" w:styleId="Mkatabulky">
    <w:name w:val="Table Grid"/>
    <w:basedOn w:val="Normlntabulka"/>
    <w:uiPriority w:val="39"/>
    <w:rsid w:val="005F77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pat">
    <w:name w:val="footer"/>
    <w:basedOn w:val="Normln"/>
    <w:link w:val="ZpatChar"/>
    <w:uiPriority w:val="99"/>
    <w:rsid w:val="00942FA3"/>
    <w:pPr>
      <w:tabs>
        <w:tab w:val="center" w:pos="4536"/>
        <w:tab w:val="right" w:pos="9072"/>
      </w:tabs>
    </w:pPr>
  </w:style>
  <w:style w:type="character" w:styleId="slostrnky">
    <w:name w:val="page number"/>
    <w:basedOn w:val="Standardnpsmoodstavce"/>
    <w:rsid w:val="00942FA3"/>
  </w:style>
  <w:style w:type="paragraph" w:styleId="Zhlav">
    <w:name w:val="header"/>
    <w:basedOn w:val="Normln"/>
    <w:rsid w:val="00942FA3"/>
    <w:pPr>
      <w:tabs>
        <w:tab w:val="center" w:pos="4536"/>
        <w:tab w:val="right" w:pos="9072"/>
      </w:tabs>
    </w:pPr>
  </w:style>
  <w:style w:type="paragraph" w:customStyle="1" w:styleId="slovn">
    <w:name w:val="číslování"/>
    <w:basedOn w:val="Normln"/>
    <w:rsid w:val="00515BB6"/>
    <w:pPr>
      <w:numPr>
        <w:numId w:val="1"/>
      </w:numPr>
      <w:jc w:val="both"/>
    </w:pPr>
    <w:rPr>
      <w:rFonts w:ascii="Times New Roman" w:hAnsi="Times New Roman" w:cs="Times New Roman"/>
    </w:rPr>
  </w:style>
  <w:style w:type="paragraph" w:styleId="Nzev">
    <w:name w:val="Title"/>
    <w:basedOn w:val="Normln"/>
    <w:link w:val="NzevChar"/>
    <w:uiPriority w:val="10"/>
    <w:qFormat/>
    <w:rsid w:val="000B606C"/>
    <w:pPr>
      <w:pBdr>
        <w:bottom w:val="single" w:sz="12" w:space="1" w:color="auto"/>
      </w:pBdr>
      <w:jc w:val="center"/>
    </w:pPr>
    <w:rPr>
      <w:rFonts w:ascii="Times New Roman" w:hAnsi="Times New Roman" w:cs="Times New Roman"/>
      <w:b/>
      <w:i/>
      <w:sz w:val="28"/>
      <w:szCs w:val="20"/>
    </w:rPr>
  </w:style>
  <w:style w:type="character" w:customStyle="1" w:styleId="NzevChar">
    <w:name w:val="Název Char"/>
    <w:link w:val="Nzev"/>
    <w:uiPriority w:val="10"/>
    <w:rsid w:val="000B606C"/>
    <w:rPr>
      <w:b/>
      <w:i/>
      <w:sz w:val="28"/>
    </w:rPr>
  </w:style>
  <w:style w:type="paragraph" w:customStyle="1" w:styleId="Textodstavce">
    <w:name w:val="Text odstavce"/>
    <w:basedOn w:val="Normln"/>
    <w:link w:val="TextodstavceChar"/>
    <w:autoRedefine/>
    <w:qFormat/>
    <w:rsid w:val="00774DC1"/>
    <w:pPr>
      <w:tabs>
        <w:tab w:val="left" w:pos="851"/>
      </w:tabs>
      <w:spacing w:after="120"/>
      <w:jc w:val="both"/>
      <w:outlineLvl w:val="6"/>
    </w:pPr>
    <w:rPr>
      <w:rFonts w:ascii="Times New Roman" w:eastAsia="MS Mincho" w:hAnsi="Times New Roman" w:cs="Times New Roman"/>
      <w:bCs/>
      <w:iCs/>
      <w:sz w:val="20"/>
      <w:szCs w:val="20"/>
    </w:rPr>
  </w:style>
  <w:style w:type="character" w:customStyle="1" w:styleId="TextodstavceChar">
    <w:name w:val="Text odstavce Char"/>
    <w:link w:val="Textodstavce"/>
    <w:locked/>
    <w:rsid w:val="00774DC1"/>
    <w:rPr>
      <w:rFonts w:eastAsia="MS Mincho"/>
      <w:bCs/>
      <w:iCs/>
    </w:rPr>
  </w:style>
  <w:style w:type="paragraph" w:customStyle="1" w:styleId="Nadpisparagrafu">
    <w:name w:val="Nadpis paragrafu"/>
    <w:basedOn w:val="Normln"/>
    <w:link w:val="NadpisparagrafuChar2"/>
    <w:qFormat/>
    <w:rsid w:val="005E40D9"/>
    <w:pPr>
      <w:keepNext/>
      <w:spacing w:before="240"/>
      <w:jc w:val="center"/>
    </w:pPr>
    <w:rPr>
      <w:rFonts w:ascii="Times New Roman" w:eastAsia="Calibri" w:hAnsi="Times New Roman" w:cs="Times New Roman"/>
      <w:b/>
      <w:bCs/>
    </w:rPr>
  </w:style>
  <w:style w:type="character" w:customStyle="1" w:styleId="NovelizanbodChar">
    <w:name w:val="Novelizačníbod Char"/>
    <w:link w:val="Novelizanbod"/>
    <w:locked/>
    <w:rsid w:val="005E40D9"/>
  </w:style>
  <w:style w:type="paragraph" w:customStyle="1" w:styleId="Novelizanbod">
    <w:name w:val="Novelizačníbod"/>
    <w:basedOn w:val="Normln"/>
    <w:link w:val="NovelizanbodChar"/>
    <w:rsid w:val="005E40D9"/>
    <w:pPr>
      <w:keepNext/>
      <w:spacing w:before="480" w:after="120"/>
      <w:ind w:left="567" w:hanging="567"/>
      <w:jc w:val="both"/>
    </w:pPr>
    <w:rPr>
      <w:rFonts w:ascii="Times New Roman" w:hAnsi="Times New Roman" w:cs="Times New Roman"/>
      <w:sz w:val="20"/>
      <w:szCs w:val="20"/>
    </w:rPr>
  </w:style>
  <w:style w:type="character" w:styleId="Siln">
    <w:name w:val="Strong"/>
    <w:uiPriority w:val="2"/>
    <w:qFormat/>
    <w:rsid w:val="005E40D9"/>
    <w:rPr>
      <w:b/>
      <w:bCs/>
    </w:rPr>
  </w:style>
  <w:style w:type="paragraph" w:styleId="Odstavecseseznamem">
    <w:name w:val="List Paragraph"/>
    <w:aliases w:val="Odstavec_muj,Conclusion de partie,Fiche List Paragraph,List Paragraph (Czech Tourism),Nad,Název grafu,Odstavec c,Odstavec cíl se seznamem,Odstavec se seznamem1,Odstavec se seznamem5,Seznam - odrážky,_Odstavec se seznamem,nad 1,Nad1"/>
    <w:basedOn w:val="Normln"/>
    <w:link w:val="OdstavecseseznamemChar"/>
    <w:uiPriority w:val="34"/>
    <w:qFormat/>
    <w:rsid w:val="001212EF"/>
    <w:pPr>
      <w:ind w:left="720"/>
      <w:contextualSpacing/>
    </w:pPr>
    <w:rPr>
      <w:rFonts w:ascii="Cambria" w:eastAsia="MS Mincho" w:hAnsi="Cambria" w:cs="Times New Roman"/>
      <w:lang w:eastAsia="en-US"/>
    </w:rPr>
  </w:style>
  <w:style w:type="paragraph" w:customStyle="1" w:styleId="Textbodu">
    <w:name w:val="Text bodu"/>
    <w:basedOn w:val="Normln"/>
    <w:rsid w:val="00C901C4"/>
    <w:pPr>
      <w:tabs>
        <w:tab w:val="num" w:pos="850"/>
      </w:tabs>
      <w:ind w:left="850" w:hanging="425"/>
      <w:jc w:val="both"/>
      <w:outlineLvl w:val="8"/>
    </w:pPr>
    <w:rPr>
      <w:rFonts w:ascii="Times New Roman" w:hAnsi="Times New Roman" w:cs="Times New Roman"/>
      <w:szCs w:val="20"/>
    </w:rPr>
  </w:style>
  <w:style w:type="paragraph" w:customStyle="1" w:styleId="Textpsmene">
    <w:name w:val="Text písmene"/>
    <w:basedOn w:val="Normln"/>
    <w:rsid w:val="00C901C4"/>
    <w:pPr>
      <w:tabs>
        <w:tab w:val="num" w:pos="425"/>
      </w:tabs>
      <w:ind w:left="425" w:hanging="425"/>
      <w:jc w:val="both"/>
      <w:outlineLvl w:val="7"/>
    </w:pPr>
    <w:rPr>
      <w:rFonts w:ascii="Times New Roman" w:hAnsi="Times New Roman" w:cs="Times New Roman"/>
      <w:szCs w:val="20"/>
    </w:rPr>
  </w:style>
  <w:style w:type="paragraph" w:customStyle="1" w:styleId="Default">
    <w:name w:val="Default"/>
    <w:rsid w:val="002A5A69"/>
    <w:pPr>
      <w:autoSpaceDE w:val="0"/>
      <w:autoSpaceDN w:val="0"/>
      <w:adjustRightInd w:val="0"/>
    </w:pPr>
    <w:rPr>
      <w:rFonts w:ascii="Calibri" w:eastAsia="Calibri" w:hAnsi="Calibri" w:cs="Calibri"/>
      <w:color w:val="000000"/>
      <w:sz w:val="24"/>
      <w:szCs w:val="24"/>
    </w:rPr>
  </w:style>
  <w:style w:type="paragraph" w:customStyle="1" w:styleId="Zkladntext21">
    <w:name w:val="Základní text 21"/>
    <w:basedOn w:val="Normln"/>
    <w:rsid w:val="00E34EC9"/>
    <w:pPr>
      <w:framePr w:hSpace="141" w:wrap="auto" w:vAnchor="text" w:hAnchor="margin" w:y="178"/>
      <w:overflowPunct w:val="0"/>
      <w:autoSpaceDE w:val="0"/>
      <w:autoSpaceDN w:val="0"/>
      <w:adjustRightInd w:val="0"/>
      <w:jc w:val="both"/>
      <w:textAlignment w:val="baseline"/>
    </w:pPr>
    <w:rPr>
      <w:rFonts w:cs="Times New Roman"/>
      <w:b/>
      <w:szCs w:val="20"/>
    </w:rPr>
  </w:style>
  <w:style w:type="character" w:customStyle="1" w:styleId="OdstavecseseznamemChar">
    <w:name w:val="Odstavec se seznamem Char"/>
    <w:aliases w:val="Odstavec_muj Char,Conclusion de partie Char,Fiche List Paragraph Char,List Paragraph (Czech Tourism) Char,Nad Char,Název grafu Char,Odstavec c Char,Odstavec cíl se seznamem Char,Odstavec se seznamem1 Char,Seznam - odrážky Char"/>
    <w:basedOn w:val="Standardnpsmoodstavce"/>
    <w:link w:val="Odstavecseseznamem"/>
    <w:uiPriority w:val="34"/>
    <w:qFormat/>
    <w:rsid w:val="00DE6B03"/>
    <w:rPr>
      <w:rFonts w:ascii="Cambria" w:eastAsia="MS Mincho" w:hAnsi="Cambria"/>
      <w:sz w:val="24"/>
      <w:szCs w:val="24"/>
      <w:lang w:eastAsia="en-US"/>
    </w:rPr>
  </w:style>
  <w:style w:type="character" w:customStyle="1" w:styleId="OdstavecChar">
    <w:name w:val="Odstavec Char"/>
    <w:link w:val="Odstavec"/>
    <w:uiPriority w:val="99"/>
    <w:locked/>
    <w:rsid w:val="000C2DE0"/>
    <w:rPr>
      <w:rFonts w:ascii="Calibri" w:hAnsi="Calibri"/>
      <w:sz w:val="24"/>
    </w:rPr>
  </w:style>
  <w:style w:type="paragraph" w:customStyle="1" w:styleId="Odstavec">
    <w:name w:val="Odstavec"/>
    <w:basedOn w:val="Normln"/>
    <w:link w:val="OdstavecChar"/>
    <w:uiPriority w:val="99"/>
    <w:qFormat/>
    <w:rsid w:val="000C2DE0"/>
    <w:pPr>
      <w:spacing w:before="120" w:after="120"/>
      <w:ind w:firstLine="567"/>
      <w:jc w:val="both"/>
    </w:pPr>
    <w:rPr>
      <w:rFonts w:ascii="Calibri" w:hAnsi="Calibri" w:cs="Times New Roman"/>
      <w:szCs w:val="20"/>
    </w:rPr>
  </w:style>
  <w:style w:type="paragraph" w:customStyle="1" w:styleId="DTlotextu1">
    <w:name w:val="D Tělo textu 1"/>
    <w:basedOn w:val="Normln"/>
    <w:uiPriority w:val="99"/>
    <w:qFormat/>
    <w:rsid w:val="00346BA2"/>
    <w:pPr>
      <w:spacing w:before="120" w:after="120"/>
      <w:jc w:val="both"/>
    </w:pPr>
    <w:rPr>
      <w:sz w:val="22"/>
    </w:rPr>
  </w:style>
  <w:style w:type="paragraph" w:styleId="Bezmezer">
    <w:name w:val="No Spacing"/>
    <w:aliases w:val="Normální1,TNR,Bez mezer2,pismena"/>
    <w:uiPriority w:val="1"/>
    <w:qFormat/>
    <w:rsid w:val="005613F7"/>
    <w:rPr>
      <w:rFonts w:asciiTheme="minorHAnsi" w:eastAsiaTheme="minorEastAsia" w:hAnsiTheme="minorHAnsi" w:cstheme="minorBidi"/>
      <w:sz w:val="22"/>
      <w:szCs w:val="22"/>
    </w:rPr>
  </w:style>
  <w:style w:type="paragraph" w:styleId="Normlnweb">
    <w:name w:val="Normal (Web)"/>
    <w:basedOn w:val="Normln"/>
    <w:uiPriority w:val="99"/>
    <w:rsid w:val="001B53C6"/>
    <w:pPr>
      <w:widowControl w:val="0"/>
      <w:autoSpaceDE w:val="0"/>
      <w:autoSpaceDN w:val="0"/>
      <w:adjustRightInd w:val="0"/>
      <w:spacing w:before="99" w:after="99"/>
    </w:pPr>
    <w:rPr>
      <w:rFonts w:ascii="Times New Roman" w:eastAsiaTheme="minorEastAsia" w:hAnsi="Times New Roman" w:cs="Times New Roman"/>
    </w:rPr>
  </w:style>
  <w:style w:type="character" w:customStyle="1" w:styleId="Nadpis7Char">
    <w:name w:val="Nadpis 7 Char"/>
    <w:basedOn w:val="Standardnpsmoodstavce"/>
    <w:link w:val="Nadpis7"/>
    <w:uiPriority w:val="9"/>
    <w:rsid w:val="007A088C"/>
    <w:rPr>
      <w:rFonts w:ascii="Cambria" w:hAnsi="Cambria"/>
      <w:i/>
      <w:iCs/>
      <w:color w:val="243F60"/>
      <w:sz w:val="24"/>
    </w:rPr>
  </w:style>
  <w:style w:type="character" w:customStyle="1" w:styleId="Nadpis8Char">
    <w:name w:val="Nadpis 8 Char"/>
    <w:basedOn w:val="Standardnpsmoodstavce"/>
    <w:link w:val="Nadpis8"/>
    <w:uiPriority w:val="9"/>
    <w:rsid w:val="007A088C"/>
    <w:rPr>
      <w:rFonts w:ascii="Cambria" w:hAnsi="Cambria"/>
      <w:color w:val="272727"/>
      <w:sz w:val="21"/>
      <w:szCs w:val="21"/>
    </w:rPr>
  </w:style>
  <w:style w:type="character" w:customStyle="1" w:styleId="Nadpis9Char">
    <w:name w:val="Nadpis 9 Char"/>
    <w:basedOn w:val="Standardnpsmoodstavce"/>
    <w:link w:val="Nadpis9"/>
    <w:uiPriority w:val="9"/>
    <w:rsid w:val="007A088C"/>
    <w:rPr>
      <w:rFonts w:ascii="Cambria" w:hAnsi="Cambria"/>
      <w:i/>
      <w:iCs/>
      <w:color w:val="272727"/>
      <w:sz w:val="21"/>
      <w:szCs w:val="21"/>
    </w:rPr>
  </w:style>
  <w:style w:type="paragraph" w:customStyle="1" w:styleId="Paragraf">
    <w:name w:val="Paragraf"/>
    <w:basedOn w:val="Normln"/>
    <w:next w:val="Textodstavce"/>
    <w:link w:val="ParagrafChar"/>
    <w:qFormat/>
    <w:rsid w:val="007A088C"/>
    <w:pPr>
      <w:keepNext/>
      <w:keepLines/>
      <w:spacing w:before="240"/>
      <w:jc w:val="center"/>
      <w:outlineLvl w:val="5"/>
    </w:pPr>
    <w:rPr>
      <w:rFonts w:ascii="Times New Roman" w:hAnsi="Times New Roman" w:cs="Times New Roman"/>
      <w:szCs w:val="20"/>
    </w:rPr>
  </w:style>
  <w:style w:type="paragraph" w:customStyle="1" w:styleId="lnek">
    <w:name w:val="Článek"/>
    <w:basedOn w:val="Normln"/>
    <w:next w:val="Textodstavce"/>
    <w:link w:val="lnekChar"/>
    <w:rsid w:val="007A088C"/>
    <w:pPr>
      <w:keepNext/>
      <w:keepLines/>
      <w:spacing w:before="240"/>
      <w:jc w:val="center"/>
      <w:outlineLvl w:val="5"/>
    </w:pPr>
    <w:rPr>
      <w:rFonts w:ascii="Times New Roman" w:hAnsi="Times New Roman" w:cs="Times New Roman"/>
      <w:szCs w:val="20"/>
    </w:rPr>
  </w:style>
  <w:style w:type="paragraph" w:customStyle="1" w:styleId="Dvodovzprva">
    <w:name w:val="Důvodová zpráva"/>
    <w:basedOn w:val="Normln"/>
    <w:link w:val="DvodovzprvaChar"/>
    <w:uiPriority w:val="99"/>
    <w:qFormat/>
    <w:rsid w:val="007A088C"/>
    <w:pPr>
      <w:spacing w:before="120"/>
      <w:jc w:val="both"/>
    </w:pPr>
    <w:rPr>
      <w:rFonts w:ascii="Times New Roman" w:hAnsi="Times New Roman" w:cs="Times New Roman"/>
      <w:szCs w:val="20"/>
    </w:rPr>
  </w:style>
  <w:style w:type="character" w:customStyle="1" w:styleId="DvodovzprvaChar">
    <w:name w:val="Důvodová zpráva Char"/>
    <w:link w:val="Dvodovzprva"/>
    <w:uiPriority w:val="99"/>
    <w:locked/>
    <w:rsid w:val="007A088C"/>
    <w:rPr>
      <w:sz w:val="24"/>
    </w:rPr>
  </w:style>
  <w:style w:type="character" w:customStyle="1" w:styleId="TextkomenteChar">
    <w:name w:val="Text komentáře Char"/>
    <w:basedOn w:val="Standardnpsmoodstavce"/>
    <w:link w:val="Textkomente"/>
    <w:uiPriority w:val="99"/>
    <w:rsid w:val="00D61777"/>
    <w:rPr>
      <w:rFonts w:ascii="Arial" w:hAnsi="Arial" w:cs="Arial"/>
    </w:rPr>
  </w:style>
  <w:style w:type="character" w:customStyle="1" w:styleId="NovelizanbodChar0">
    <w:name w:val="Novelizační bod Char"/>
    <w:link w:val="Novelizanbod0"/>
    <w:locked/>
    <w:rsid w:val="00D61777"/>
    <w:rPr>
      <w:sz w:val="24"/>
    </w:rPr>
  </w:style>
  <w:style w:type="paragraph" w:customStyle="1" w:styleId="Novelizanbod0">
    <w:name w:val="Novelizační bod"/>
    <w:basedOn w:val="Normln"/>
    <w:next w:val="Normln"/>
    <w:link w:val="NovelizanbodChar0"/>
    <w:qFormat/>
    <w:rsid w:val="00D61777"/>
    <w:pPr>
      <w:keepNext/>
      <w:keepLines/>
      <w:tabs>
        <w:tab w:val="left" w:pos="851"/>
      </w:tabs>
      <w:spacing w:before="480" w:after="120"/>
      <w:jc w:val="both"/>
    </w:pPr>
    <w:rPr>
      <w:rFonts w:ascii="Times New Roman" w:hAnsi="Times New Roman" w:cs="Times New Roman"/>
      <w:szCs w:val="20"/>
    </w:rPr>
  </w:style>
  <w:style w:type="paragraph" w:styleId="Prosttext">
    <w:name w:val="Plain Text"/>
    <w:basedOn w:val="Normln"/>
    <w:link w:val="ProsttextChar"/>
    <w:uiPriority w:val="99"/>
    <w:unhideWhenUsed/>
    <w:rsid w:val="008A364D"/>
    <w:rPr>
      <w:rFonts w:ascii="Calibri" w:eastAsia="Calibri" w:hAnsi="Calibri" w:cs="Times New Roman"/>
      <w:sz w:val="22"/>
      <w:szCs w:val="21"/>
      <w:lang w:eastAsia="en-US"/>
    </w:rPr>
  </w:style>
  <w:style w:type="character" w:customStyle="1" w:styleId="ProsttextChar">
    <w:name w:val="Prostý text Char"/>
    <w:basedOn w:val="Standardnpsmoodstavce"/>
    <w:link w:val="Prosttext"/>
    <w:uiPriority w:val="99"/>
    <w:rsid w:val="008A364D"/>
    <w:rPr>
      <w:rFonts w:ascii="Calibri" w:eastAsia="Calibri" w:hAnsi="Calibri"/>
      <w:sz w:val="22"/>
      <w:szCs w:val="21"/>
      <w:lang w:eastAsia="en-US"/>
    </w:rPr>
  </w:style>
  <w:style w:type="paragraph" w:styleId="Textpoznpodarou">
    <w:name w:val="footnote text"/>
    <w:basedOn w:val="Normln"/>
    <w:link w:val="TextpoznpodarouChar"/>
    <w:uiPriority w:val="99"/>
    <w:unhideWhenUsed/>
    <w:rsid w:val="001B09DA"/>
    <w:rPr>
      <w:rFonts w:asciiTheme="minorHAnsi" w:eastAsiaTheme="minorHAnsi" w:hAnsiTheme="minorHAnsi" w:cstheme="minorBidi"/>
      <w:sz w:val="20"/>
      <w:szCs w:val="20"/>
      <w:lang w:eastAsia="en-US"/>
    </w:rPr>
  </w:style>
  <w:style w:type="character" w:customStyle="1" w:styleId="TextpoznpodarouChar">
    <w:name w:val="Text pozn. pod čarou Char"/>
    <w:basedOn w:val="Standardnpsmoodstavce"/>
    <w:link w:val="Textpoznpodarou"/>
    <w:uiPriority w:val="99"/>
    <w:rsid w:val="001B09DA"/>
    <w:rPr>
      <w:rFonts w:asciiTheme="minorHAnsi" w:eastAsiaTheme="minorHAnsi" w:hAnsiTheme="minorHAnsi" w:cstheme="minorBidi"/>
      <w:lang w:eastAsia="en-US"/>
    </w:rPr>
  </w:style>
  <w:style w:type="character" w:styleId="Znakapoznpodarou">
    <w:name w:val="footnote reference"/>
    <w:aliases w:val="BVI fnr,Footnote symbol,Footnote call,SUPERS,Footnote Reference Superscript,(Footnote Reference),Footnote reference number,note TESI,EN Footnote Reference,Voetnootverwijzing,Times 10 Point,Exposant 3 Point,stylish,E FNZ,R"/>
    <w:basedOn w:val="Standardnpsmoodstavce"/>
    <w:unhideWhenUsed/>
    <w:rsid w:val="001B09DA"/>
    <w:rPr>
      <w:vertAlign w:val="superscript"/>
    </w:rPr>
  </w:style>
  <w:style w:type="paragraph" w:customStyle="1" w:styleId="Textdopisu">
    <w:name w:val="Text dopisu"/>
    <w:basedOn w:val="Normln"/>
    <w:link w:val="TextdopisuChar"/>
    <w:qFormat/>
    <w:rsid w:val="00962C2E"/>
    <w:pPr>
      <w:spacing w:before="40"/>
      <w:ind w:left="426"/>
      <w:jc w:val="both"/>
    </w:pPr>
    <w:rPr>
      <w:rFonts w:ascii="Times New Roman" w:hAnsi="Times New Roman" w:cs="Times New Roman"/>
      <w:sz w:val="22"/>
      <w:szCs w:val="22"/>
    </w:rPr>
  </w:style>
  <w:style w:type="character" w:customStyle="1" w:styleId="TextdopisuChar">
    <w:name w:val="Text dopisu Char"/>
    <w:link w:val="Textdopisu"/>
    <w:rsid w:val="00962C2E"/>
    <w:rPr>
      <w:sz w:val="22"/>
      <w:szCs w:val="22"/>
    </w:rPr>
  </w:style>
  <w:style w:type="character" w:customStyle="1" w:styleId="ZpatChar">
    <w:name w:val="Zápatí Char"/>
    <w:basedOn w:val="Standardnpsmoodstavce"/>
    <w:link w:val="Zpat"/>
    <w:uiPriority w:val="99"/>
    <w:rsid w:val="001B6175"/>
    <w:rPr>
      <w:rFonts w:ascii="Arial" w:hAnsi="Arial" w:cs="Arial"/>
      <w:sz w:val="24"/>
      <w:szCs w:val="24"/>
    </w:rPr>
  </w:style>
  <w:style w:type="paragraph" w:customStyle="1" w:styleId="ARIAL11">
    <w:name w:val="ARIAL 11+"/>
    <w:basedOn w:val="Normln"/>
    <w:link w:val="ARIAL11Char"/>
    <w:qFormat/>
    <w:rsid w:val="00FA5001"/>
    <w:pPr>
      <w:jc w:val="both"/>
    </w:pPr>
    <w:rPr>
      <w:rFonts w:eastAsia="Calibri" w:cs="Times New Roman"/>
      <w:sz w:val="22"/>
      <w:szCs w:val="22"/>
      <w:lang w:eastAsia="en-US"/>
    </w:rPr>
  </w:style>
  <w:style w:type="character" w:customStyle="1" w:styleId="ARIAL11Char">
    <w:name w:val="ARIAL 11+ Char"/>
    <w:basedOn w:val="Standardnpsmoodstavce"/>
    <w:link w:val="ARIAL11"/>
    <w:rsid w:val="00FA5001"/>
    <w:rPr>
      <w:rFonts w:ascii="Arial" w:eastAsia="Calibri" w:hAnsi="Arial"/>
      <w:sz w:val="22"/>
      <w:szCs w:val="22"/>
      <w:lang w:eastAsia="en-US"/>
    </w:rPr>
  </w:style>
  <w:style w:type="paragraph" w:customStyle="1" w:styleId="Textlnku">
    <w:name w:val="Text článku"/>
    <w:basedOn w:val="Normln"/>
    <w:link w:val="TextlnkuChar"/>
    <w:rsid w:val="003643AD"/>
    <w:pPr>
      <w:spacing w:before="240"/>
      <w:ind w:firstLine="425"/>
      <w:jc w:val="both"/>
      <w:outlineLvl w:val="5"/>
    </w:pPr>
    <w:rPr>
      <w:rFonts w:ascii="Times New Roman" w:hAnsi="Times New Roman" w:cs="Times New Roman"/>
      <w:szCs w:val="20"/>
    </w:rPr>
  </w:style>
  <w:style w:type="character" w:customStyle="1" w:styleId="TextlnkuChar">
    <w:name w:val="Text článku Char"/>
    <w:link w:val="Textlnku"/>
    <w:rsid w:val="003643AD"/>
    <w:rPr>
      <w:sz w:val="24"/>
    </w:rPr>
  </w:style>
  <w:style w:type="paragraph" w:customStyle="1" w:styleId="-wm-western">
    <w:name w:val="-wm-western"/>
    <w:basedOn w:val="Normln"/>
    <w:uiPriority w:val="99"/>
    <w:rsid w:val="00C62ACA"/>
    <w:pPr>
      <w:spacing w:before="100" w:beforeAutospacing="1" w:after="100" w:afterAutospacing="1"/>
    </w:pPr>
    <w:rPr>
      <w:rFonts w:ascii="Times New Roman" w:eastAsiaTheme="minorHAnsi" w:hAnsi="Times New Roman" w:cs="Times New Roman"/>
    </w:rPr>
  </w:style>
  <w:style w:type="paragraph" w:customStyle="1" w:styleId="xmsonormal">
    <w:name w:val="x_msonormal"/>
    <w:basedOn w:val="Normln"/>
    <w:rsid w:val="00C70BA6"/>
    <w:rPr>
      <w:rFonts w:ascii="Calibri" w:eastAsiaTheme="minorHAnsi" w:hAnsi="Calibri" w:cs="Calibri"/>
      <w:sz w:val="22"/>
      <w:szCs w:val="22"/>
    </w:rPr>
  </w:style>
  <w:style w:type="character" w:customStyle="1" w:styleId="NadpisparagrafuChar2">
    <w:name w:val="Nadpis paragrafu Char2"/>
    <w:link w:val="Nadpisparagrafu"/>
    <w:rsid w:val="00C70BA6"/>
    <w:rPr>
      <w:rFonts w:eastAsia="Calibri"/>
      <w:b/>
      <w:bCs/>
      <w:sz w:val="24"/>
      <w:szCs w:val="24"/>
    </w:rPr>
  </w:style>
  <w:style w:type="character" w:customStyle="1" w:styleId="normaltextrun">
    <w:name w:val="normaltextrun"/>
    <w:basedOn w:val="Standardnpsmoodstavce"/>
    <w:rsid w:val="005107C9"/>
  </w:style>
  <w:style w:type="paragraph" w:customStyle="1" w:styleId="paragraph">
    <w:name w:val="paragraph"/>
    <w:basedOn w:val="Normln"/>
    <w:uiPriority w:val="99"/>
    <w:semiHidden/>
    <w:rsid w:val="005107C9"/>
    <w:rPr>
      <w:rFonts w:ascii="Calibri" w:eastAsiaTheme="minorHAnsi" w:hAnsi="Calibri" w:cs="Calibri"/>
      <w:sz w:val="22"/>
      <w:szCs w:val="22"/>
    </w:rPr>
  </w:style>
  <w:style w:type="character" w:customStyle="1" w:styleId="textrun">
    <w:name w:val="textrun"/>
    <w:basedOn w:val="Standardnpsmoodstavce"/>
    <w:rsid w:val="005107C9"/>
  </w:style>
  <w:style w:type="character" w:customStyle="1" w:styleId="eop">
    <w:name w:val="eop"/>
    <w:basedOn w:val="Standardnpsmoodstavce"/>
    <w:rsid w:val="005107C9"/>
  </w:style>
  <w:style w:type="character" w:customStyle="1" w:styleId="ParagrafChar">
    <w:name w:val="Paragraf Char"/>
    <w:basedOn w:val="Standardnpsmoodstavce"/>
    <w:link w:val="Paragraf"/>
    <w:locked/>
    <w:rsid w:val="005107C9"/>
    <w:rPr>
      <w:sz w:val="24"/>
    </w:rPr>
  </w:style>
  <w:style w:type="paragraph" w:customStyle="1" w:styleId="dvodovzprva0">
    <w:name w:val="dvodovzprva"/>
    <w:basedOn w:val="Normln"/>
    <w:rsid w:val="0021486C"/>
    <w:pPr>
      <w:spacing w:before="100" w:beforeAutospacing="1" w:after="100" w:afterAutospacing="1"/>
    </w:pPr>
    <w:rPr>
      <w:rFonts w:ascii="Times New Roman" w:hAnsi="Times New Roman" w:cs="Times New Roman"/>
    </w:rPr>
  </w:style>
  <w:style w:type="paragraph" w:styleId="Revize">
    <w:name w:val="Revision"/>
    <w:hidden/>
    <w:uiPriority w:val="99"/>
    <w:semiHidden/>
    <w:rsid w:val="006542C8"/>
    <w:rPr>
      <w:rFonts w:ascii="Arial" w:hAnsi="Arial" w:cs="Arial"/>
      <w:sz w:val="24"/>
      <w:szCs w:val="24"/>
    </w:rPr>
  </w:style>
  <w:style w:type="paragraph" w:customStyle="1" w:styleId="Textpechodka">
    <w:name w:val="Text přechodka"/>
    <w:basedOn w:val="Normln"/>
    <w:qFormat/>
    <w:rsid w:val="00B06070"/>
    <w:pPr>
      <w:numPr>
        <w:ilvl w:val="2"/>
        <w:numId w:val="2"/>
      </w:numPr>
      <w:jc w:val="both"/>
    </w:pPr>
    <w:rPr>
      <w:rFonts w:ascii="Times New Roman" w:hAnsi="Times New Roman" w:cs="Times New Roman"/>
      <w:szCs w:val="20"/>
    </w:rPr>
  </w:style>
  <w:style w:type="paragraph" w:customStyle="1" w:styleId="Textpechodkapsmene">
    <w:name w:val="Text přechodka písmene"/>
    <w:basedOn w:val="Normln"/>
    <w:qFormat/>
    <w:rsid w:val="00B06070"/>
    <w:pPr>
      <w:numPr>
        <w:ilvl w:val="3"/>
        <w:numId w:val="2"/>
      </w:numPr>
      <w:jc w:val="both"/>
    </w:pPr>
    <w:rPr>
      <w:rFonts w:ascii="Times New Roman" w:hAnsi="Times New Roman" w:cs="Times New Roman"/>
      <w:szCs w:val="20"/>
    </w:rPr>
  </w:style>
  <w:style w:type="paragraph" w:styleId="Textvysvtlivek">
    <w:name w:val="endnote text"/>
    <w:basedOn w:val="Normln"/>
    <w:link w:val="TextvysvtlivekChar"/>
    <w:uiPriority w:val="99"/>
    <w:semiHidden/>
    <w:unhideWhenUsed/>
    <w:rsid w:val="002F5651"/>
    <w:rPr>
      <w:rFonts w:ascii="Times New Roman" w:hAnsi="Times New Roman" w:cs="Times New Roman"/>
      <w:sz w:val="20"/>
      <w:szCs w:val="20"/>
    </w:rPr>
  </w:style>
  <w:style w:type="character" w:customStyle="1" w:styleId="TextvysvtlivekChar">
    <w:name w:val="Text vysvětlivek Char"/>
    <w:basedOn w:val="Standardnpsmoodstavce"/>
    <w:link w:val="Textvysvtlivek"/>
    <w:uiPriority w:val="99"/>
    <w:semiHidden/>
    <w:rsid w:val="002F5651"/>
  </w:style>
  <w:style w:type="paragraph" w:customStyle="1" w:styleId="KRUTEXTODSTAVCE">
    <w:name w:val="_KRU_TEXT_ODSTAVCE"/>
    <w:basedOn w:val="Normln"/>
    <w:rsid w:val="002F5651"/>
    <w:pPr>
      <w:spacing w:line="288" w:lineRule="auto"/>
    </w:pPr>
    <w:rPr>
      <w:sz w:val="22"/>
    </w:rPr>
  </w:style>
  <w:style w:type="character" w:customStyle="1" w:styleId="Nadpis3Char">
    <w:name w:val="Nadpis 3 Char"/>
    <w:basedOn w:val="Standardnpsmoodstavce"/>
    <w:link w:val="Nadpis3"/>
    <w:rsid w:val="00B25CCE"/>
    <w:rPr>
      <w:rFonts w:asciiTheme="majorHAnsi" w:eastAsiaTheme="majorEastAsia" w:hAnsiTheme="majorHAnsi" w:cstheme="majorBidi"/>
      <w:color w:val="243F60" w:themeColor="accent1" w:themeShade="7F"/>
      <w:sz w:val="24"/>
      <w:szCs w:val="24"/>
    </w:rPr>
  </w:style>
  <w:style w:type="character" w:customStyle="1" w:styleId="Nadpis4Char">
    <w:name w:val="Nadpis 4 Char"/>
    <w:basedOn w:val="Standardnpsmoodstavce"/>
    <w:link w:val="Nadpis4"/>
    <w:semiHidden/>
    <w:rsid w:val="00B25CCE"/>
    <w:rPr>
      <w:rFonts w:asciiTheme="majorHAnsi" w:eastAsiaTheme="majorEastAsia" w:hAnsiTheme="majorHAnsi" w:cstheme="majorBidi"/>
      <w:i/>
      <w:iCs/>
      <w:color w:val="365F91" w:themeColor="accent1" w:themeShade="BF"/>
      <w:sz w:val="24"/>
      <w:szCs w:val="24"/>
    </w:rPr>
  </w:style>
  <w:style w:type="paragraph" w:customStyle="1" w:styleId="KUMS-text">
    <w:name w:val="KUMS-text"/>
    <w:basedOn w:val="Zkladntext"/>
    <w:uiPriority w:val="99"/>
    <w:semiHidden/>
    <w:rsid w:val="002F61AF"/>
    <w:pPr>
      <w:spacing w:after="280" w:line="280" w:lineRule="exact"/>
    </w:pPr>
    <w:rPr>
      <w:rFonts w:ascii="Tahoma" w:eastAsiaTheme="minorEastAsia" w:hAnsi="Tahoma" w:cs="Tahoma"/>
      <w:sz w:val="20"/>
      <w:szCs w:val="20"/>
    </w:rPr>
  </w:style>
  <w:style w:type="paragraph" w:customStyle="1" w:styleId="st">
    <w:name w:val="Část"/>
    <w:basedOn w:val="Normln"/>
    <w:next w:val="Zkladntext"/>
    <w:qFormat/>
    <w:rsid w:val="00DD61F1"/>
    <w:pPr>
      <w:keepNext/>
      <w:spacing w:before="480" w:after="240" w:line="264" w:lineRule="auto"/>
      <w:jc w:val="both"/>
    </w:pPr>
    <w:rPr>
      <w:rFonts w:ascii="Calibri" w:hAnsi="Calibri" w:cs="Times New Roman"/>
      <w:b/>
      <w:szCs w:val="20"/>
    </w:rPr>
  </w:style>
  <w:style w:type="character" w:customStyle="1" w:styleId="NADPISSTIChar">
    <w:name w:val="NADPIS ČÁSTI Char"/>
    <w:link w:val="NADPISSTI"/>
    <w:locked/>
    <w:rsid w:val="008C6767"/>
    <w:rPr>
      <w:b/>
      <w:sz w:val="24"/>
    </w:rPr>
  </w:style>
  <w:style w:type="paragraph" w:customStyle="1" w:styleId="NADPISSTI">
    <w:name w:val="NADPIS ČÁSTI"/>
    <w:basedOn w:val="Normln"/>
    <w:next w:val="Normln"/>
    <w:link w:val="NADPISSTIChar"/>
    <w:rsid w:val="008C6767"/>
    <w:pPr>
      <w:keepNext/>
      <w:keepLines/>
      <w:jc w:val="center"/>
      <w:outlineLvl w:val="1"/>
    </w:pPr>
    <w:rPr>
      <w:rFonts w:ascii="Times New Roman" w:hAnsi="Times New Roman" w:cs="Times New Roman"/>
      <w:b/>
      <w:szCs w:val="20"/>
    </w:rPr>
  </w:style>
  <w:style w:type="character" w:customStyle="1" w:styleId="lnekChar">
    <w:name w:val="Článek Char"/>
    <w:link w:val="lnek"/>
    <w:locked/>
    <w:rsid w:val="008C6767"/>
    <w:rPr>
      <w:sz w:val="24"/>
    </w:rPr>
  </w:style>
  <w:style w:type="paragraph" w:customStyle="1" w:styleId="pf0">
    <w:name w:val="pf0"/>
    <w:basedOn w:val="Normln"/>
    <w:rsid w:val="006508D1"/>
    <w:pPr>
      <w:spacing w:before="100" w:beforeAutospacing="1" w:after="100" w:afterAutospacing="1"/>
    </w:pPr>
    <w:rPr>
      <w:rFonts w:ascii="Times New Roman" w:hAnsi="Times New Roman" w:cs="Times New Roman"/>
    </w:rPr>
  </w:style>
  <w:style w:type="paragraph" w:customStyle="1" w:styleId="text">
    <w:name w:val="text"/>
    <w:basedOn w:val="Normln"/>
    <w:uiPriority w:val="99"/>
    <w:rsid w:val="00B972E4"/>
    <w:pPr>
      <w:spacing w:before="120"/>
      <w:ind w:firstLine="357"/>
      <w:jc w:val="both"/>
    </w:pPr>
    <w:rPr>
      <w:rFonts w:ascii="Times New Roman" w:hAnsi="Times New Roman" w:cs="Times New Roman"/>
      <w:noProof/>
    </w:rPr>
  </w:style>
  <w:style w:type="character" w:customStyle="1" w:styleId="CharStyle3">
    <w:name w:val="Char Style 3"/>
    <w:basedOn w:val="Standardnpsmoodstavce"/>
    <w:link w:val="Style2"/>
    <w:rsid w:val="00B972E4"/>
    <w:rPr>
      <w:rFonts w:ascii="Arial" w:eastAsia="Arial" w:hAnsi="Arial" w:cs="Arial"/>
      <w:shd w:val="clear" w:color="auto" w:fill="FFFFFF"/>
    </w:rPr>
  </w:style>
  <w:style w:type="paragraph" w:customStyle="1" w:styleId="Style2">
    <w:name w:val="Style 2"/>
    <w:basedOn w:val="Normln"/>
    <w:link w:val="CharStyle3"/>
    <w:qFormat/>
    <w:rsid w:val="00B972E4"/>
    <w:pPr>
      <w:widowControl w:val="0"/>
      <w:shd w:val="clear" w:color="auto" w:fill="FFFFFF"/>
      <w:spacing w:before="700" w:after="240" w:line="224" w:lineRule="exact"/>
      <w:jc w:val="both"/>
    </w:pPr>
    <w:rPr>
      <w:rFonts w:eastAsia="Arial"/>
      <w:sz w:val="20"/>
      <w:szCs w:val="20"/>
    </w:rPr>
  </w:style>
  <w:style w:type="numbering" w:customStyle="1" w:styleId="Styl1">
    <w:name w:val="Styl1"/>
    <w:rsid w:val="007F6D49"/>
    <w:pPr>
      <w:numPr>
        <w:numId w:val="49"/>
      </w:numPr>
    </w:pPr>
  </w:style>
  <w:style w:type="numbering" w:customStyle="1" w:styleId="Styl11">
    <w:name w:val="Styl11"/>
    <w:rsid w:val="005275D0"/>
  </w:style>
  <w:style w:type="numbering" w:customStyle="1" w:styleId="Styl12">
    <w:name w:val="Styl12"/>
    <w:rsid w:val="005275D0"/>
  </w:style>
  <w:style w:type="numbering" w:customStyle="1" w:styleId="Styl13">
    <w:name w:val="Styl13"/>
    <w:rsid w:val="00E60E9D"/>
    <w:pPr>
      <w:numPr>
        <w:numId w:val="7"/>
      </w:numPr>
    </w:pPr>
  </w:style>
  <w:style w:type="character" w:customStyle="1" w:styleId="Nadpis5Char">
    <w:name w:val="Nadpis 5 Char"/>
    <w:basedOn w:val="Standardnpsmoodstavce"/>
    <w:link w:val="Nadpis5"/>
    <w:rsid w:val="00905688"/>
    <w:rPr>
      <w:rFonts w:asciiTheme="majorHAnsi" w:eastAsiaTheme="majorEastAsia" w:hAnsiTheme="majorHAnsi" w:cstheme="majorBidi"/>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3007">
      <w:bodyDiv w:val="1"/>
      <w:marLeft w:val="0"/>
      <w:marRight w:val="0"/>
      <w:marTop w:val="0"/>
      <w:marBottom w:val="0"/>
      <w:divBdr>
        <w:top w:val="none" w:sz="0" w:space="0" w:color="auto"/>
        <w:left w:val="none" w:sz="0" w:space="0" w:color="auto"/>
        <w:bottom w:val="none" w:sz="0" w:space="0" w:color="auto"/>
        <w:right w:val="none" w:sz="0" w:space="0" w:color="auto"/>
      </w:divBdr>
    </w:div>
    <w:div w:id="30955569">
      <w:bodyDiv w:val="1"/>
      <w:marLeft w:val="0"/>
      <w:marRight w:val="0"/>
      <w:marTop w:val="0"/>
      <w:marBottom w:val="0"/>
      <w:divBdr>
        <w:top w:val="none" w:sz="0" w:space="0" w:color="auto"/>
        <w:left w:val="none" w:sz="0" w:space="0" w:color="auto"/>
        <w:bottom w:val="none" w:sz="0" w:space="0" w:color="auto"/>
        <w:right w:val="none" w:sz="0" w:space="0" w:color="auto"/>
      </w:divBdr>
    </w:div>
    <w:div w:id="44527660">
      <w:bodyDiv w:val="1"/>
      <w:marLeft w:val="0"/>
      <w:marRight w:val="0"/>
      <w:marTop w:val="0"/>
      <w:marBottom w:val="0"/>
      <w:divBdr>
        <w:top w:val="none" w:sz="0" w:space="0" w:color="auto"/>
        <w:left w:val="none" w:sz="0" w:space="0" w:color="auto"/>
        <w:bottom w:val="none" w:sz="0" w:space="0" w:color="auto"/>
        <w:right w:val="none" w:sz="0" w:space="0" w:color="auto"/>
      </w:divBdr>
    </w:div>
    <w:div w:id="45567079">
      <w:bodyDiv w:val="1"/>
      <w:marLeft w:val="0"/>
      <w:marRight w:val="0"/>
      <w:marTop w:val="0"/>
      <w:marBottom w:val="0"/>
      <w:divBdr>
        <w:top w:val="none" w:sz="0" w:space="0" w:color="auto"/>
        <w:left w:val="none" w:sz="0" w:space="0" w:color="auto"/>
        <w:bottom w:val="none" w:sz="0" w:space="0" w:color="auto"/>
        <w:right w:val="none" w:sz="0" w:space="0" w:color="auto"/>
      </w:divBdr>
    </w:div>
    <w:div w:id="46422887">
      <w:bodyDiv w:val="1"/>
      <w:marLeft w:val="0"/>
      <w:marRight w:val="0"/>
      <w:marTop w:val="0"/>
      <w:marBottom w:val="0"/>
      <w:divBdr>
        <w:top w:val="none" w:sz="0" w:space="0" w:color="auto"/>
        <w:left w:val="none" w:sz="0" w:space="0" w:color="auto"/>
        <w:bottom w:val="none" w:sz="0" w:space="0" w:color="auto"/>
        <w:right w:val="none" w:sz="0" w:space="0" w:color="auto"/>
      </w:divBdr>
    </w:div>
    <w:div w:id="65612331">
      <w:bodyDiv w:val="1"/>
      <w:marLeft w:val="0"/>
      <w:marRight w:val="0"/>
      <w:marTop w:val="0"/>
      <w:marBottom w:val="0"/>
      <w:divBdr>
        <w:top w:val="none" w:sz="0" w:space="0" w:color="auto"/>
        <w:left w:val="none" w:sz="0" w:space="0" w:color="auto"/>
        <w:bottom w:val="none" w:sz="0" w:space="0" w:color="auto"/>
        <w:right w:val="none" w:sz="0" w:space="0" w:color="auto"/>
      </w:divBdr>
    </w:div>
    <w:div w:id="83966206">
      <w:bodyDiv w:val="1"/>
      <w:marLeft w:val="0"/>
      <w:marRight w:val="0"/>
      <w:marTop w:val="0"/>
      <w:marBottom w:val="0"/>
      <w:divBdr>
        <w:top w:val="none" w:sz="0" w:space="0" w:color="auto"/>
        <w:left w:val="none" w:sz="0" w:space="0" w:color="auto"/>
        <w:bottom w:val="none" w:sz="0" w:space="0" w:color="auto"/>
        <w:right w:val="none" w:sz="0" w:space="0" w:color="auto"/>
      </w:divBdr>
    </w:div>
    <w:div w:id="107700855">
      <w:bodyDiv w:val="1"/>
      <w:marLeft w:val="0"/>
      <w:marRight w:val="0"/>
      <w:marTop w:val="0"/>
      <w:marBottom w:val="0"/>
      <w:divBdr>
        <w:top w:val="none" w:sz="0" w:space="0" w:color="auto"/>
        <w:left w:val="none" w:sz="0" w:space="0" w:color="auto"/>
        <w:bottom w:val="none" w:sz="0" w:space="0" w:color="auto"/>
        <w:right w:val="none" w:sz="0" w:space="0" w:color="auto"/>
      </w:divBdr>
      <w:divsChild>
        <w:div w:id="2091003837">
          <w:marLeft w:val="0"/>
          <w:marRight w:val="0"/>
          <w:marTop w:val="0"/>
          <w:marBottom w:val="0"/>
          <w:divBdr>
            <w:top w:val="none" w:sz="0" w:space="0" w:color="auto"/>
            <w:left w:val="none" w:sz="0" w:space="0" w:color="auto"/>
            <w:bottom w:val="none" w:sz="0" w:space="0" w:color="auto"/>
            <w:right w:val="none" w:sz="0" w:space="0" w:color="auto"/>
          </w:divBdr>
        </w:div>
      </w:divsChild>
    </w:div>
    <w:div w:id="107900099">
      <w:bodyDiv w:val="1"/>
      <w:marLeft w:val="0"/>
      <w:marRight w:val="0"/>
      <w:marTop w:val="0"/>
      <w:marBottom w:val="0"/>
      <w:divBdr>
        <w:top w:val="none" w:sz="0" w:space="0" w:color="auto"/>
        <w:left w:val="none" w:sz="0" w:space="0" w:color="auto"/>
        <w:bottom w:val="none" w:sz="0" w:space="0" w:color="auto"/>
        <w:right w:val="none" w:sz="0" w:space="0" w:color="auto"/>
      </w:divBdr>
    </w:div>
    <w:div w:id="109782792">
      <w:bodyDiv w:val="1"/>
      <w:marLeft w:val="0"/>
      <w:marRight w:val="0"/>
      <w:marTop w:val="0"/>
      <w:marBottom w:val="0"/>
      <w:divBdr>
        <w:top w:val="none" w:sz="0" w:space="0" w:color="auto"/>
        <w:left w:val="none" w:sz="0" w:space="0" w:color="auto"/>
        <w:bottom w:val="none" w:sz="0" w:space="0" w:color="auto"/>
        <w:right w:val="none" w:sz="0" w:space="0" w:color="auto"/>
      </w:divBdr>
    </w:div>
    <w:div w:id="137840217">
      <w:bodyDiv w:val="1"/>
      <w:marLeft w:val="0"/>
      <w:marRight w:val="0"/>
      <w:marTop w:val="0"/>
      <w:marBottom w:val="0"/>
      <w:divBdr>
        <w:top w:val="none" w:sz="0" w:space="0" w:color="auto"/>
        <w:left w:val="none" w:sz="0" w:space="0" w:color="auto"/>
        <w:bottom w:val="none" w:sz="0" w:space="0" w:color="auto"/>
        <w:right w:val="none" w:sz="0" w:space="0" w:color="auto"/>
      </w:divBdr>
    </w:div>
    <w:div w:id="164907623">
      <w:bodyDiv w:val="1"/>
      <w:marLeft w:val="0"/>
      <w:marRight w:val="0"/>
      <w:marTop w:val="0"/>
      <w:marBottom w:val="0"/>
      <w:divBdr>
        <w:top w:val="none" w:sz="0" w:space="0" w:color="auto"/>
        <w:left w:val="none" w:sz="0" w:space="0" w:color="auto"/>
        <w:bottom w:val="none" w:sz="0" w:space="0" w:color="auto"/>
        <w:right w:val="none" w:sz="0" w:space="0" w:color="auto"/>
      </w:divBdr>
    </w:div>
    <w:div w:id="167643579">
      <w:bodyDiv w:val="1"/>
      <w:marLeft w:val="0"/>
      <w:marRight w:val="0"/>
      <w:marTop w:val="0"/>
      <w:marBottom w:val="0"/>
      <w:divBdr>
        <w:top w:val="none" w:sz="0" w:space="0" w:color="auto"/>
        <w:left w:val="none" w:sz="0" w:space="0" w:color="auto"/>
        <w:bottom w:val="none" w:sz="0" w:space="0" w:color="auto"/>
        <w:right w:val="none" w:sz="0" w:space="0" w:color="auto"/>
      </w:divBdr>
    </w:div>
    <w:div w:id="170797825">
      <w:bodyDiv w:val="1"/>
      <w:marLeft w:val="0"/>
      <w:marRight w:val="0"/>
      <w:marTop w:val="0"/>
      <w:marBottom w:val="0"/>
      <w:divBdr>
        <w:top w:val="none" w:sz="0" w:space="0" w:color="auto"/>
        <w:left w:val="none" w:sz="0" w:space="0" w:color="auto"/>
        <w:bottom w:val="none" w:sz="0" w:space="0" w:color="auto"/>
        <w:right w:val="none" w:sz="0" w:space="0" w:color="auto"/>
      </w:divBdr>
    </w:div>
    <w:div w:id="176504496">
      <w:bodyDiv w:val="1"/>
      <w:marLeft w:val="0"/>
      <w:marRight w:val="0"/>
      <w:marTop w:val="0"/>
      <w:marBottom w:val="0"/>
      <w:divBdr>
        <w:top w:val="none" w:sz="0" w:space="0" w:color="auto"/>
        <w:left w:val="none" w:sz="0" w:space="0" w:color="auto"/>
        <w:bottom w:val="none" w:sz="0" w:space="0" w:color="auto"/>
        <w:right w:val="none" w:sz="0" w:space="0" w:color="auto"/>
      </w:divBdr>
    </w:div>
    <w:div w:id="180825995">
      <w:bodyDiv w:val="1"/>
      <w:marLeft w:val="0"/>
      <w:marRight w:val="0"/>
      <w:marTop w:val="0"/>
      <w:marBottom w:val="0"/>
      <w:divBdr>
        <w:top w:val="none" w:sz="0" w:space="0" w:color="auto"/>
        <w:left w:val="none" w:sz="0" w:space="0" w:color="auto"/>
        <w:bottom w:val="none" w:sz="0" w:space="0" w:color="auto"/>
        <w:right w:val="none" w:sz="0" w:space="0" w:color="auto"/>
      </w:divBdr>
    </w:div>
    <w:div w:id="194857223">
      <w:bodyDiv w:val="1"/>
      <w:marLeft w:val="0"/>
      <w:marRight w:val="0"/>
      <w:marTop w:val="0"/>
      <w:marBottom w:val="0"/>
      <w:divBdr>
        <w:top w:val="none" w:sz="0" w:space="0" w:color="auto"/>
        <w:left w:val="none" w:sz="0" w:space="0" w:color="auto"/>
        <w:bottom w:val="none" w:sz="0" w:space="0" w:color="auto"/>
        <w:right w:val="none" w:sz="0" w:space="0" w:color="auto"/>
      </w:divBdr>
    </w:div>
    <w:div w:id="199980921">
      <w:bodyDiv w:val="1"/>
      <w:marLeft w:val="0"/>
      <w:marRight w:val="0"/>
      <w:marTop w:val="0"/>
      <w:marBottom w:val="0"/>
      <w:divBdr>
        <w:top w:val="none" w:sz="0" w:space="0" w:color="auto"/>
        <w:left w:val="none" w:sz="0" w:space="0" w:color="auto"/>
        <w:bottom w:val="none" w:sz="0" w:space="0" w:color="auto"/>
        <w:right w:val="none" w:sz="0" w:space="0" w:color="auto"/>
      </w:divBdr>
    </w:div>
    <w:div w:id="203366699">
      <w:bodyDiv w:val="1"/>
      <w:marLeft w:val="0"/>
      <w:marRight w:val="0"/>
      <w:marTop w:val="0"/>
      <w:marBottom w:val="0"/>
      <w:divBdr>
        <w:top w:val="none" w:sz="0" w:space="0" w:color="auto"/>
        <w:left w:val="none" w:sz="0" w:space="0" w:color="auto"/>
        <w:bottom w:val="none" w:sz="0" w:space="0" w:color="auto"/>
        <w:right w:val="none" w:sz="0" w:space="0" w:color="auto"/>
      </w:divBdr>
    </w:div>
    <w:div w:id="205916229">
      <w:bodyDiv w:val="1"/>
      <w:marLeft w:val="0"/>
      <w:marRight w:val="0"/>
      <w:marTop w:val="0"/>
      <w:marBottom w:val="0"/>
      <w:divBdr>
        <w:top w:val="none" w:sz="0" w:space="0" w:color="auto"/>
        <w:left w:val="none" w:sz="0" w:space="0" w:color="auto"/>
        <w:bottom w:val="none" w:sz="0" w:space="0" w:color="auto"/>
        <w:right w:val="none" w:sz="0" w:space="0" w:color="auto"/>
      </w:divBdr>
    </w:div>
    <w:div w:id="223297923">
      <w:bodyDiv w:val="1"/>
      <w:marLeft w:val="0"/>
      <w:marRight w:val="0"/>
      <w:marTop w:val="0"/>
      <w:marBottom w:val="0"/>
      <w:divBdr>
        <w:top w:val="none" w:sz="0" w:space="0" w:color="auto"/>
        <w:left w:val="none" w:sz="0" w:space="0" w:color="auto"/>
        <w:bottom w:val="none" w:sz="0" w:space="0" w:color="auto"/>
        <w:right w:val="none" w:sz="0" w:space="0" w:color="auto"/>
      </w:divBdr>
    </w:div>
    <w:div w:id="230360037">
      <w:bodyDiv w:val="1"/>
      <w:marLeft w:val="0"/>
      <w:marRight w:val="0"/>
      <w:marTop w:val="0"/>
      <w:marBottom w:val="0"/>
      <w:divBdr>
        <w:top w:val="none" w:sz="0" w:space="0" w:color="auto"/>
        <w:left w:val="none" w:sz="0" w:space="0" w:color="auto"/>
        <w:bottom w:val="none" w:sz="0" w:space="0" w:color="auto"/>
        <w:right w:val="none" w:sz="0" w:space="0" w:color="auto"/>
      </w:divBdr>
    </w:div>
    <w:div w:id="252397896">
      <w:bodyDiv w:val="1"/>
      <w:marLeft w:val="0"/>
      <w:marRight w:val="0"/>
      <w:marTop w:val="0"/>
      <w:marBottom w:val="0"/>
      <w:divBdr>
        <w:top w:val="none" w:sz="0" w:space="0" w:color="auto"/>
        <w:left w:val="none" w:sz="0" w:space="0" w:color="auto"/>
        <w:bottom w:val="none" w:sz="0" w:space="0" w:color="auto"/>
        <w:right w:val="none" w:sz="0" w:space="0" w:color="auto"/>
      </w:divBdr>
    </w:div>
    <w:div w:id="257369645">
      <w:bodyDiv w:val="1"/>
      <w:marLeft w:val="0"/>
      <w:marRight w:val="0"/>
      <w:marTop w:val="0"/>
      <w:marBottom w:val="0"/>
      <w:divBdr>
        <w:top w:val="none" w:sz="0" w:space="0" w:color="auto"/>
        <w:left w:val="none" w:sz="0" w:space="0" w:color="auto"/>
        <w:bottom w:val="none" w:sz="0" w:space="0" w:color="auto"/>
        <w:right w:val="none" w:sz="0" w:space="0" w:color="auto"/>
      </w:divBdr>
    </w:div>
    <w:div w:id="270010686">
      <w:bodyDiv w:val="1"/>
      <w:marLeft w:val="0"/>
      <w:marRight w:val="0"/>
      <w:marTop w:val="0"/>
      <w:marBottom w:val="0"/>
      <w:divBdr>
        <w:top w:val="none" w:sz="0" w:space="0" w:color="auto"/>
        <w:left w:val="none" w:sz="0" w:space="0" w:color="auto"/>
        <w:bottom w:val="none" w:sz="0" w:space="0" w:color="auto"/>
        <w:right w:val="none" w:sz="0" w:space="0" w:color="auto"/>
      </w:divBdr>
    </w:div>
    <w:div w:id="278221969">
      <w:bodyDiv w:val="1"/>
      <w:marLeft w:val="0"/>
      <w:marRight w:val="0"/>
      <w:marTop w:val="0"/>
      <w:marBottom w:val="0"/>
      <w:divBdr>
        <w:top w:val="none" w:sz="0" w:space="0" w:color="auto"/>
        <w:left w:val="none" w:sz="0" w:space="0" w:color="auto"/>
        <w:bottom w:val="none" w:sz="0" w:space="0" w:color="auto"/>
        <w:right w:val="none" w:sz="0" w:space="0" w:color="auto"/>
      </w:divBdr>
    </w:div>
    <w:div w:id="278415170">
      <w:bodyDiv w:val="1"/>
      <w:marLeft w:val="0"/>
      <w:marRight w:val="0"/>
      <w:marTop w:val="0"/>
      <w:marBottom w:val="0"/>
      <w:divBdr>
        <w:top w:val="none" w:sz="0" w:space="0" w:color="auto"/>
        <w:left w:val="none" w:sz="0" w:space="0" w:color="auto"/>
        <w:bottom w:val="none" w:sz="0" w:space="0" w:color="auto"/>
        <w:right w:val="none" w:sz="0" w:space="0" w:color="auto"/>
      </w:divBdr>
    </w:div>
    <w:div w:id="283119544">
      <w:bodyDiv w:val="1"/>
      <w:marLeft w:val="0"/>
      <w:marRight w:val="0"/>
      <w:marTop w:val="0"/>
      <w:marBottom w:val="0"/>
      <w:divBdr>
        <w:top w:val="none" w:sz="0" w:space="0" w:color="auto"/>
        <w:left w:val="none" w:sz="0" w:space="0" w:color="auto"/>
        <w:bottom w:val="none" w:sz="0" w:space="0" w:color="auto"/>
        <w:right w:val="none" w:sz="0" w:space="0" w:color="auto"/>
      </w:divBdr>
    </w:div>
    <w:div w:id="283313719">
      <w:bodyDiv w:val="1"/>
      <w:marLeft w:val="0"/>
      <w:marRight w:val="0"/>
      <w:marTop w:val="0"/>
      <w:marBottom w:val="0"/>
      <w:divBdr>
        <w:top w:val="none" w:sz="0" w:space="0" w:color="auto"/>
        <w:left w:val="none" w:sz="0" w:space="0" w:color="auto"/>
        <w:bottom w:val="none" w:sz="0" w:space="0" w:color="auto"/>
        <w:right w:val="none" w:sz="0" w:space="0" w:color="auto"/>
      </w:divBdr>
    </w:div>
    <w:div w:id="288559964">
      <w:bodyDiv w:val="1"/>
      <w:marLeft w:val="0"/>
      <w:marRight w:val="0"/>
      <w:marTop w:val="0"/>
      <w:marBottom w:val="0"/>
      <w:divBdr>
        <w:top w:val="none" w:sz="0" w:space="0" w:color="auto"/>
        <w:left w:val="none" w:sz="0" w:space="0" w:color="auto"/>
        <w:bottom w:val="none" w:sz="0" w:space="0" w:color="auto"/>
        <w:right w:val="none" w:sz="0" w:space="0" w:color="auto"/>
      </w:divBdr>
    </w:div>
    <w:div w:id="289437536">
      <w:bodyDiv w:val="1"/>
      <w:marLeft w:val="0"/>
      <w:marRight w:val="0"/>
      <w:marTop w:val="0"/>
      <w:marBottom w:val="0"/>
      <w:divBdr>
        <w:top w:val="none" w:sz="0" w:space="0" w:color="auto"/>
        <w:left w:val="none" w:sz="0" w:space="0" w:color="auto"/>
        <w:bottom w:val="none" w:sz="0" w:space="0" w:color="auto"/>
        <w:right w:val="none" w:sz="0" w:space="0" w:color="auto"/>
      </w:divBdr>
    </w:div>
    <w:div w:id="291907895">
      <w:bodyDiv w:val="1"/>
      <w:marLeft w:val="0"/>
      <w:marRight w:val="0"/>
      <w:marTop w:val="0"/>
      <w:marBottom w:val="0"/>
      <w:divBdr>
        <w:top w:val="none" w:sz="0" w:space="0" w:color="auto"/>
        <w:left w:val="none" w:sz="0" w:space="0" w:color="auto"/>
        <w:bottom w:val="none" w:sz="0" w:space="0" w:color="auto"/>
        <w:right w:val="none" w:sz="0" w:space="0" w:color="auto"/>
      </w:divBdr>
    </w:div>
    <w:div w:id="295918680">
      <w:bodyDiv w:val="1"/>
      <w:marLeft w:val="0"/>
      <w:marRight w:val="0"/>
      <w:marTop w:val="0"/>
      <w:marBottom w:val="0"/>
      <w:divBdr>
        <w:top w:val="none" w:sz="0" w:space="0" w:color="auto"/>
        <w:left w:val="none" w:sz="0" w:space="0" w:color="auto"/>
        <w:bottom w:val="none" w:sz="0" w:space="0" w:color="auto"/>
        <w:right w:val="none" w:sz="0" w:space="0" w:color="auto"/>
      </w:divBdr>
    </w:div>
    <w:div w:id="308049297">
      <w:bodyDiv w:val="1"/>
      <w:marLeft w:val="0"/>
      <w:marRight w:val="0"/>
      <w:marTop w:val="0"/>
      <w:marBottom w:val="0"/>
      <w:divBdr>
        <w:top w:val="none" w:sz="0" w:space="0" w:color="auto"/>
        <w:left w:val="none" w:sz="0" w:space="0" w:color="auto"/>
        <w:bottom w:val="none" w:sz="0" w:space="0" w:color="auto"/>
        <w:right w:val="none" w:sz="0" w:space="0" w:color="auto"/>
      </w:divBdr>
    </w:div>
    <w:div w:id="309335810">
      <w:bodyDiv w:val="1"/>
      <w:marLeft w:val="0"/>
      <w:marRight w:val="0"/>
      <w:marTop w:val="0"/>
      <w:marBottom w:val="0"/>
      <w:divBdr>
        <w:top w:val="none" w:sz="0" w:space="0" w:color="auto"/>
        <w:left w:val="none" w:sz="0" w:space="0" w:color="auto"/>
        <w:bottom w:val="none" w:sz="0" w:space="0" w:color="auto"/>
        <w:right w:val="none" w:sz="0" w:space="0" w:color="auto"/>
      </w:divBdr>
    </w:div>
    <w:div w:id="321857723">
      <w:bodyDiv w:val="1"/>
      <w:marLeft w:val="0"/>
      <w:marRight w:val="0"/>
      <w:marTop w:val="0"/>
      <w:marBottom w:val="0"/>
      <w:divBdr>
        <w:top w:val="none" w:sz="0" w:space="0" w:color="auto"/>
        <w:left w:val="none" w:sz="0" w:space="0" w:color="auto"/>
        <w:bottom w:val="none" w:sz="0" w:space="0" w:color="auto"/>
        <w:right w:val="none" w:sz="0" w:space="0" w:color="auto"/>
      </w:divBdr>
    </w:div>
    <w:div w:id="327832617">
      <w:bodyDiv w:val="1"/>
      <w:marLeft w:val="0"/>
      <w:marRight w:val="0"/>
      <w:marTop w:val="0"/>
      <w:marBottom w:val="0"/>
      <w:divBdr>
        <w:top w:val="none" w:sz="0" w:space="0" w:color="auto"/>
        <w:left w:val="none" w:sz="0" w:space="0" w:color="auto"/>
        <w:bottom w:val="none" w:sz="0" w:space="0" w:color="auto"/>
        <w:right w:val="none" w:sz="0" w:space="0" w:color="auto"/>
      </w:divBdr>
    </w:div>
    <w:div w:id="330764117">
      <w:bodyDiv w:val="1"/>
      <w:marLeft w:val="0"/>
      <w:marRight w:val="0"/>
      <w:marTop w:val="0"/>
      <w:marBottom w:val="0"/>
      <w:divBdr>
        <w:top w:val="none" w:sz="0" w:space="0" w:color="auto"/>
        <w:left w:val="none" w:sz="0" w:space="0" w:color="auto"/>
        <w:bottom w:val="none" w:sz="0" w:space="0" w:color="auto"/>
        <w:right w:val="none" w:sz="0" w:space="0" w:color="auto"/>
      </w:divBdr>
    </w:div>
    <w:div w:id="337467596">
      <w:bodyDiv w:val="1"/>
      <w:marLeft w:val="0"/>
      <w:marRight w:val="0"/>
      <w:marTop w:val="0"/>
      <w:marBottom w:val="0"/>
      <w:divBdr>
        <w:top w:val="none" w:sz="0" w:space="0" w:color="auto"/>
        <w:left w:val="none" w:sz="0" w:space="0" w:color="auto"/>
        <w:bottom w:val="none" w:sz="0" w:space="0" w:color="auto"/>
        <w:right w:val="none" w:sz="0" w:space="0" w:color="auto"/>
      </w:divBdr>
    </w:div>
    <w:div w:id="344600326">
      <w:bodyDiv w:val="1"/>
      <w:marLeft w:val="0"/>
      <w:marRight w:val="0"/>
      <w:marTop w:val="0"/>
      <w:marBottom w:val="0"/>
      <w:divBdr>
        <w:top w:val="none" w:sz="0" w:space="0" w:color="auto"/>
        <w:left w:val="none" w:sz="0" w:space="0" w:color="auto"/>
        <w:bottom w:val="none" w:sz="0" w:space="0" w:color="auto"/>
        <w:right w:val="none" w:sz="0" w:space="0" w:color="auto"/>
      </w:divBdr>
    </w:div>
    <w:div w:id="348415769">
      <w:bodyDiv w:val="1"/>
      <w:marLeft w:val="0"/>
      <w:marRight w:val="0"/>
      <w:marTop w:val="0"/>
      <w:marBottom w:val="0"/>
      <w:divBdr>
        <w:top w:val="none" w:sz="0" w:space="0" w:color="auto"/>
        <w:left w:val="none" w:sz="0" w:space="0" w:color="auto"/>
        <w:bottom w:val="none" w:sz="0" w:space="0" w:color="auto"/>
        <w:right w:val="none" w:sz="0" w:space="0" w:color="auto"/>
      </w:divBdr>
    </w:div>
    <w:div w:id="350105139">
      <w:bodyDiv w:val="1"/>
      <w:marLeft w:val="0"/>
      <w:marRight w:val="0"/>
      <w:marTop w:val="0"/>
      <w:marBottom w:val="0"/>
      <w:divBdr>
        <w:top w:val="none" w:sz="0" w:space="0" w:color="auto"/>
        <w:left w:val="none" w:sz="0" w:space="0" w:color="auto"/>
        <w:bottom w:val="none" w:sz="0" w:space="0" w:color="auto"/>
        <w:right w:val="none" w:sz="0" w:space="0" w:color="auto"/>
      </w:divBdr>
    </w:div>
    <w:div w:id="350956761">
      <w:bodyDiv w:val="1"/>
      <w:marLeft w:val="0"/>
      <w:marRight w:val="0"/>
      <w:marTop w:val="0"/>
      <w:marBottom w:val="0"/>
      <w:divBdr>
        <w:top w:val="none" w:sz="0" w:space="0" w:color="auto"/>
        <w:left w:val="none" w:sz="0" w:space="0" w:color="auto"/>
        <w:bottom w:val="none" w:sz="0" w:space="0" w:color="auto"/>
        <w:right w:val="none" w:sz="0" w:space="0" w:color="auto"/>
      </w:divBdr>
    </w:div>
    <w:div w:id="351342846">
      <w:bodyDiv w:val="1"/>
      <w:marLeft w:val="0"/>
      <w:marRight w:val="0"/>
      <w:marTop w:val="0"/>
      <w:marBottom w:val="0"/>
      <w:divBdr>
        <w:top w:val="none" w:sz="0" w:space="0" w:color="auto"/>
        <w:left w:val="none" w:sz="0" w:space="0" w:color="auto"/>
        <w:bottom w:val="none" w:sz="0" w:space="0" w:color="auto"/>
        <w:right w:val="none" w:sz="0" w:space="0" w:color="auto"/>
      </w:divBdr>
    </w:div>
    <w:div w:id="353308230">
      <w:bodyDiv w:val="1"/>
      <w:marLeft w:val="0"/>
      <w:marRight w:val="0"/>
      <w:marTop w:val="0"/>
      <w:marBottom w:val="0"/>
      <w:divBdr>
        <w:top w:val="none" w:sz="0" w:space="0" w:color="auto"/>
        <w:left w:val="none" w:sz="0" w:space="0" w:color="auto"/>
        <w:bottom w:val="none" w:sz="0" w:space="0" w:color="auto"/>
        <w:right w:val="none" w:sz="0" w:space="0" w:color="auto"/>
      </w:divBdr>
    </w:div>
    <w:div w:id="353769076">
      <w:bodyDiv w:val="1"/>
      <w:marLeft w:val="0"/>
      <w:marRight w:val="0"/>
      <w:marTop w:val="0"/>
      <w:marBottom w:val="0"/>
      <w:divBdr>
        <w:top w:val="none" w:sz="0" w:space="0" w:color="auto"/>
        <w:left w:val="none" w:sz="0" w:space="0" w:color="auto"/>
        <w:bottom w:val="none" w:sz="0" w:space="0" w:color="auto"/>
        <w:right w:val="none" w:sz="0" w:space="0" w:color="auto"/>
      </w:divBdr>
    </w:div>
    <w:div w:id="355927173">
      <w:bodyDiv w:val="1"/>
      <w:marLeft w:val="0"/>
      <w:marRight w:val="0"/>
      <w:marTop w:val="0"/>
      <w:marBottom w:val="0"/>
      <w:divBdr>
        <w:top w:val="none" w:sz="0" w:space="0" w:color="auto"/>
        <w:left w:val="none" w:sz="0" w:space="0" w:color="auto"/>
        <w:bottom w:val="none" w:sz="0" w:space="0" w:color="auto"/>
        <w:right w:val="none" w:sz="0" w:space="0" w:color="auto"/>
      </w:divBdr>
    </w:div>
    <w:div w:id="358242762">
      <w:bodyDiv w:val="1"/>
      <w:marLeft w:val="0"/>
      <w:marRight w:val="0"/>
      <w:marTop w:val="0"/>
      <w:marBottom w:val="0"/>
      <w:divBdr>
        <w:top w:val="none" w:sz="0" w:space="0" w:color="auto"/>
        <w:left w:val="none" w:sz="0" w:space="0" w:color="auto"/>
        <w:bottom w:val="none" w:sz="0" w:space="0" w:color="auto"/>
        <w:right w:val="none" w:sz="0" w:space="0" w:color="auto"/>
      </w:divBdr>
    </w:div>
    <w:div w:id="371273464">
      <w:bodyDiv w:val="1"/>
      <w:marLeft w:val="0"/>
      <w:marRight w:val="0"/>
      <w:marTop w:val="0"/>
      <w:marBottom w:val="0"/>
      <w:divBdr>
        <w:top w:val="none" w:sz="0" w:space="0" w:color="auto"/>
        <w:left w:val="none" w:sz="0" w:space="0" w:color="auto"/>
        <w:bottom w:val="none" w:sz="0" w:space="0" w:color="auto"/>
        <w:right w:val="none" w:sz="0" w:space="0" w:color="auto"/>
      </w:divBdr>
    </w:div>
    <w:div w:id="390886720">
      <w:bodyDiv w:val="1"/>
      <w:marLeft w:val="0"/>
      <w:marRight w:val="0"/>
      <w:marTop w:val="0"/>
      <w:marBottom w:val="0"/>
      <w:divBdr>
        <w:top w:val="none" w:sz="0" w:space="0" w:color="auto"/>
        <w:left w:val="none" w:sz="0" w:space="0" w:color="auto"/>
        <w:bottom w:val="none" w:sz="0" w:space="0" w:color="auto"/>
        <w:right w:val="none" w:sz="0" w:space="0" w:color="auto"/>
      </w:divBdr>
    </w:div>
    <w:div w:id="397365318">
      <w:bodyDiv w:val="1"/>
      <w:marLeft w:val="0"/>
      <w:marRight w:val="0"/>
      <w:marTop w:val="0"/>
      <w:marBottom w:val="0"/>
      <w:divBdr>
        <w:top w:val="none" w:sz="0" w:space="0" w:color="auto"/>
        <w:left w:val="none" w:sz="0" w:space="0" w:color="auto"/>
        <w:bottom w:val="none" w:sz="0" w:space="0" w:color="auto"/>
        <w:right w:val="none" w:sz="0" w:space="0" w:color="auto"/>
      </w:divBdr>
    </w:div>
    <w:div w:id="406803520">
      <w:bodyDiv w:val="1"/>
      <w:marLeft w:val="0"/>
      <w:marRight w:val="0"/>
      <w:marTop w:val="0"/>
      <w:marBottom w:val="0"/>
      <w:divBdr>
        <w:top w:val="none" w:sz="0" w:space="0" w:color="auto"/>
        <w:left w:val="none" w:sz="0" w:space="0" w:color="auto"/>
        <w:bottom w:val="none" w:sz="0" w:space="0" w:color="auto"/>
        <w:right w:val="none" w:sz="0" w:space="0" w:color="auto"/>
      </w:divBdr>
    </w:div>
    <w:div w:id="409427823">
      <w:bodyDiv w:val="1"/>
      <w:marLeft w:val="0"/>
      <w:marRight w:val="0"/>
      <w:marTop w:val="0"/>
      <w:marBottom w:val="0"/>
      <w:divBdr>
        <w:top w:val="none" w:sz="0" w:space="0" w:color="auto"/>
        <w:left w:val="none" w:sz="0" w:space="0" w:color="auto"/>
        <w:bottom w:val="none" w:sz="0" w:space="0" w:color="auto"/>
        <w:right w:val="none" w:sz="0" w:space="0" w:color="auto"/>
      </w:divBdr>
    </w:div>
    <w:div w:id="411051493">
      <w:bodyDiv w:val="1"/>
      <w:marLeft w:val="0"/>
      <w:marRight w:val="0"/>
      <w:marTop w:val="0"/>
      <w:marBottom w:val="0"/>
      <w:divBdr>
        <w:top w:val="none" w:sz="0" w:space="0" w:color="auto"/>
        <w:left w:val="none" w:sz="0" w:space="0" w:color="auto"/>
        <w:bottom w:val="none" w:sz="0" w:space="0" w:color="auto"/>
        <w:right w:val="none" w:sz="0" w:space="0" w:color="auto"/>
      </w:divBdr>
    </w:div>
    <w:div w:id="420030972">
      <w:bodyDiv w:val="1"/>
      <w:marLeft w:val="0"/>
      <w:marRight w:val="0"/>
      <w:marTop w:val="0"/>
      <w:marBottom w:val="0"/>
      <w:divBdr>
        <w:top w:val="none" w:sz="0" w:space="0" w:color="auto"/>
        <w:left w:val="none" w:sz="0" w:space="0" w:color="auto"/>
        <w:bottom w:val="none" w:sz="0" w:space="0" w:color="auto"/>
        <w:right w:val="none" w:sz="0" w:space="0" w:color="auto"/>
      </w:divBdr>
    </w:div>
    <w:div w:id="443964370">
      <w:bodyDiv w:val="1"/>
      <w:marLeft w:val="0"/>
      <w:marRight w:val="0"/>
      <w:marTop w:val="0"/>
      <w:marBottom w:val="0"/>
      <w:divBdr>
        <w:top w:val="none" w:sz="0" w:space="0" w:color="auto"/>
        <w:left w:val="none" w:sz="0" w:space="0" w:color="auto"/>
        <w:bottom w:val="none" w:sz="0" w:space="0" w:color="auto"/>
        <w:right w:val="none" w:sz="0" w:space="0" w:color="auto"/>
      </w:divBdr>
    </w:div>
    <w:div w:id="445124135">
      <w:bodyDiv w:val="1"/>
      <w:marLeft w:val="0"/>
      <w:marRight w:val="0"/>
      <w:marTop w:val="0"/>
      <w:marBottom w:val="0"/>
      <w:divBdr>
        <w:top w:val="none" w:sz="0" w:space="0" w:color="auto"/>
        <w:left w:val="none" w:sz="0" w:space="0" w:color="auto"/>
        <w:bottom w:val="none" w:sz="0" w:space="0" w:color="auto"/>
        <w:right w:val="none" w:sz="0" w:space="0" w:color="auto"/>
      </w:divBdr>
    </w:div>
    <w:div w:id="448935615">
      <w:bodyDiv w:val="1"/>
      <w:marLeft w:val="0"/>
      <w:marRight w:val="0"/>
      <w:marTop w:val="0"/>
      <w:marBottom w:val="0"/>
      <w:divBdr>
        <w:top w:val="none" w:sz="0" w:space="0" w:color="auto"/>
        <w:left w:val="none" w:sz="0" w:space="0" w:color="auto"/>
        <w:bottom w:val="none" w:sz="0" w:space="0" w:color="auto"/>
        <w:right w:val="none" w:sz="0" w:space="0" w:color="auto"/>
      </w:divBdr>
    </w:div>
    <w:div w:id="450830159">
      <w:bodyDiv w:val="1"/>
      <w:marLeft w:val="0"/>
      <w:marRight w:val="0"/>
      <w:marTop w:val="0"/>
      <w:marBottom w:val="0"/>
      <w:divBdr>
        <w:top w:val="none" w:sz="0" w:space="0" w:color="auto"/>
        <w:left w:val="none" w:sz="0" w:space="0" w:color="auto"/>
        <w:bottom w:val="none" w:sz="0" w:space="0" w:color="auto"/>
        <w:right w:val="none" w:sz="0" w:space="0" w:color="auto"/>
      </w:divBdr>
    </w:div>
    <w:div w:id="457533611">
      <w:bodyDiv w:val="1"/>
      <w:marLeft w:val="0"/>
      <w:marRight w:val="0"/>
      <w:marTop w:val="0"/>
      <w:marBottom w:val="0"/>
      <w:divBdr>
        <w:top w:val="none" w:sz="0" w:space="0" w:color="auto"/>
        <w:left w:val="none" w:sz="0" w:space="0" w:color="auto"/>
        <w:bottom w:val="none" w:sz="0" w:space="0" w:color="auto"/>
        <w:right w:val="none" w:sz="0" w:space="0" w:color="auto"/>
      </w:divBdr>
    </w:div>
    <w:div w:id="460457929">
      <w:bodyDiv w:val="1"/>
      <w:marLeft w:val="0"/>
      <w:marRight w:val="0"/>
      <w:marTop w:val="0"/>
      <w:marBottom w:val="0"/>
      <w:divBdr>
        <w:top w:val="none" w:sz="0" w:space="0" w:color="auto"/>
        <w:left w:val="none" w:sz="0" w:space="0" w:color="auto"/>
        <w:bottom w:val="none" w:sz="0" w:space="0" w:color="auto"/>
        <w:right w:val="none" w:sz="0" w:space="0" w:color="auto"/>
      </w:divBdr>
    </w:div>
    <w:div w:id="483739525">
      <w:bodyDiv w:val="1"/>
      <w:marLeft w:val="0"/>
      <w:marRight w:val="0"/>
      <w:marTop w:val="0"/>
      <w:marBottom w:val="0"/>
      <w:divBdr>
        <w:top w:val="none" w:sz="0" w:space="0" w:color="auto"/>
        <w:left w:val="none" w:sz="0" w:space="0" w:color="auto"/>
        <w:bottom w:val="none" w:sz="0" w:space="0" w:color="auto"/>
        <w:right w:val="none" w:sz="0" w:space="0" w:color="auto"/>
      </w:divBdr>
    </w:div>
    <w:div w:id="487357869">
      <w:bodyDiv w:val="1"/>
      <w:marLeft w:val="0"/>
      <w:marRight w:val="0"/>
      <w:marTop w:val="0"/>
      <w:marBottom w:val="0"/>
      <w:divBdr>
        <w:top w:val="none" w:sz="0" w:space="0" w:color="auto"/>
        <w:left w:val="none" w:sz="0" w:space="0" w:color="auto"/>
        <w:bottom w:val="none" w:sz="0" w:space="0" w:color="auto"/>
        <w:right w:val="none" w:sz="0" w:space="0" w:color="auto"/>
      </w:divBdr>
    </w:div>
    <w:div w:id="488718354">
      <w:bodyDiv w:val="1"/>
      <w:marLeft w:val="0"/>
      <w:marRight w:val="0"/>
      <w:marTop w:val="0"/>
      <w:marBottom w:val="0"/>
      <w:divBdr>
        <w:top w:val="none" w:sz="0" w:space="0" w:color="auto"/>
        <w:left w:val="none" w:sz="0" w:space="0" w:color="auto"/>
        <w:bottom w:val="none" w:sz="0" w:space="0" w:color="auto"/>
        <w:right w:val="none" w:sz="0" w:space="0" w:color="auto"/>
      </w:divBdr>
    </w:div>
    <w:div w:id="496655050">
      <w:bodyDiv w:val="1"/>
      <w:marLeft w:val="0"/>
      <w:marRight w:val="0"/>
      <w:marTop w:val="0"/>
      <w:marBottom w:val="0"/>
      <w:divBdr>
        <w:top w:val="none" w:sz="0" w:space="0" w:color="auto"/>
        <w:left w:val="none" w:sz="0" w:space="0" w:color="auto"/>
        <w:bottom w:val="none" w:sz="0" w:space="0" w:color="auto"/>
        <w:right w:val="none" w:sz="0" w:space="0" w:color="auto"/>
      </w:divBdr>
    </w:div>
    <w:div w:id="497694579">
      <w:bodyDiv w:val="1"/>
      <w:marLeft w:val="0"/>
      <w:marRight w:val="0"/>
      <w:marTop w:val="0"/>
      <w:marBottom w:val="0"/>
      <w:divBdr>
        <w:top w:val="none" w:sz="0" w:space="0" w:color="auto"/>
        <w:left w:val="none" w:sz="0" w:space="0" w:color="auto"/>
        <w:bottom w:val="none" w:sz="0" w:space="0" w:color="auto"/>
        <w:right w:val="none" w:sz="0" w:space="0" w:color="auto"/>
      </w:divBdr>
    </w:div>
    <w:div w:id="500201141">
      <w:bodyDiv w:val="1"/>
      <w:marLeft w:val="0"/>
      <w:marRight w:val="0"/>
      <w:marTop w:val="0"/>
      <w:marBottom w:val="0"/>
      <w:divBdr>
        <w:top w:val="none" w:sz="0" w:space="0" w:color="auto"/>
        <w:left w:val="none" w:sz="0" w:space="0" w:color="auto"/>
        <w:bottom w:val="none" w:sz="0" w:space="0" w:color="auto"/>
        <w:right w:val="none" w:sz="0" w:space="0" w:color="auto"/>
      </w:divBdr>
    </w:div>
    <w:div w:id="509759507">
      <w:bodyDiv w:val="1"/>
      <w:marLeft w:val="0"/>
      <w:marRight w:val="0"/>
      <w:marTop w:val="0"/>
      <w:marBottom w:val="0"/>
      <w:divBdr>
        <w:top w:val="none" w:sz="0" w:space="0" w:color="auto"/>
        <w:left w:val="none" w:sz="0" w:space="0" w:color="auto"/>
        <w:bottom w:val="none" w:sz="0" w:space="0" w:color="auto"/>
        <w:right w:val="none" w:sz="0" w:space="0" w:color="auto"/>
      </w:divBdr>
    </w:div>
    <w:div w:id="517161047">
      <w:bodyDiv w:val="1"/>
      <w:marLeft w:val="0"/>
      <w:marRight w:val="0"/>
      <w:marTop w:val="0"/>
      <w:marBottom w:val="0"/>
      <w:divBdr>
        <w:top w:val="none" w:sz="0" w:space="0" w:color="auto"/>
        <w:left w:val="none" w:sz="0" w:space="0" w:color="auto"/>
        <w:bottom w:val="none" w:sz="0" w:space="0" w:color="auto"/>
        <w:right w:val="none" w:sz="0" w:space="0" w:color="auto"/>
      </w:divBdr>
    </w:div>
    <w:div w:id="544218179">
      <w:bodyDiv w:val="1"/>
      <w:marLeft w:val="0"/>
      <w:marRight w:val="0"/>
      <w:marTop w:val="0"/>
      <w:marBottom w:val="0"/>
      <w:divBdr>
        <w:top w:val="none" w:sz="0" w:space="0" w:color="auto"/>
        <w:left w:val="none" w:sz="0" w:space="0" w:color="auto"/>
        <w:bottom w:val="none" w:sz="0" w:space="0" w:color="auto"/>
        <w:right w:val="none" w:sz="0" w:space="0" w:color="auto"/>
      </w:divBdr>
    </w:div>
    <w:div w:id="547186604">
      <w:bodyDiv w:val="1"/>
      <w:marLeft w:val="0"/>
      <w:marRight w:val="0"/>
      <w:marTop w:val="0"/>
      <w:marBottom w:val="0"/>
      <w:divBdr>
        <w:top w:val="none" w:sz="0" w:space="0" w:color="auto"/>
        <w:left w:val="none" w:sz="0" w:space="0" w:color="auto"/>
        <w:bottom w:val="none" w:sz="0" w:space="0" w:color="auto"/>
        <w:right w:val="none" w:sz="0" w:space="0" w:color="auto"/>
      </w:divBdr>
    </w:div>
    <w:div w:id="548568474">
      <w:bodyDiv w:val="1"/>
      <w:marLeft w:val="0"/>
      <w:marRight w:val="0"/>
      <w:marTop w:val="0"/>
      <w:marBottom w:val="0"/>
      <w:divBdr>
        <w:top w:val="none" w:sz="0" w:space="0" w:color="auto"/>
        <w:left w:val="none" w:sz="0" w:space="0" w:color="auto"/>
        <w:bottom w:val="none" w:sz="0" w:space="0" w:color="auto"/>
        <w:right w:val="none" w:sz="0" w:space="0" w:color="auto"/>
      </w:divBdr>
    </w:div>
    <w:div w:id="552424746">
      <w:bodyDiv w:val="1"/>
      <w:marLeft w:val="0"/>
      <w:marRight w:val="0"/>
      <w:marTop w:val="0"/>
      <w:marBottom w:val="0"/>
      <w:divBdr>
        <w:top w:val="none" w:sz="0" w:space="0" w:color="auto"/>
        <w:left w:val="none" w:sz="0" w:space="0" w:color="auto"/>
        <w:bottom w:val="none" w:sz="0" w:space="0" w:color="auto"/>
        <w:right w:val="none" w:sz="0" w:space="0" w:color="auto"/>
      </w:divBdr>
    </w:div>
    <w:div w:id="552733103">
      <w:bodyDiv w:val="1"/>
      <w:marLeft w:val="0"/>
      <w:marRight w:val="0"/>
      <w:marTop w:val="0"/>
      <w:marBottom w:val="0"/>
      <w:divBdr>
        <w:top w:val="none" w:sz="0" w:space="0" w:color="auto"/>
        <w:left w:val="none" w:sz="0" w:space="0" w:color="auto"/>
        <w:bottom w:val="none" w:sz="0" w:space="0" w:color="auto"/>
        <w:right w:val="none" w:sz="0" w:space="0" w:color="auto"/>
      </w:divBdr>
    </w:div>
    <w:div w:id="582104063">
      <w:bodyDiv w:val="1"/>
      <w:marLeft w:val="0"/>
      <w:marRight w:val="0"/>
      <w:marTop w:val="0"/>
      <w:marBottom w:val="0"/>
      <w:divBdr>
        <w:top w:val="none" w:sz="0" w:space="0" w:color="auto"/>
        <w:left w:val="none" w:sz="0" w:space="0" w:color="auto"/>
        <w:bottom w:val="none" w:sz="0" w:space="0" w:color="auto"/>
        <w:right w:val="none" w:sz="0" w:space="0" w:color="auto"/>
      </w:divBdr>
    </w:div>
    <w:div w:id="595868511">
      <w:bodyDiv w:val="1"/>
      <w:marLeft w:val="0"/>
      <w:marRight w:val="0"/>
      <w:marTop w:val="0"/>
      <w:marBottom w:val="0"/>
      <w:divBdr>
        <w:top w:val="none" w:sz="0" w:space="0" w:color="auto"/>
        <w:left w:val="none" w:sz="0" w:space="0" w:color="auto"/>
        <w:bottom w:val="none" w:sz="0" w:space="0" w:color="auto"/>
        <w:right w:val="none" w:sz="0" w:space="0" w:color="auto"/>
      </w:divBdr>
    </w:div>
    <w:div w:id="605650747">
      <w:bodyDiv w:val="1"/>
      <w:marLeft w:val="0"/>
      <w:marRight w:val="0"/>
      <w:marTop w:val="0"/>
      <w:marBottom w:val="0"/>
      <w:divBdr>
        <w:top w:val="none" w:sz="0" w:space="0" w:color="auto"/>
        <w:left w:val="none" w:sz="0" w:space="0" w:color="auto"/>
        <w:bottom w:val="none" w:sz="0" w:space="0" w:color="auto"/>
        <w:right w:val="none" w:sz="0" w:space="0" w:color="auto"/>
      </w:divBdr>
    </w:div>
    <w:div w:id="608851391">
      <w:bodyDiv w:val="1"/>
      <w:marLeft w:val="0"/>
      <w:marRight w:val="0"/>
      <w:marTop w:val="0"/>
      <w:marBottom w:val="0"/>
      <w:divBdr>
        <w:top w:val="none" w:sz="0" w:space="0" w:color="auto"/>
        <w:left w:val="none" w:sz="0" w:space="0" w:color="auto"/>
        <w:bottom w:val="none" w:sz="0" w:space="0" w:color="auto"/>
        <w:right w:val="none" w:sz="0" w:space="0" w:color="auto"/>
      </w:divBdr>
    </w:div>
    <w:div w:id="612131143">
      <w:bodyDiv w:val="1"/>
      <w:marLeft w:val="0"/>
      <w:marRight w:val="0"/>
      <w:marTop w:val="0"/>
      <w:marBottom w:val="0"/>
      <w:divBdr>
        <w:top w:val="none" w:sz="0" w:space="0" w:color="auto"/>
        <w:left w:val="none" w:sz="0" w:space="0" w:color="auto"/>
        <w:bottom w:val="none" w:sz="0" w:space="0" w:color="auto"/>
        <w:right w:val="none" w:sz="0" w:space="0" w:color="auto"/>
      </w:divBdr>
    </w:div>
    <w:div w:id="614097216">
      <w:bodyDiv w:val="1"/>
      <w:marLeft w:val="0"/>
      <w:marRight w:val="0"/>
      <w:marTop w:val="0"/>
      <w:marBottom w:val="0"/>
      <w:divBdr>
        <w:top w:val="none" w:sz="0" w:space="0" w:color="auto"/>
        <w:left w:val="none" w:sz="0" w:space="0" w:color="auto"/>
        <w:bottom w:val="none" w:sz="0" w:space="0" w:color="auto"/>
        <w:right w:val="none" w:sz="0" w:space="0" w:color="auto"/>
      </w:divBdr>
    </w:div>
    <w:div w:id="628438289">
      <w:bodyDiv w:val="1"/>
      <w:marLeft w:val="0"/>
      <w:marRight w:val="0"/>
      <w:marTop w:val="0"/>
      <w:marBottom w:val="0"/>
      <w:divBdr>
        <w:top w:val="none" w:sz="0" w:space="0" w:color="auto"/>
        <w:left w:val="none" w:sz="0" w:space="0" w:color="auto"/>
        <w:bottom w:val="none" w:sz="0" w:space="0" w:color="auto"/>
        <w:right w:val="none" w:sz="0" w:space="0" w:color="auto"/>
      </w:divBdr>
    </w:div>
    <w:div w:id="628556624">
      <w:bodyDiv w:val="1"/>
      <w:marLeft w:val="0"/>
      <w:marRight w:val="0"/>
      <w:marTop w:val="0"/>
      <w:marBottom w:val="0"/>
      <w:divBdr>
        <w:top w:val="none" w:sz="0" w:space="0" w:color="auto"/>
        <w:left w:val="none" w:sz="0" w:space="0" w:color="auto"/>
        <w:bottom w:val="none" w:sz="0" w:space="0" w:color="auto"/>
        <w:right w:val="none" w:sz="0" w:space="0" w:color="auto"/>
      </w:divBdr>
    </w:div>
    <w:div w:id="629626701">
      <w:bodyDiv w:val="1"/>
      <w:marLeft w:val="0"/>
      <w:marRight w:val="0"/>
      <w:marTop w:val="0"/>
      <w:marBottom w:val="0"/>
      <w:divBdr>
        <w:top w:val="none" w:sz="0" w:space="0" w:color="auto"/>
        <w:left w:val="none" w:sz="0" w:space="0" w:color="auto"/>
        <w:bottom w:val="none" w:sz="0" w:space="0" w:color="auto"/>
        <w:right w:val="none" w:sz="0" w:space="0" w:color="auto"/>
      </w:divBdr>
    </w:div>
    <w:div w:id="645282864">
      <w:bodyDiv w:val="1"/>
      <w:marLeft w:val="0"/>
      <w:marRight w:val="0"/>
      <w:marTop w:val="0"/>
      <w:marBottom w:val="0"/>
      <w:divBdr>
        <w:top w:val="none" w:sz="0" w:space="0" w:color="auto"/>
        <w:left w:val="none" w:sz="0" w:space="0" w:color="auto"/>
        <w:bottom w:val="none" w:sz="0" w:space="0" w:color="auto"/>
        <w:right w:val="none" w:sz="0" w:space="0" w:color="auto"/>
      </w:divBdr>
    </w:div>
    <w:div w:id="646325264">
      <w:bodyDiv w:val="1"/>
      <w:marLeft w:val="0"/>
      <w:marRight w:val="0"/>
      <w:marTop w:val="0"/>
      <w:marBottom w:val="0"/>
      <w:divBdr>
        <w:top w:val="none" w:sz="0" w:space="0" w:color="auto"/>
        <w:left w:val="none" w:sz="0" w:space="0" w:color="auto"/>
        <w:bottom w:val="none" w:sz="0" w:space="0" w:color="auto"/>
        <w:right w:val="none" w:sz="0" w:space="0" w:color="auto"/>
      </w:divBdr>
    </w:div>
    <w:div w:id="658001429">
      <w:bodyDiv w:val="1"/>
      <w:marLeft w:val="0"/>
      <w:marRight w:val="0"/>
      <w:marTop w:val="0"/>
      <w:marBottom w:val="0"/>
      <w:divBdr>
        <w:top w:val="none" w:sz="0" w:space="0" w:color="auto"/>
        <w:left w:val="none" w:sz="0" w:space="0" w:color="auto"/>
        <w:bottom w:val="none" w:sz="0" w:space="0" w:color="auto"/>
        <w:right w:val="none" w:sz="0" w:space="0" w:color="auto"/>
      </w:divBdr>
    </w:div>
    <w:div w:id="661467624">
      <w:bodyDiv w:val="1"/>
      <w:marLeft w:val="0"/>
      <w:marRight w:val="0"/>
      <w:marTop w:val="0"/>
      <w:marBottom w:val="0"/>
      <w:divBdr>
        <w:top w:val="none" w:sz="0" w:space="0" w:color="auto"/>
        <w:left w:val="none" w:sz="0" w:space="0" w:color="auto"/>
        <w:bottom w:val="none" w:sz="0" w:space="0" w:color="auto"/>
        <w:right w:val="none" w:sz="0" w:space="0" w:color="auto"/>
      </w:divBdr>
    </w:div>
    <w:div w:id="662318466">
      <w:bodyDiv w:val="1"/>
      <w:marLeft w:val="0"/>
      <w:marRight w:val="0"/>
      <w:marTop w:val="0"/>
      <w:marBottom w:val="0"/>
      <w:divBdr>
        <w:top w:val="none" w:sz="0" w:space="0" w:color="auto"/>
        <w:left w:val="none" w:sz="0" w:space="0" w:color="auto"/>
        <w:bottom w:val="none" w:sz="0" w:space="0" w:color="auto"/>
        <w:right w:val="none" w:sz="0" w:space="0" w:color="auto"/>
      </w:divBdr>
    </w:div>
    <w:div w:id="662970016">
      <w:bodyDiv w:val="1"/>
      <w:marLeft w:val="0"/>
      <w:marRight w:val="0"/>
      <w:marTop w:val="0"/>
      <w:marBottom w:val="0"/>
      <w:divBdr>
        <w:top w:val="none" w:sz="0" w:space="0" w:color="auto"/>
        <w:left w:val="none" w:sz="0" w:space="0" w:color="auto"/>
        <w:bottom w:val="none" w:sz="0" w:space="0" w:color="auto"/>
        <w:right w:val="none" w:sz="0" w:space="0" w:color="auto"/>
      </w:divBdr>
    </w:div>
    <w:div w:id="669256516">
      <w:bodyDiv w:val="1"/>
      <w:marLeft w:val="0"/>
      <w:marRight w:val="0"/>
      <w:marTop w:val="0"/>
      <w:marBottom w:val="0"/>
      <w:divBdr>
        <w:top w:val="none" w:sz="0" w:space="0" w:color="auto"/>
        <w:left w:val="none" w:sz="0" w:space="0" w:color="auto"/>
        <w:bottom w:val="none" w:sz="0" w:space="0" w:color="auto"/>
        <w:right w:val="none" w:sz="0" w:space="0" w:color="auto"/>
      </w:divBdr>
    </w:div>
    <w:div w:id="707610922">
      <w:bodyDiv w:val="1"/>
      <w:marLeft w:val="0"/>
      <w:marRight w:val="0"/>
      <w:marTop w:val="0"/>
      <w:marBottom w:val="0"/>
      <w:divBdr>
        <w:top w:val="none" w:sz="0" w:space="0" w:color="auto"/>
        <w:left w:val="none" w:sz="0" w:space="0" w:color="auto"/>
        <w:bottom w:val="none" w:sz="0" w:space="0" w:color="auto"/>
        <w:right w:val="none" w:sz="0" w:space="0" w:color="auto"/>
      </w:divBdr>
    </w:div>
    <w:div w:id="716781973">
      <w:bodyDiv w:val="1"/>
      <w:marLeft w:val="0"/>
      <w:marRight w:val="0"/>
      <w:marTop w:val="0"/>
      <w:marBottom w:val="0"/>
      <w:divBdr>
        <w:top w:val="none" w:sz="0" w:space="0" w:color="auto"/>
        <w:left w:val="none" w:sz="0" w:space="0" w:color="auto"/>
        <w:bottom w:val="none" w:sz="0" w:space="0" w:color="auto"/>
        <w:right w:val="none" w:sz="0" w:space="0" w:color="auto"/>
      </w:divBdr>
    </w:div>
    <w:div w:id="723068604">
      <w:bodyDiv w:val="1"/>
      <w:marLeft w:val="0"/>
      <w:marRight w:val="0"/>
      <w:marTop w:val="0"/>
      <w:marBottom w:val="0"/>
      <w:divBdr>
        <w:top w:val="none" w:sz="0" w:space="0" w:color="auto"/>
        <w:left w:val="none" w:sz="0" w:space="0" w:color="auto"/>
        <w:bottom w:val="none" w:sz="0" w:space="0" w:color="auto"/>
        <w:right w:val="none" w:sz="0" w:space="0" w:color="auto"/>
      </w:divBdr>
    </w:div>
    <w:div w:id="731386883">
      <w:bodyDiv w:val="1"/>
      <w:marLeft w:val="0"/>
      <w:marRight w:val="0"/>
      <w:marTop w:val="0"/>
      <w:marBottom w:val="0"/>
      <w:divBdr>
        <w:top w:val="none" w:sz="0" w:space="0" w:color="auto"/>
        <w:left w:val="none" w:sz="0" w:space="0" w:color="auto"/>
        <w:bottom w:val="none" w:sz="0" w:space="0" w:color="auto"/>
        <w:right w:val="none" w:sz="0" w:space="0" w:color="auto"/>
      </w:divBdr>
    </w:div>
    <w:div w:id="738096685">
      <w:bodyDiv w:val="1"/>
      <w:marLeft w:val="0"/>
      <w:marRight w:val="0"/>
      <w:marTop w:val="0"/>
      <w:marBottom w:val="0"/>
      <w:divBdr>
        <w:top w:val="none" w:sz="0" w:space="0" w:color="auto"/>
        <w:left w:val="none" w:sz="0" w:space="0" w:color="auto"/>
        <w:bottom w:val="none" w:sz="0" w:space="0" w:color="auto"/>
        <w:right w:val="none" w:sz="0" w:space="0" w:color="auto"/>
      </w:divBdr>
    </w:div>
    <w:div w:id="743450225">
      <w:bodyDiv w:val="1"/>
      <w:marLeft w:val="0"/>
      <w:marRight w:val="0"/>
      <w:marTop w:val="0"/>
      <w:marBottom w:val="0"/>
      <w:divBdr>
        <w:top w:val="none" w:sz="0" w:space="0" w:color="auto"/>
        <w:left w:val="none" w:sz="0" w:space="0" w:color="auto"/>
        <w:bottom w:val="none" w:sz="0" w:space="0" w:color="auto"/>
        <w:right w:val="none" w:sz="0" w:space="0" w:color="auto"/>
      </w:divBdr>
    </w:div>
    <w:div w:id="750780821">
      <w:bodyDiv w:val="1"/>
      <w:marLeft w:val="0"/>
      <w:marRight w:val="0"/>
      <w:marTop w:val="0"/>
      <w:marBottom w:val="0"/>
      <w:divBdr>
        <w:top w:val="none" w:sz="0" w:space="0" w:color="auto"/>
        <w:left w:val="none" w:sz="0" w:space="0" w:color="auto"/>
        <w:bottom w:val="none" w:sz="0" w:space="0" w:color="auto"/>
        <w:right w:val="none" w:sz="0" w:space="0" w:color="auto"/>
      </w:divBdr>
    </w:div>
    <w:div w:id="756514618">
      <w:bodyDiv w:val="1"/>
      <w:marLeft w:val="0"/>
      <w:marRight w:val="0"/>
      <w:marTop w:val="0"/>
      <w:marBottom w:val="0"/>
      <w:divBdr>
        <w:top w:val="none" w:sz="0" w:space="0" w:color="auto"/>
        <w:left w:val="none" w:sz="0" w:space="0" w:color="auto"/>
        <w:bottom w:val="none" w:sz="0" w:space="0" w:color="auto"/>
        <w:right w:val="none" w:sz="0" w:space="0" w:color="auto"/>
      </w:divBdr>
    </w:div>
    <w:div w:id="762839468">
      <w:bodyDiv w:val="1"/>
      <w:marLeft w:val="0"/>
      <w:marRight w:val="0"/>
      <w:marTop w:val="0"/>
      <w:marBottom w:val="0"/>
      <w:divBdr>
        <w:top w:val="none" w:sz="0" w:space="0" w:color="auto"/>
        <w:left w:val="none" w:sz="0" w:space="0" w:color="auto"/>
        <w:bottom w:val="none" w:sz="0" w:space="0" w:color="auto"/>
        <w:right w:val="none" w:sz="0" w:space="0" w:color="auto"/>
      </w:divBdr>
    </w:div>
    <w:div w:id="770048791">
      <w:bodyDiv w:val="1"/>
      <w:marLeft w:val="0"/>
      <w:marRight w:val="0"/>
      <w:marTop w:val="0"/>
      <w:marBottom w:val="0"/>
      <w:divBdr>
        <w:top w:val="none" w:sz="0" w:space="0" w:color="auto"/>
        <w:left w:val="none" w:sz="0" w:space="0" w:color="auto"/>
        <w:bottom w:val="none" w:sz="0" w:space="0" w:color="auto"/>
        <w:right w:val="none" w:sz="0" w:space="0" w:color="auto"/>
      </w:divBdr>
    </w:div>
    <w:div w:id="777138228">
      <w:bodyDiv w:val="1"/>
      <w:marLeft w:val="0"/>
      <w:marRight w:val="0"/>
      <w:marTop w:val="0"/>
      <w:marBottom w:val="0"/>
      <w:divBdr>
        <w:top w:val="none" w:sz="0" w:space="0" w:color="auto"/>
        <w:left w:val="none" w:sz="0" w:space="0" w:color="auto"/>
        <w:bottom w:val="none" w:sz="0" w:space="0" w:color="auto"/>
        <w:right w:val="none" w:sz="0" w:space="0" w:color="auto"/>
      </w:divBdr>
    </w:div>
    <w:div w:id="803889771">
      <w:bodyDiv w:val="1"/>
      <w:marLeft w:val="0"/>
      <w:marRight w:val="0"/>
      <w:marTop w:val="0"/>
      <w:marBottom w:val="0"/>
      <w:divBdr>
        <w:top w:val="none" w:sz="0" w:space="0" w:color="auto"/>
        <w:left w:val="none" w:sz="0" w:space="0" w:color="auto"/>
        <w:bottom w:val="none" w:sz="0" w:space="0" w:color="auto"/>
        <w:right w:val="none" w:sz="0" w:space="0" w:color="auto"/>
      </w:divBdr>
    </w:div>
    <w:div w:id="804548161">
      <w:bodyDiv w:val="1"/>
      <w:marLeft w:val="0"/>
      <w:marRight w:val="0"/>
      <w:marTop w:val="0"/>
      <w:marBottom w:val="0"/>
      <w:divBdr>
        <w:top w:val="none" w:sz="0" w:space="0" w:color="auto"/>
        <w:left w:val="none" w:sz="0" w:space="0" w:color="auto"/>
        <w:bottom w:val="none" w:sz="0" w:space="0" w:color="auto"/>
        <w:right w:val="none" w:sz="0" w:space="0" w:color="auto"/>
      </w:divBdr>
    </w:div>
    <w:div w:id="818226358">
      <w:bodyDiv w:val="1"/>
      <w:marLeft w:val="0"/>
      <w:marRight w:val="0"/>
      <w:marTop w:val="0"/>
      <w:marBottom w:val="0"/>
      <w:divBdr>
        <w:top w:val="none" w:sz="0" w:space="0" w:color="auto"/>
        <w:left w:val="none" w:sz="0" w:space="0" w:color="auto"/>
        <w:bottom w:val="none" w:sz="0" w:space="0" w:color="auto"/>
        <w:right w:val="none" w:sz="0" w:space="0" w:color="auto"/>
      </w:divBdr>
    </w:div>
    <w:div w:id="830410743">
      <w:bodyDiv w:val="1"/>
      <w:marLeft w:val="0"/>
      <w:marRight w:val="0"/>
      <w:marTop w:val="0"/>
      <w:marBottom w:val="0"/>
      <w:divBdr>
        <w:top w:val="none" w:sz="0" w:space="0" w:color="auto"/>
        <w:left w:val="none" w:sz="0" w:space="0" w:color="auto"/>
        <w:bottom w:val="none" w:sz="0" w:space="0" w:color="auto"/>
        <w:right w:val="none" w:sz="0" w:space="0" w:color="auto"/>
      </w:divBdr>
    </w:div>
    <w:div w:id="835416253">
      <w:bodyDiv w:val="1"/>
      <w:marLeft w:val="0"/>
      <w:marRight w:val="0"/>
      <w:marTop w:val="0"/>
      <w:marBottom w:val="0"/>
      <w:divBdr>
        <w:top w:val="none" w:sz="0" w:space="0" w:color="auto"/>
        <w:left w:val="none" w:sz="0" w:space="0" w:color="auto"/>
        <w:bottom w:val="none" w:sz="0" w:space="0" w:color="auto"/>
        <w:right w:val="none" w:sz="0" w:space="0" w:color="auto"/>
      </w:divBdr>
    </w:div>
    <w:div w:id="842011553">
      <w:bodyDiv w:val="1"/>
      <w:marLeft w:val="0"/>
      <w:marRight w:val="0"/>
      <w:marTop w:val="0"/>
      <w:marBottom w:val="0"/>
      <w:divBdr>
        <w:top w:val="none" w:sz="0" w:space="0" w:color="auto"/>
        <w:left w:val="none" w:sz="0" w:space="0" w:color="auto"/>
        <w:bottom w:val="none" w:sz="0" w:space="0" w:color="auto"/>
        <w:right w:val="none" w:sz="0" w:space="0" w:color="auto"/>
      </w:divBdr>
    </w:div>
    <w:div w:id="855532932">
      <w:bodyDiv w:val="1"/>
      <w:marLeft w:val="0"/>
      <w:marRight w:val="0"/>
      <w:marTop w:val="0"/>
      <w:marBottom w:val="0"/>
      <w:divBdr>
        <w:top w:val="none" w:sz="0" w:space="0" w:color="auto"/>
        <w:left w:val="none" w:sz="0" w:space="0" w:color="auto"/>
        <w:bottom w:val="none" w:sz="0" w:space="0" w:color="auto"/>
        <w:right w:val="none" w:sz="0" w:space="0" w:color="auto"/>
      </w:divBdr>
    </w:div>
    <w:div w:id="859784612">
      <w:bodyDiv w:val="1"/>
      <w:marLeft w:val="0"/>
      <w:marRight w:val="0"/>
      <w:marTop w:val="0"/>
      <w:marBottom w:val="0"/>
      <w:divBdr>
        <w:top w:val="none" w:sz="0" w:space="0" w:color="auto"/>
        <w:left w:val="none" w:sz="0" w:space="0" w:color="auto"/>
        <w:bottom w:val="none" w:sz="0" w:space="0" w:color="auto"/>
        <w:right w:val="none" w:sz="0" w:space="0" w:color="auto"/>
      </w:divBdr>
    </w:div>
    <w:div w:id="871267766">
      <w:bodyDiv w:val="1"/>
      <w:marLeft w:val="0"/>
      <w:marRight w:val="0"/>
      <w:marTop w:val="0"/>
      <w:marBottom w:val="0"/>
      <w:divBdr>
        <w:top w:val="none" w:sz="0" w:space="0" w:color="auto"/>
        <w:left w:val="none" w:sz="0" w:space="0" w:color="auto"/>
        <w:bottom w:val="none" w:sz="0" w:space="0" w:color="auto"/>
        <w:right w:val="none" w:sz="0" w:space="0" w:color="auto"/>
      </w:divBdr>
    </w:div>
    <w:div w:id="871499584">
      <w:bodyDiv w:val="1"/>
      <w:marLeft w:val="0"/>
      <w:marRight w:val="0"/>
      <w:marTop w:val="0"/>
      <w:marBottom w:val="0"/>
      <w:divBdr>
        <w:top w:val="none" w:sz="0" w:space="0" w:color="auto"/>
        <w:left w:val="none" w:sz="0" w:space="0" w:color="auto"/>
        <w:bottom w:val="none" w:sz="0" w:space="0" w:color="auto"/>
        <w:right w:val="none" w:sz="0" w:space="0" w:color="auto"/>
      </w:divBdr>
    </w:div>
    <w:div w:id="893201655">
      <w:bodyDiv w:val="1"/>
      <w:marLeft w:val="0"/>
      <w:marRight w:val="0"/>
      <w:marTop w:val="0"/>
      <w:marBottom w:val="0"/>
      <w:divBdr>
        <w:top w:val="none" w:sz="0" w:space="0" w:color="auto"/>
        <w:left w:val="none" w:sz="0" w:space="0" w:color="auto"/>
        <w:bottom w:val="none" w:sz="0" w:space="0" w:color="auto"/>
        <w:right w:val="none" w:sz="0" w:space="0" w:color="auto"/>
      </w:divBdr>
    </w:div>
    <w:div w:id="895161554">
      <w:bodyDiv w:val="1"/>
      <w:marLeft w:val="0"/>
      <w:marRight w:val="0"/>
      <w:marTop w:val="0"/>
      <w:marBottom w:val="0"/>
      <w:divBdr>
        <w:top w:val="none" w:sz="0" w:space="0" w:color="auto"/>
        <w:left w:val="none" w:sz="0" w:space="0" w:color="auto"/>
        <w:bottom w:val="none" w:sz="0" w:space="0" w:color="auto"/>
        <w:right w:val="none" w:sz="0" w:space="0" w:color="auto"/>
      </w:divBdr>
    </w:div>
    <w:div w:id="904536310">
      <w:bodyDiv w:val="1"/>
      <w:marLeft w:val="0"/>
      <w:marRight w:val="0"/>
      <w:marTop w:val="0"/>
      <w:marBottom w:val="0"/>
      <w:divBdr>
        <w:top w:val="none" w:sz="0" w:space="0" w:color="auto"/>
        <w:left w:val="none" w:sz="0" w:space="0" w:color="auto"/>
        <w:bottom w:val="none" w:sz="0" w:space="0" w:color="auto"/>
        <w:right w:val="none" w:sz="0" w:space="0" w:color="auto"/>
      </w:divBdr>
    </w:div>
    <w:div w:id="904679296">
      <w:bodyDiv w:val="1"/>
      <w:marLeft w:val="0"/>
      <w:marRight w:val="0"/>
      <w:marTop w:val="0"/>
      <w:marBottom w:val="0"/>
      <w:divBdr>
        <w:top w:val="none" w:sz="0" w:space="0" w:color="auto"/>
        <w:left w:val="none" w:sz="0" w:space="0" w:color="auto"/>
        <w:bottom w:val="none" w:sz="0" w:space="0" w:color="auto"/>
        <w:right w:val="none" w:sz="0" w:space="0" w:color="auto"/>
      </w:divBdr>
    </w:div>
    <w:div w:id="905724032">
      <w:bodyDiv w:val="1"/>
      <w:marLeft w:val="0"/>
      <w:marRight w:val="0"/>
      <w:marTop w:val="0"/>
      <w:marBottom w:val="0"/>
      <w:divBdr>
        <w:top w:val="none" w:sz="0" w:space="0" w:color="auto"/>
        <w:left w:val="none" w:sz="0" w:space="0" w:color="auto"/>
        <w:bottom w:val="none" w:sz="0" w:space="0" w:color="auto"/>
        <w:right w:val="none" w:sz="0" w:space="0" w:color="auto"/>
      </w:divBdr>
    </w:div>
    <w:div w:id="908807487">
      <w:bodyDiv w:val="1"/>
      <w:marLeft w:val="0"/>
      <w:marRight w:val="0"/>
      <w:marTop w:val="0"/>
      <w:marBottom w:val="0"/>
      <w:divBdr>
        <w:top w:val="none" w:sz="0" w:space="0" w:color="auto"/>
        <w:left w:val="none" w:sz="0" w:space="0" w:color="auto"/>
        <w:bottom w:val="none" w:sz="0" w:space="0" w:color="auto"/>
        <w:right w:val="none" w:sz="0" w:space="0" w:color="auto"/>
      </w:divBdr>
    </w:div>
    <w:div w:id="912161486">
      <w:bodyDiv w:val="1"/>
      <w:marLeft w:val="0"/>
      <w:marRight w:val="0"/>
      <w:marTop w:val="0"/>
      <w:marBottom w:val="0"/>
      <w:divBdr>
        <w:top w:val="none" w:sz="0" w:space="0" w:color="auto"/>
        <w:left w:val="none" w:sz="0" w:space="0" w:color="auto"/>
        <w:bottom w:val="none" w:sz="0" w:space="0" w:color="auto"/>
        <w:right w:val="none" w:sz="0" w:space="0" w:color="auto"/>
      </w:divBdr>
    </w:div>
    <w:div w:id="917786474">
      <w:bodyDiv w:val="1"/>
      <w:marLeft w:val="0"/>
      <w:marRight w:val="0"/>
      <w:marTop w:val="0"/>
      <w:marBottom w:val="0"/>
      <w:divBdr>
        <w:top w:val="none" w:sz="0" w:space="0" w:color="auto"/>
        <w:left w:val="none" w:sz="0" w:space="0" w:color="auto"/>
        <w:bottom w:val="none" w:sz="0" w:space="0" w:color="auto"/>
        <w:right w:val="none" w:sz="0" w:space="0" w:color="auto"/>
      </w:divBdr>
    </w:div>
    <w:div w:id="923106306">
      <w:bodyDiv w:val="1"/>
      <w:marLeft w:val="0"/>
      <w:marRight w:val="0"/>
      <w:marTop w:val="0"/>
      <w:marBottom w:val="0"/>
      <w:divBdr>
        <w:top w:val="none" w:sz="0" w:space="0" w:color="auto"/>
        <w:left w:val="none" w:sz="0" w:space="0" w:color="auto"/>
        <w:bottom w:val="none" w:sz="0" w:space="0" w:color="auto"/>
        <w:right w:val="none" w:sz="0" w:space="0" w:color="auto"/>
      </w:divBdr>
    </w:div>
    <w:div w:id="934360538">
      <w:bodyDiv w:val="1"/>
      <w:marLeft w:val="0"/>
      <w:marRight w:val="0"/>
      <w:marTop w:val="0"/>
      <w:marBottom w:val="0"/>
      <w:divBdr>
        <w:top w:val="none" w:sz="0" w:space="0" w:color="auto"/>
        <w:left w:val="none" w:sz="0" w:space="0" w:color="auto"/>
        <w:bottom w:val="none" w:sz="0" w:space="0" w:color="auto"/>
        <w:right w:val="none" w:sz="0" w:space="0" w:color="auto"/>
      </w:divBdr>
    </w:div>
    <w:div w:id="934443288">
      <w:bodyDiv w:val="1"/>
      <w:marLeft w:val="0"/>
      <w:marRight w:val="0"/>
      <w:marTop w:val="0"/>
      <w:marBottom w:val="0"/>
      <w:divBdr>
        <w:top w:val="none" w:sz="0" w:space="0" w:color="auto"/>
        <w:left w:val="none" w:sz="0" w:space="0" w:color="auto"/>
        <w:bottom w:val="none" w:sz="0" w:space="0" w:color="auto"/>
        <w:right w:val="none" w:sz="0" w:space="0" w:color="auto"/>
      </w:divBdr>
    </w:div>
    <w:div w:id="959071604">
      <w:bodyDiv w:val="1"/>
      <w:marLeft w:val="0"/>
      <w:marRight w:val="0"/>
      <w:marTop w:val="0"/>
      <w:marBottom w:val="0"/>
      <w:divBdr>
        <w:top w:val="none" w:sz="0" w:space="0" w:color="auto"/>
        <w:left w:val="none" w:sz="0" w:space="0" w:color="auto"/>
        <w:bottom w:val="none" w:sz="0" w:space="0" w:color="auto"/>
        <w:right w:val="none" w:sz="0" w:space="0" w:color="auto"/>
      </w:divBdr>
    </w:div>
    <w:div w:id="962224127">
      <w:bodyDiv w:val="1"/>
      <w:marLeft w:val="0"/>
      <w:marRight w:val="0"/>
      <w:marTop w:val="0"/>
      <w:marBottom w:val="0"/>
      <w:divBdr>
        <w:top w:val="none" w:sz="0" w:space="0" w:color="auto"/>
        <w:left w:val="none" w:sz="0" w:space="0" w:color="auto"/>
        <w:bottom w:val="none" w:sz="0" w:space="0" w:color="auto"/>
        <w:right w:val="none" w:sz="0" w:space="0" w:color="auto"/>
      </w:divBdr>
    </w:div>
    <w:div w:id="972445010">
      <w:bodyDiv w:val="1"/>
      <w:marLeft w:val="0"/>
      <w:marRight w:val="0"/>
      <w:marTop w:val="0"/>
      <w:marBottom w:val="0"/>
      <w:divBdr>
        <w:top w:val="none" w:sz="0" w:space="0" w:color="auto"/>
        <w:left w:val="none" w:sz="0" w:space="0" w:color="auto"/>
        <w:bottom w:val="none" w:sz="0" w:space="0" w:color="auto"/>
        <w:right w:val="none" w:sz="0" w:space="0" w:color="auto"/>
      </w:divBdr>
    </w:div>
    <w:div w:id="986008574">
      <w:bodyDiv w:val="1"/>
      <w:marLeft w:val="0"/>
      <w:marRight w:val="0"/>
      <w:marTop w:val="0"/>
      <w:marBottom w:val="0"/>
      <w:divBdr>
        <w:top w:val="none" w:sz="0" w:space="0" w:color="auto"/>
        <w:left w:val="none" w:sz="0" w:space="0" w:color="auto"/>
        <w:bottom w:val="none" w:sz="0" w:space="0" w:color="auto"/>
        <w:right w:val="none" w:sz="0" w:space="0" w:color="auto"/>
      </w:divBdr>
    </w:div>
    <w:div w:id="994188388">
      <w:bodyDiv w:val="1"/>
      <w:marLeft w:val="0"/>
      <w:marRight w:val="0"/>
      <w:marTop w:val="0"/>
      <w:marBottom w:val="0"/>
      <w:divBdr>
        <w:top w:val="none" w:sz="0" w:space="0" w:color="auto"/>
        <w:left w:val="none" w:sz="0" w:space="0" w:color="auto"/>
        <w:bottom w:val="none" w:sz="0" w:space="0" w:color="auto"/>
        <w:right w:val="none" w:sz="0" w:space="0" w:color="auto"/>
      </w:divBdr>
    </w:div>
    <w:div w:id="994525688">
      <w:bodyDiv w:val="1"/>
      <w:marLeft w:val="0"/>
      <w:marRight w:val="0"/>
      <w:marTop w:val="0"/>
      <w:marBottom w:val="0"/>
      <w:divBdr>
        <w:top w:val="none" w:sz="0" w:space="0" w:color="auto"/>
        <w:left w:val="none" w:sz="0" w:space="0" w:color="auto"/>
        <w:bottom w:val="none" w:sz="0" w:space="0" w:color="auto"/>
        <w:right w:val="none" w:sz="0" w:space="0" w:color="auto"/>
      </w:divBdr>
    </w:div>
    <w:div w:id="996299328">
      <w:bodyDiv w:val="1"/>
      <w:marLeft w:val="0"/>
      <w:marRight w:val="0"/>
      <w:marTop w:val="0"/>
      <w:marBottom w:val="0"/>
      <w:divBdr>
        <w:top w:val="none" w:sz="0" w:space="0" w:color="auto"/>
        <w:left w:val="none" w:sz="0" w:space="0" w:color="auto"/>
        <w:bottom w:val="none" w:sz="0" w:space="0" w:color="auto"/>
        <w:right w:val="none" w:sz="0" w:space="0" w:color="auto"/>
      </w:divBdr>
    </w:div>
    <w:div w:id="1005202791">
      <w:bodyDiv w:val="1"/>
      <w:marLeft w:val="0"/>
      <w:marRight w:val="0"/>
      <w:marTop w:val="0"/>
      <w:marBottom w:val="0"/>
      <w:divBdr>
        <w:top w:val="none" w:sz="0" w:space="0" w:color="auto"/>
        <w:left w:val="none" w:sz="0" w:space="0" w:color="auto"/>
        <w:bottom w:val="none" w:sz="0" w:space="0" w:color="auto"/>
        <w:right w:val="none" w:sz="0" w:space="0" w:color="auto"/>
      </w:divBdr>
    </w:div>
    <w:div w:id="1020398852">
      <w:bodyDiv w:val="1"/>
      <w:marLeft w:val="0"/>
      <w:marRight w:val="0"/>
      <w:marTop w:val="0"/>
      <w:marBottom w:val="0"/>
      <w:divBdr>
        <w:top w:val="none" w:sz="0" w:space="0" w:color="auto"/>
        <w:left w:val="none" w:sz="0" w:space="0" w:color="auto"/>
        <w:bottom w:val="none" w:sz="0" w:space="0" w:color="auto"/>
        <w:right w:val="none" w:sz="0" w:space="0" w:color="auto"/>
      </w:divBdr>
    </w:div>
    <w:div w:id="1037006507">
      <w:bodyDiv w:val="1"/>
      <w:marLeft w:val="0"/>
      <w:marRight w:val="0"/>
      <w:marTop w:val="0"/>
      <w:marBottom w:val="0"/>
      <w:divBdr>
        <w:top w:val="none" w:sz="0" w:space="0" w:color="auto"/>
        <w:left w:val="none" w:sz="0" w:space="0" w:color="auto"/>
        <w:bottom w:val="none" w:sz="0" w:space="0" w:color="auto"/>
        <w:right w:val="none" w:sz="0" w:space="0" w:color="auto"/>
      </w:divBdr>
    </w:div>
    <w:div w:id="1047219680">
      <w:bodyDiv w:val="1"/>
      <w:marLeft w:val="0"/>
      <w:marRight w:val="0"/>
      <w:marTop w:val="0"/>
      <w:marBottom w:val="0"/>
      <w:divBdr>
        <w:top w:val="none" w:sz="0" w:space="0" w:color="auto"/>
        <w:left w:val="none" w:sz="0" w:space="0" w:color="auto"/>
        <w:bottom w:val="none" w:sz="0" w:space="0" w:color="auto"/>
        <w:right w:val="none" w:sz="0" w:space="0" w:color="auto"/>
      </w:divBdr>
    </w:div>
    <w:div w:id="1047340005">
      <w:bodyDiv w:val="1"/>
      <w:marLeft w:val="0"/>
      <w:marRight w:val="0"/>
      <w:marTop w:val="0"/>
      <w:marBottom w:val="0"/>
      <w:divBdr>
        <w:top w:val="none" w:sz="0" w:space="0" w:color="auto"/>
        <w:left w:val="none" w:sz="0" w:space="0" w:color="auto"/>
        <w:bottom w:val="none" w:sz="0" w:space="0" w:color="auto"/>
        <w:right w:val="none" w:sz="0" w:space="0" w:color="auto"/>
      </w:divBdr>
    </w:div>
    <w:div w:id="1092895946">
      <w:bodyDiv w:val="1"/>
      <w:marLeft w:val="0"/>
      <w:marRight w:val="0"/>
      <w:marTop w:val="0"/>
      <w:marBottom w:val="0"/>
      <w:divBdr>
        <w:top w:val="none" w:sz="0" w:space="0" w:color="auto"/>
        <w:left w:val="none" w:sz="0" w:space="0" w:color="auto"/>
        <w:bottom w:val="none" w:sz="0" w:space="0" w:color="auto"/>
        <w:right w:val="none" w:sz="0" w:space="0" w:color="auto"/>
      </w:divBdr>
    </w:div>
    <w:div w:id="1112439872">
      <w:bodyDiv w:val="1"/>
      <w:marLeft w:val="0"/>
      <w:marRight w:val="0"/>
      <w:marTop w:val="0"/>
      <w:marBottom w:val="0"/>
      <w:divBdr>
        <w:top w:val="none" w:sz="0" w:space="0" w:color="auto"/>
        <w:left w:val="none" w:sz="0" w:space="0" w:color="auto"/>
        <w:bottom w:val="none" w:sz="0" w:space="0" w:color="auto"/>
        <w:right w:val="none" w:sz="0" w:space="0" w:color="auto"/>
      </w:divBdr>
    </w:div>
    <w:div w:id="1124228834">
      <w:bodyDiv w:val="1"/>
      <w:marLeft w:val="0"/>
      <w:marRight w:val="0"/>
      <w:marTop w:val="0"/>
      <w:marBottom w:val="0"/>
      <w:divBdr>
        <w:top w:val="none" w:sz="0" w:space="0" w:color="auto"/>
        <w:left w:val="none" w:sz="0" w:space="0" w:color="auto"/>
        <w:bottom w:val="none" w:sz="0" w:space="0" w:color="auto"/>
        <w:right w:val="none" w:sz="0" w:space="0" w:color="auto"/>
      </w:divBdr>
    </w:div>
    <w:div w:id="1131292625">
      <w:bodyDiv w:val="1"/>
      <w:marLeft w:val="0"/>
      <w:marRight w:val="0"/>
      <w:marTop w:val="0"/>
      <w:marBottom w:val="0"/>
      <w:divBdr>
        <w:top w:val="none" w:sz="0" w:space="0" w:color="auto"/>
        <w:left w:val="none" w:sz="0" w:space="0" w:color="auto"/>
        <w:bottom w:val="none" w:sz="0" w:space="0" w:color="auto"/>
        <w:right w:val="none" w:sz="0" w:space="0" w:color="auto"/>
      </w:divBdr>
    </w:div>
    <w:div w:id="1133789772">
      <w:bodyDiv w:val="1"/>
      <w:marLeft w:val="0"/>
      <w:marRight w:val="0"/>
      <w:marTop w:val="0"/>
      <w:marBottom w:val="0"/>
      <w:divBdr>
        <w:top w:val="none" w:sz="0" w:space="0" w:color="auto"/>
        <w:left w:val="none" w:sz="0" w:space="0" w:color="auto"/>
        <w:bottom w:val="none" w:sz="0" w:space="0" w:color="auto"/>
        <w:right w:val="none" w:sz="0" w:space="0" w:color="auto"/>
      </w:divBdr>
    </w:div>
    <w:div w:id="1153135967">
      <w:bodyDiv w:val="1"/>
      <w:marLeft w:val="0"/>
      <w:marRight w:val="0"/>
      <w:marTop w:val="0"/>
      <w:marBottom w:val="0"/>
      <w:divBdr>
        <w:top w:val="none" w:sz="0" w:space="0" w:color="auto"/>
        <w:left w:val="none" w:sz="0" w:space="0" w:color="auto"/>
        <w:bottom w:val="none" w:sz="0" w:space="0" w:color="auto"/>
        <w:right w:val="none" w:sz="0" w:space="0" w:color="auto"/>
      </w:divBdr>
    </w:div>
    <w:div w:id="1159005778">
      <w:bodyDiv w:val="1"/>
      <w:marLeft w:val="0"/>
      <w:marRight w:val="0"/>
      <w:marTop w:val="0"/>
      <w:marBottom w:val="0"/>
      <w:divBdr>
        <w:top w:val="none" w:sz="0" w:space="0" w:color="auto"/>
        <w:left w:val="none" w:sz="0" w:space="0" w:color="auto"/>
        <w:bottom w:val="none" w:sz="0" w:space="0" w:color="auto"/>
        <w:right w:val="none" w:sz="0" w:space="0" w:color="auto"/>
      </w:divBdr>
    </w:div>
    <w:div w:id="1169759287">
      <w:bodyDiv w:val="1"/>
      <w:marLeft w:val="0"/>
      <w:marRight w:val="0"/>
      <w:marTop w:val="0"/>
      <w:marBottom w:val="0"/>
      <w:divBdr>
        <w:top w:val="none" w:sz="0" w:space="0" w:color="auto"/>
        <w:left w:val="none" w:sz="0" w:space="0" w:color="auto"/>
        <w:bottom w:val="none" w:sz="0" w:space="0" w:color="auto"/>
        <w:right w:val="none" w:sz="0" w:space="0" w:color="auto"/>
      </w:divBdr>
    </w:div>
    <w:div w:id="1204289837">
      <w:bodyDiv w:val="1"/>
      <w:marLeft w:val="0"/>
      <w:marRight w:val="0"/>
      <w:marTop w:val="0"/>
      <w:marBottom w:val="0"/>
      <w:divBdr>
        <w:top w:val="none" w:sz="0" w:space="0" w:color="auto"/>
        <w:left w:val="none" w:sz="0" w:space="0" w:color="auto"/>
        <w:bottom w:val="none" w:sz="0" w:space="0" w:color="auto"/>
        <w:right w:val="none" w:sz="0" w:space="0" w:color="auto"/>
      </w:divBdr>
    </w:div>
    <w:div w:id="1205867637">
      <w:bodyDiv w:val="1"/>
      <w:marLeft w:val="0"/>
      <w:marRight w:val="0"/>
      <w:marTop w:val="0"/>
      <w:marBottom w:val="0"/>
      <w:divBdr>
        <w:top w:val="none" w:sz="0" w:space="0" w:color="auto"/>
        <w:left w:val="none" w:sz="0" w:space="0" w:color="auto"/>
        <w:bottom w:val="none" w:sz="0" w:space="0" w:color="auto"/>
        <w:right w:val="none" w:sz="0" w:space="0" w:color="auto"/>
      </w:divBdr>
    </w:div>
    <w:div w:id="1223637614">
      <w:bodyDiv w:val="1"/>
      <w:marLeft w:val="0"/>
      <w:marRight w:val="0"/>
      <w:marTop w:val="0"/>
      <w:marBottom w:val="0"/>
      <w:divBdr>
        <w:top w:val="none" w:sz="0" w:space="0" w:color="auto"/>
        <w:left w:val="none" w:sz="0" w:space="0" w:color="auto"/>
        <w:bottom w:val="none" w:sz="0" w:space="0" w:color="auto"/>
        <w:right w:val="none" w:sz="0" w:space="0" w:color="auto"/>
      </w:divBdr>
    </w:div>
    <w:div w:id="1255482616">
      <w:bodyDiv w:val="1"/>
      <w:marLeft w:val="0"/>
      <w:marRight w:val="0"/>
      <w:marTop w:val="0"/>
      <w:marBottom w:val="0"/>
      <w:divBdr>
        <w:top w:val="none" w:sz="0" w:space="0" w:color="auto"/>
        <w:left w:val="none" w:sz="0" w:space="0" w:color="auto"/>
        <w:bottom w:val="none" w:sz="0" w:space="0" w:color="auto"/>
        <w:right w:val="none" w:sz="0" w:space="0" w:color="auto"/>
      </w:divBdr>
    </w:div>
    <w:div w:id="1271402017">
      <w:bodyDiv w:val="1"/>
      <w:marLeft w:val="0"/>
      <w:marRight w:val="0"/>
      <w:marTop w:val="0"/>
      <w:marBottom w:val="0"/>
      <w:divBdr>
        <w:top w:val="none" w:sz="0" w:space="0" w:color="auto"/>
        <w:left w:val="none" w:sz="0" w:space="0" w:color="auto"/>
        <w:bottom w:val="none" w:sz="0" w:space="0" w:color="auto"/>
        <w:right w:val="none" w:sz="0" w:space="0" w:color="auto"/>
      </w:divBdr>
    </w:div>
    <w:div w:id="1279944200">
      <w:bodyDiv w:val="1"/>
      <w:marLeft w:val="0"/>
      <w:marRight w:val="0"/>
      <w:marTop w:val="0"/>
      <w:marBottom w:val="0"/>
      <w:divBdr>
        <w:top w:val="none" w:sz="0" w:space="0" w:color="auto"/>
        <w:left w:val="none" w:sz="0" w:space="0" w:color="auto"/>
        <w:bottom w:val="none" w:sz="0" w:space="0" w:color="auto"/>
        <w:right w:val="none" w:sz="0" w:space="0" w:color="auto"/>
      </w:divBdr>
    </w:div>
    <w:div w:id="1283146902">
      <w:bodyDiv w:val="1"/>
      <w:marLeft w:val="0"/>
      <w:marRight w:val="0"/>
      <w:marTop w:val="0"/>
      <w:marBottom w:val="0"/>
      <w:divBdr>
        <w:top w:val="none" w:sz="0" w:space="0" w:color="auto"/>
        <w:left w:val="none" w:sz="0" w:space="0" w:color="auto"/>
        <w:bottom w:val="none" w:sz="0" w:space="0" w:color="auto"/>
        <w:right w:val="none" w:sz="0" w:space="0" w:color="auto"/>
      </w:divBdr>
    </w:div>
    <w:div w:id="1286619959">
      <w:bodyDiv w:val="1"/>
      <w:marLeft w:val="0"/>
      <w:marRight w:val="0"/>
      <w:marTop w:val="0"/>
      <w:marBottom w:val="0"/>
      <w:divBdr>
        <w:top w:val="none" w:sz="0" w:space="0" w:color="auto"/>
        <w:left w:val="none" w:sz="0" w:space="0" w:color="auto"/>
        <w:bottom w:val="none" w:sz="0" w:space="0" w:color="auto"/>
        <w:right w:val="none" w:sz="0" w:space="0" w:color="auto"/>
      </w:divBdr>
    </w:div>
    <w:div w:id="1292633789">
      <w:bodyDiv w:val="1"/>
      <w:marLeft w:val="0"/>
      <w:marRight w:val="0"/>
      <w:marTop w:val="0"/>
      <w:marBottom w:val="0"/>
      <w:divBdr>
        <w:top w:val="none" w:sz="0" w:space="0" w:color="auto"/>
        <w:left w:val="none" w:sz="0" w:space="0" w:color="auto"/>
        <w:bottom w:val="none" w:sz="0" w:space="0" w:color="auto"/>
        <w:right w:val="none" w:sz="0" w:space="0" w:color="auto"/>
      </w:divBdr>
    </w:div>
    <w:div w:id="1298605243">
      <w:bodyDiv w:val="1"/>
      <w:marLeft w:val="0"/>
      <w:marRight w:val="0"/>
      <w:marTop w:val="0"/>
      <w:marBottom w:val="0"/>
      <w:divBdr>
        <w:top w:val="none" w:sz="0" w:space="0" w:color="auto"/>
        <w:left w:val="none" w:sz="0" w:space="0" w:color="auto"/>
        <w:bottom w:val="none" w:sz="0" w:space="0" w:color="auto"/>
        <w:right w:val="none" w:sz="0" w:space="0" w:color="auto"/>
      </w:divBdr>
    </w:div>
    <w:div w:id="1300308588">
      <w:bodyDiv w:val="1"/>
      <w:marLeft w:val="0"/>
      <w:marRight w:val="0"/>
      <w:marTop w:val="0"/>
      <w:marBottom w:val="0"/>
      <w:divBdr>
        <w:top w:val="none" w:sz="0" w:space="0" w:color="auto"/>
        <w:left w:val="none" w:sz="0" w:space="0" w:color="auto"/>
        <w:bottom w:val="none" w:sz="0" w:space="0" w:color="auto"/>
        <w:right w:val="none" w:sz="0" w:space="0" w:color="auto"/>
      </w:divBdr>
    </w:div>
    <w:div w:id="1308820998">
      <w:bodyDiv w:val="1"/>
      <w:marLeft w:val="0"/>
      <w:marRight w:val="0"/>
      <w:marTop w:val="0"/>
      <w:marBottom w:val="0"/>
      <w:divBdr>
        <w:top w:val="none" w:sz="0" w:space="0" w:color="auto"/>
        <w:left w:val="none" w:sz="0" w:space="0" w:color="auto"/>
        <w:bottom w:val="none" w:sz="0" w:space="0" w:color="auto"/>
        <w:right w:val="none" w:sz="0" w:space="0" w:color="auto"/>
      </w:divBdr>
    </w:div>
    <w:div w:id="1310747711">
      <w:bodyDiv w:val="1"/>
      <w:marLeft w:val="0"/>
      <w:marRight w:val="0"/>
      <w:marTop w:val="0"/>
      <w:marBottom w:val="0"/>
      <w:divBdr>
        <w:top w:val="none" w:sz="0" w:space="0" w:color="auto"/>
        <w:left w:val="none" w:sz="0" w:space="0" w:color="auto"/>
        <w:bottom w:val="none" w:sz="0" w:space="0" w:color="auto"/>
        <w:right w:val="none" w:sz="0" w:space="0" w:color="auto"/>
      </w:divBdr>
    </w:div>
    <w:div w:id="1318027226">
      <w:bodyDiv w:val="1"/>
      <w:marLeft w:val="0"/>
      <w:marRight w:val="0"/>
      <w:marTop w:val="0"/>
      <w:marBottom w:val="0"/>
      <w:divBdr>
        <w:top w:val="none" w:sz="0" w:space="0" w:color="auto"/>
        <w:left w:val="none" w:sz="0" w:space="0" w:color="auto"/>
        <w:bottom w:val="none" w:sz="0" w:space="0" w:color="auto"/>
        <w:right w:val="none" w:sz="0" w:space="0" w:color="auto"/>
      </w:divBdr>
    </w:div>
    <w:div w:id="1320231213">
      <w:bodyDiv w:val="1"/>
      <w:marLeft w:val="0"/>
      <w:marRight w:val="0"/>
      <w:marTop w:val="0"/>
      <w:marBottom w:val="0"/>
      <w:divBdr>
        <w:top w:val="none" w:sz="0" w:space="0" w:color="auto"/>
        <w:left w:val="none" w:sz="0" w:space="0" w:color="auto"/>
        <w:bottom w:val="none" w:sz="0" w:space="0" w:color="auto"/>
        <w:right w:val="none" w:sz="0" w:space="0" w:color="auto"/>
      </w:divBdr>
    </w:div>
    <w:div w:id="1324965202">
      <w:bodyDiv w:val="1"/>
      <w:marLeft w:val="0"/>
      <w:marRight w:val="0"/>
      <w:marTop w:val="0"/>
      <w:marBottom w:val="0"/>
      <w:divBdr>
        <w:top w:val="none" w:sz="0" w:space="0" w:color="auto"/>
        <w:left w:val="none" w:sz="0" w:space="0" w:color="auto"/>
        <w:bottom w:val="none" w:sz="0" w:space="0" w:color="auto"/>
        <w:right w:val="none" w:sz="0" w:space="0" w:color="auto"/>
      </w:divBdr>
    </w:div>
    <w:div w:id="1365445758">
      <w:bodyDiv w:val="1"/>
      <w:marLeft w:val="0"/>
      <w:marRight w:val="0"/>
      <w:marTop w:val="0"/>
      <w:marBottom w:val="0"/>
      <w:divBdr>
        <w:top w:val="none" w:sz="0" w:space="0" w:color="auto"/>
        <w:left w:val="none" w:sz="0" w:space="0" w:color="auto"/>
        <w:bottom w:val="none" w:sz="0" w:space="0" w:color="auto"/>
        <w:right w:val="none" w:sz="0" w:space="0" w:color="auto"/>
      </w:divBdr>
    </w:div>
    <w:div w:id="1368405540">
      <w:bodyDiv w:val="1"/>
      <w:marLeft w:val="0"/>
      <w:marRight w:val="0"/>
      <w:marTop w:val="0"/>
      <w:marBottom w:val="0"/>
      <w:divBdr>
        <w:top w:val="none" w:sz="0" w:space="0" w:color="auto"/>
        <w:left w:val="none" w:sz="0" w:space="0" w:color="auto"/>
        <w:bottom w:val="none" w:sz="0" w:space="0" w:color="auto"/>
        <w:right w:val="none" w:sz="0" w:space="0" w:color="auto"/>
      </w:divBdr>
    </w:div>
    <w:div w:id="1376353584">
      <w:bodyDiv w:val="1"/>
      <w:marLeft w:val="0"/>
      <w:marRight w:val="0"/>
      <w:marTop w:val="0"/>
      <w:marBottom w:val="0"/>
      <w:divBdr>
        <w:top w:val="none" w:sz="0" w:space="0" w:color="auto"/>
        <w:left w:val="none" w:sz="0" w:space="0" w:color="auto"/>
        <w:bottom w:val="none" w:sz="0" w:space="0" w:color="auto"/>
        <w:right w:val="none" w:sz="0" w:space="0" w:color="auto"/>
      </w:divBdr>
    </w:div>
    <w:div w:id="1378360194">
      <w:bodyDiv w:val="1"/>
      <w:marLeft w:val="0"/>
      <w:marRight w:val="0"/>
      <w:marTop w:val="0"/>
      <w:marBottom w:val="0"/>
      <w:divBdr>
        <w:top w:val="none" w:sz="0" w:space="0" w:color="auto"/>
        <w:left w:val="none" w:sz="0" w:space="0" w:color="auto"/>
        <w:bottom w:val="none" w:sz="0" w:space="0" w:color="auto"/>
        <w:right w:val="none" w:sz="0" w:space="0" w:color="auto"/>
      </w:divBdr>
    </w:div>
    <w:div w:id="1389500733">
      <w:bodyDiv w:val="1"/>
      <w:marLeft w:val="0"/>
      <w:marRight w:val="0"/>
      <w:marTop w:val="0"/>
      <w:marBottom w:val="0"/>
      <w:divBdr>
        <w:top w:val="none" w:sz="0" w:space="0" w:color="auto"/>
        <w:left w:val="none" w:sz="0" w:space="0" w:color="auto"/>
        <w:bottom w:val="none" w:sz="0" w:space="0" w:color="auto"/>
        <w:right w:val="none" w:sz="0" w:space="0" w:color="auto"/>
      </w:divBdr>
    </w:div>
    <w:div w:id="1404796544">
      <w:bodyDiv w:val="1"/>
      <w:marLeft w:val="0"/>
      <w:marRight w:val="0"/>
      <w:marTop w:val="0"/>
      <w:marBottom w:val="0"/>
      <w:divBdr>
        <w:top w:val="none" w:sz="0" w:space="0" w:color="auto"/>
        <w:left w:val="none" w:sz="0" w:space="0" w:color="auto"/>
        <w:bottom w:val="none" w:sz="0" w:space="0" w:color="auto"/>
        <w:right w:val="none" w:sz="0" w:space="0" w:color="auto"/>
      </w:divBdr>
    </w:div>
    <w:div w:id="1420173842">
      <w:bodyDiv w:val="1"/>
      <w:marLeft w:val="0"/>
      <w:marRight w:val="0"/>
      <w:marTop w:val="0"/>
      <w:marBottom w:val="0"/>
      <w:divBdr>
        <w:top w:val="none" w:sz="0" w:space="0" w:color="auto"/>
        <w:left w:val="none" w:sz="0" w:space="0" w:color="auto"/>
        <w:bottom w:val="none" w:sz="0" w:space="0" w:color="auto"/>
        <w:right w:val="none" w:sz="0" w:space="0" w:color="auto"/>
      </w:divBdr>
    </w:div>
    <w:div w:id="1423139851">
      <w:bodyDiv w:val="1"/>
      <w:marLeft w:val="0"/>
      <w:marRight w:val="0"/>
      <w:marTop w:val="0"/>
      <w:marBottom w:val="0"/>
      <w:divBdr>
        <w:top w:val="none" w:sz="0" w:space="0" w:color="auto"/>
        <w:left w:val="none" w:sz="0" w:space="0" w:color="auto"/>
        <w:bottom w:val="none" w:sz="0" w:space="0" w:color="auto"/>
        <w:right w:val="none" w:sz="0" w:space="0" w:color="auto"/>
      </w:divBdr>
    </w:div>
    <w:div w:id="1429816261">
      <w:bodyDiv w:val="1"/>
      <w:marLeft w:val="0"/>
      <w:marRight w:val="0"/>
      <w:marTop w:val="0"/>
      <w:marBottom w:val="0"/>
      <w:divBdr>
        <w:top w:val="none" w:sz="0" w:space="0" w:color="auto"/>
        <w:left w:val="none" w:sz="0" w:space="0" w:color="auto"/>
        <w:bottom w:val="none" w:sz="0" w:space="0" w:color="auto"/>
        <w:right w:val="none" w:sz="0" w:space="0" w:color="auto"/>
      </w:divBdr>
    </w:div>
    <w:div w:id="1437675490">
      <w:bodyDiv w:val="1"/>
      <w:marLeft w:val="0"/>
      <w:marRight w:val="0"/>
      <w:marTop w:val="0"/>
      <w:marBottom w:val="0"/>
      <w:divBdr>
        <w:top w:val="none" w:sz="0" w:space="0" w:color="auto"/>
        <w:left w:val="none" w:sz="0" w:space="0" w:color="auto"/>
        <w:bottom w:val="none" w:sz="0" w:space="0" w:color="auto"/>
        <w:right w:val="none" w:sz="0" w:space="0" w:color="auto"/>
      </w:divBdr>
    </w:div>
    <w:div w:id="1442450736">
      <w:bodyDiv w:val="1"/>
      <w:marLeft w:val="0"/>
      <w:marRight w:val="0"/>
      <w:marTop w:val="0"/>
      <w:marBottom w:val="0"/>
      <w:divBdr>
        <w:top w:val="none" w:sz="0" w:space="0" w:color="auto"/>
        <w:left w:val="none" w:sz="0" w:space="0" w:color="auto"/>
        <w:bottom w:val="none" w:sz="0" w:space="0" w:color="auto"/>
        <w:right w:val="none" w:sz="0" w:space="0" w:color="auto"/>
      </w:divBdr>
    </w:div>
    <w:div w:id="1450053475">
      <w:bodyDiv w:val="1"/>
      <w:marLeft w:val="0"/>
      <w:marRight w:val="0"/>
      <w:marTop w:val="0"/>
      <w:marBottom w:val="0"/>
      <w:divBdr>
        <w:top w:val="none" w:sz="0" w:space="0" w:color="auto"/>
        <w:left w:val="none" w:sz="0" w:space="0" w:color="auto"/>
        <w:bottom w:val="none" w:sz="0" w:space="0" w:color="auto"/>
        <w:right w:val="none" w:sz="0" w:space="0" w:color="auto"/>
      </w:divBdr>
    </w:div>
    <w:div w:id="1452941085">
      <w:bodyDiv w:val="1"/>
      <w:marLeft w:val="0"/>
      <w:marRight w:val="0"/>
      <w:marTop w:val="0"/>
      <w:marBottom w:val="0"/>
      <w:divBdr>
        <w:top w:val="none" w:sz="0" w:space="0" w:color="auto"/>
        <w:left w:val="none" w:sz="0" w:space="0" w:color="auto"/>
        <w:bottom w:val="none" w:sz="0" w:space="0" w:color="auto"/>
        <w:right w:val="none" w:sz="0" w:space="0" w:color="auto"/>
      </w:divBdr>
    </w:div>
    <w:div w:id="1460027925">
      <w:bodyDiv w:val="1"/>
      <w:marLeft w:val="0"/>
      <w:marRight w:val="0"/>
      <w:marTop w:val="0"/>
      <w:marBottom w:val="0"/>
      <w:divBdr>
        <w:top w:val="none" w:sz="0" w:space="0" w:color="auto"/>
        <w:left w:val="none" w:sz="0" w:space="0" w:color="auto"/>
        <w:bottom w:val="none" w:sz="0" w:space="0" w:color="auto"/>
        <w:right w:val="none" w:sz="0" w:space="0" w:color="auto"/>
      </w:divBdr>
    </w:div>
    <w:div w:id="1476874413">
      <w:bodyDiv w:val="1"/>
      <w:marLeft w:val="0"/>
      <w:marRight w:val="0"/>
      <w:marTop w:val="0"/>
      <w:marBottom w:val="0"/>
      <w:divBdr>
        <w:top w:val="none" w:sz="0" w:space="0" w:color="auto"/>
        <w:left w:val="none" w:sz="0" w:space="0" w:color="auto"/>
        <w:bottom w:val="none" w:sz="0" w:space="0" w:color="auto"/>
        <w:right w:val="none" w:sz="0" w:space="0" w:color="auto"/>
      </w:divBdr>
    </w:div>
    <w:div w:id="1486626160">
      <w:bodyDiv w:val="1"/>
      <w:marLeft w:val="0"/>
      <w:marRight w:val="0"/>
      <w:marTop w:val="0"/>
      <w:marBottom w:val="0"/>
      <w:divBdr>
        <w:top w:val="none" w:sz="0" w:space="0" w:color="auto"/>
        <w:left w:val="none" w:sz="0" w:space="0" w:color="auto"/>
        <w:bottom w:val="none" w:sz="0" w:space="0" w:color="auto"/>
        <w:right w:val="none" w:sz="0" w:space="0" w:color="auto"/>
      </w:divBdr>
    </w:div>
    <w:div w:id="1516575549">
      <w:bodyDiv w:val="1"/>
      <w:marLeft w:val="0"/>
      <w:marRight w:val="0"/>
      <w:marTop w:val="0"/>
      <w:marBottom w:val="0"/>
      <w:divBdr>
        <w:top w:val="none" w:sz="0" w:space="0" w:color="auto"/>
        <w:left w:val="none" w:sz="0" w:space="0" w:color="auto"/>
        <w:bottom w:val="none" w:sz="0" w:space="0" w:color="auto"/>
        <w:right w:val="none" w:sz="0" w:space="0" w:color="auto"/>
      </w:divBdr>
    </w:div>
    <w:div w:id="1524174123">
      <w:bodyDiv w:val="1"/>
      <w:marLeft w:val="0"/>
      <w:marRight w:val="0"/>
      <w:marTop w:val="0"/>
      <w:marBottom w:val="0"/>
      <w:divBdr>
        <w:top w:val="none" w:sz="0" w:space="0" w:color="auto"/>
        <w:left w:val="none" w:sz="0" w:space="0" w:color="auto"/>
        <w:bottom w:val="none" w:sz="0" w:space="0" w:color="auto"/>
        <w:right w:val="none" w:sz="0" w:space="0" w:color="auto"/>
      </w:divBdr>
    </w:div>
    <w:div w:id="1534536458">
      <w:bodyDiv w:val="1"/>
      <w:marLeft w:val="0"/>
      <w:marRight w:val="0"/>
      <w:marTop w:val="0"/>
      <w:marBottom w:val="0"/>
      <w:divBdr>
        <w:top w:val="none" w:sz="0" w:space="0" w:color="auto"/>
        <w:left w:val="none" w:sz="0" w:space="0" w:color="auto"/>
        <w:bottom w:val="none" w:sz="0" w:space="0" w:color="auto"/>
        <w:right w:val="none" w:sz="0" w:space="0" w:color="auto"/>
      </w:divBdr>
    </w:div>
    <w:div w:id="1535578530">
      <w:bodyDiv w:val="1"/>
      <w:marLeft w:val="0"/>
      <w:marRight w:val="0"/>
      <w:marTop w:val="0"/>
      <w:marBottom w:val="0"/>
      <w:divBdr>
        <w:top w:val="none" w:sz="0" w:space="0" w:color="auto"/>
        <w:left w:val="none" w:sz="0" w:space="0" w:color="auto"/>
        <w:bottom w:val="none" w:sz="0" w:space="0" w:color="auto"/>
        <w:right w:val="none" w:sz="0" w:space="0" w:color="auto"/>
      </w:divBdr>
      <w:divsChild>
        <w:div w:id="377054107">
          <w:marLeft w:val="720"/>
          <w:marRight w:val="0"/>
          <w:marTop w:val="106"/>
          <w:marBottom w:val="160"/>
          <w:divBdr>
            <w:top w:val="none" w:sz="0" w:space="0" w:color="auto"/>
            <w:left w:val="none" w:sz="0" w:space="0" w:color="auto"/>
            <w:bottom w:val="none" w:sz="0" w:space="0" w:color="auto"/>
            <w:right w:val="none" w:sz="0" w:space="0" w:color="auto"/>
          </w:divBdr>
        </w:div>
      </w:divsChild>
    </w:div>
    <w:div w:id="1539659517">
      <w:bodyDiv w:val="1"/>
      <w:marLeft w:val="0"/>
      <w:marRight w:val="0"/>
      <w:marTop w:val="0"/>
      <w:marBottom w:val="0"/>
      <w:divBdr>
        <w:top w:val="none" w:sz="0" w:space="0" w:color="auto"/>
        <w:left w:val="none" w:sz="0" w:space="0" w:color="auto"/>
        <w:bottom w:val="none" w:sz="0" w:space="0" w:color="auto"/>
        <w:right w:val="none" w:sz="0" w:space="0" w:color="auto"/>
      </w:divBdr>
    </w:div>
    <w:div w:id="1560091834">
      <w:bodyDiv w:val="1"/>
      <w:marLeft w:val="0"/>
      <w:marRight w:val="0"/>
      <w:marTop w:val="0"/>
      <w:marBottom w:val="0"/>
      <w:divBdr>
        <w:top w:val="none" w:sz="0" w:space="0" w:color="auto"/>
        <w:left w:val="none" w:sz="0" w:space="0" w:color="auto"/>
        <w:bottom w:val="none" w:sz="0" w:space="0" w:color="auto"/>
        <w:right w:val="none" w:sz="0" w:space="0" w:color="auto"/>
      </w:divBdr>
    </w:div>
    <w:div w:id="1562131497">
      <w:bodyDiv w:val="1"/>
      <w:marLeft w:val="0"/>
      <w:marRight w:val="0"/>
      <w:marTop w:val="0"/>
      <w:marBottom w:val="0"/>
      <w:divBdr>
        <w:top w:val="none" w:sz="0" w:space="0" w:color="auto"/>
        <w:left w:val="none" w:sz="0" w:space="0" w:color="auto"/>
        <w:bottom w:val="none" w:sz="0" w:space="0" w:color="auto"/>
        <w:right w:val="none" w:sz="0" w:space="0" w:color="auto"/>
      </w:divBdr>
    </w:div>
    <w:div w:id="1573395096">
      <w:bodyDiv w:val="1"/>
      <w:marLeft w:val="0"/>
      <w:marRight w:val="0"/>
      <w:marTop w:val="0"/>
      <w:marBottom w:val="0"/>
      <w:divBdr>
        <w:top w:val="none" w:sz="0" w:space="0" w:color="auto"/>
        <w:left w:val="none" w:sz="0" w:space="0" w:color="auto"/>
        <w:bottom w:val="none" w:sz="0" w:space="0" w:color="auto"/>
        <w:right w:val="none" w:sz="0" w:space="0" w:color="auto"/>
      </w:divBdr>
    </w:div>
    <w:div w:id="1596985014">
      <w:bodyDiv w:val="1"/>
      <w:marLeft w:val="0"/>
      <w:marRight w:val="0"/>
      <w:marTop w:val="0"/>
      <w:marBottom w:val="0"/>
      <w:divBdr>
        <w:top w:val="none" w:sz="0" w:space="0" w:color="auto"/>
        <w:left w:val="none" w:sz="0" w:space="0" w:color="auto"/>
        <w:bottom w:val="none" w:sz="0" w:space="0" w:color="auto"/>
        <w:right w:val="none" w:sz="0" w:space="0" w:color="auto"/>
      </w:divBdr>
    </w:div>
    <w:div w:id="1597322673">
      <w:bodyDiv w:val="1"/>
      <w:marLeft w:val="0"/>
      <w:marRight w:val="0"/>
      <w:marTop w:val="0"/>
      <w:marBottom w:val="0"/>
      <w:divBdr>
        <w:top w:val="none" w:sz="0" w:space="0" w:color="auto"/>
        <w:left w:val="none" w:sz="0" w:space="0" w:color="auto"/>
        <w:bottom w:val="none" w:sz="0" w:space="0" w:color="auto"/>
        <w:right w:val="none" w:sz="0" w:space="0" w:color="auto"/>
      </w:divBdr>
    </w:div>
    <w:div w:id="1606499475">
      <w:bodyDiv w:val="1"/>
      <w:marLeft w:val="0"/>
      <w:marRight w:val="0"/>
      <w:marTop w:val="0"/>
      <w:marBottom w:val="0"/>
      <w:divBdr>
        <w:top w:val="none" w:sz="0" w:space="0" w:color="auto"/>
        <w:left w:val="none" w:sz="0" w:space="0" w:color="auto"/>
        <w:bottom w:val="none" w:sz="0" w:space="0" w:color="auto"/>
        <w:right w:val="none" w:sz="0" w:space="0" w:color="auto"/>
      </w:divBdr>
    </w:div>
    <w:div w:id="1632903578">
      <w:bodyDiv w:val="1"/>
      <w:marLeft w:val="0"/>
      <w:marRight w:val="0"/>
      <w:marTop w:val="0"/>
      <w:marBottom w:val="0"/>
      <w:divBdr>
        <w:top w:val="none" w:sz="0" w:space="0" w:color="auto"/>
        <w:left w:val="none" w:sz="0" w:space="0" w:color="auto"/>
        <w:bottom w:val="none" w:sz="0" w:space="0" w:color="auto"/>
        <w:right w:val="none" w:sz="0" w:space="0" w:color="auto"/>
      </w:divBdr>
    </w:div>
    <w:div w:id="1649167767">
      <w:bodyDiv w:val="1"/>
      <w:marLeft w:val="0"/>
      <w:marRight w:val="0"/>
      <w:marTop w:val="0"/>
      <w:marBottom w:val="0"/>
      <w:divBdr>
        <w:top w:val="none" w:sz="0" w:space="0" w:color="auto"/>
        <w:left w:val="none" w:sz="0" w:space="0" w:color="auto"/>
        <w:bottom w:val="none" w:sz="0" w:space="0" w:color="auto"/>
        <w:right w:val="none" w:sz="0" w:space="0" w:color="auto"/>
      </w:divBdr>
    </w:div>
    <w:div w:id="1650287403">
      <w:bodyDiv w:val="1"/>
      <w:marLeft w:val="0"/>
      <w:marRight w:val="0"/>
      <w:marTop w:val="0"/>
      <w:marBottom w:val="0"/>
      <w:divBdr>
        <w:top w:val="none" w:sz="0" w:space="0" w:color="auto"/>
        <w:left w:val="none" w:sz="0" w:space="0" w:color="auto"/>
        <w:bottom w:val="none" w:sz="0" w:space="0" w:color="auto"/>
        <w:right w:val="none" w:sz="0" w:space="0" w:color="auto"/>
      </w:divBdr>
    </w:div>
    <w:div w:id="1651011919">
      <w:bodyDiv w:val="1"/>
      <w:marLeft w:val="0"/>
      <w:marRight w:val="0"/>
      <w:marTop w:val="0"/>
      <w:marBottom w:val="0"/>
      <w:divBdr>
        <w:top w:val="none" w:sz="0" w:space="0" w:color="auto"/>
        <w:left w:val="none" w:sz="0" w:space="0" w:color="auto"/>
        <w:bottom w:val="none" w:sz="0" w:space="0" w:color="auto"/>
        <w:right w:val="none" w:sz="0" w:space="0" w:color="auto"/>
      </w:divBdr>
    </w:div>
    <w:div w:id="1654412910">
      <w:bodyDiv w:val="1"/>
      <w:marLeft w:val="0"/>
      <w:marRight w:val="0"/>
      <w:marTop w:val="0"/>
      <w:marBottom w:val="0"/>
      <w:divBdr>
        <w:top w:val="none" w:sz="0" w:space="0" w:color="auto"/>
        <w:left w:val="none" w:sz="0" w:space="0" w:color="auto"/>
        <w:bottom w:val="none" w:sz="0" w:space="0" w:color="auto"/>
        <w:right w:val="none" w:sz="0" w:space="0" w:color="auto"/>
      </w:divBdr>
    </w:div>
    <w:div w:id="1662271599">
      <w:bodyDiv w:val="1"/>
      <w:marLeft w:val="0"/>
      <w:marRight w:val="0"/>
      <w:marTop w:val="0"/>
      <w:marBottom w:val="0"/>
      <w:divBdr>
        <w:top w:val="none" w:sz="0" w:space="0" w:color="auto"/>
        <w:left w:val="none" w:sz="0" w:space="0" w:color="auto"/>
        <w:bottom w:val="none" w:sz="0" w:space="0" w:color="auto"/>
        <w:right w:val="none" w:sz="0" w:space="0" w:color="auto"/>
      </w:divBdr>
    </w:div>
    <w:div w:id="1666128331">
      <w:bodyDiv w:val="1"/>
      <w:marLeft w:val="0"/>
      <w:marRight w:val="0"/>
      <w:marTop w:val="0"/>
      <w:marBottom w:val="0"/>
      <w:divBdr>
        <w:top w:val="none" w:sz="0" w:space="0" w:color="auto"/>
        <w:left w:val="none" w:sz="0" w:space="0" w:color="auto"/>
        <w:bottom w:val="none" w:sz="0" w:space="0" w:color="auto"/>
        <w:right w:val="none" w:sz="0" w:space="0" w:color="auto"/>
      </w:divBdr>
    </w:div>
    <w:div w:id="1668554051">
      <w:bodyDiv w:val="1"/>
      <w:marLeft w:val="0"/>
      <w:marRight w:val="0"/>
      <w:marTop w:val="0"/>
      <w:marBottom w:val="0"/>
      <w:divBdr>
        <w:top w:val="none" w:sz="0" w:space="0" w:color="auto"/>
        <w:left w:val="none" w:sz="0" w:space="0" w:color="auto"/>
        <w:bottom w:val="none" w:sz="0" w:space="0" w:color="auto"/>
        <w:right w:val="none" w:sz="0" w:space="0" w:color="auto"/>
      </w:divBdr>
    </w:div>
    <w:div w:id="1672947466">
      <w:bodyDiv w:val="1"/>
      <w:marLeft w:val="0"/>
      <w:marRight w:val="0"/>
      <w:marTop w:val="0"/>
      <w:marBottom w:val="0"/>
      <w:divBdr>
        <w:top w:val="none" w:sz="0" w:space="0" w:color="auto"/>
        <w:left w:val="none" w:sz="0" w:space="0" w:color="auto"/>
        <w:bottom w:val="none" w:sz="0" w:space="0" w:color="auto"/>
        <w:right w:val="none" w:sz="0" w:space="0" w:color="auto"/>
      </w:divBdr>
    </w:div>
    <w:div w:id="1673334371">
      <w:bodyDiv w:val="1"/>
      <w:marLeft w:val="0"/>
      <w:marRight w:val="0"/>
      <w:marTop w:val="0"/>
      <w:marBottom w:val="0"/>
      <w:divBdr>
        <w:top w:val="none" w:sz="0" w:space="0" w:color="auto"/>
        <w:left w:val="none" w:sz="0" w:space="0" w:color="auto"/>
        <w:bottom w:val="none" w:sz="0" w:space="0" w:color="auto"/>
        <w:right w:val="none" w:sz="0" w:space="0" w:color="auto"/>
      </w:divBdr>
    </w:div>
    <w:div w:id="1719622094">
      <w:bodyDiv w:val="1"/>
      <w:marLeft w:val="0"/>
      <w:marRight w:val="0"/>
      <w:marTop w:val="0"/>
      <w:marBottom w:val="0"/>
      <w:divBdr>
        <w:top w:val="none" w:sz="0" w:space="0" w:color="auto"/>
        <w:left w:val="none" w:sz="0" w:space="0" w:color="auto"/>
        <w:bottom w:val="none" w:sz="0" w:space="0" w:color="auto"/>
        <w:right w:val="none" w:sz="0" w:space="0" w:color="auto"/>
      </w:divBdr>
    </w:div>
    <w:div w:id="1720207157">
      <w:bodyDiv w:val="1"/>
      <w:marLeft w:val="0"/>
      <w:marRight w:val="0"/>
      <w:marTop w:val="0"/>
      <w:marBottom w:val="0"/>
      <w:divBdr>
        <w:top w:val="none" w:sz="0" w:space="0" w:color="auto"/>
        <w:left w:val="none" w:sz="0" w:space="0" w:color="auto"/>
        <w:bottom w:val="none" w:sz="0" w:space="0" w:color="auto"/>
        <w:right w:val="none" w:sz="0" w:space="0" w:color="auto"/>
      </w:divBdr>
    </w:div>
    <w:div w:id="1723208622">
      <w:bodyDiv w:val="1"/>
      <w:marLeft w:val="0"/>
      <w:marRight w:val="0"/>
      <w:marTop w:val="0"/>
      <w:marBottom w:val="0"/>
      <w:divBdr>
        <w:top w:val="none" w:sz="0" w:space="0" w:color="auto"/>
        <w:left w:val="none" w:sz="0" w:space="0" w:color="auto"/>
        <w:bottom w:val="none" w:sz="0" w:space="0" w:color="auto"/>
        <w:right w:val="none" w:sz="0" w:space="0" w:color="auto"/>
      </w:divBdr>
    </w:div>
    <w:div w:id="1727992897">
      <w:bodyDiv w:val="1"/>
      <w:marLeft w:val="0"/>
      <w:marRight w:val="0"/>
      <w:marTop w:val="0"/>
      <w:marBottom w:val="0"/>
      <w:divBdr>
        <w:top w:val="none" w:sz="0" w:space="0" w:color="auto"/>
        <w:left w:val="none" w:sz="0" w:space="0" w:color="auto"/>
        <w:bottom w:val="none" w:sz="0" w:space="0" w:color="auto"/>
        <w:right w:val="none" w:sz="0" w:space="0" w:color="auto"/>
      </w:divBdr>
    </w:div>
    <w:div w:id="1729838443">
      <w:bodyDiv w:val="1"/>
      <w:marLeft w:val="0"/>
      <w:marRight w:val="0"/>
      <w:marTop w:val="0"/>
      <w:marBottom w:val="0"/>
      <w:divBdr>
        <w:top w:val="none" w:sz="0" w:space="0" w:color="auto"/>
        <w:left w:val="none" w:sz="0" w:space="0" w:color="auto"/>
        <w:bottom w:val="none" w:sz="0" w:space="0" w:color="auto"/>
        <w:right w:val="none" w:sz="0" w:space="0" w:color="auto"/>
      </w:divBdr>
    </w:div>
    <w:div w:id="1731536490">
      <w:bodyDiv w:val="1"/>
      <w:marLeft w:val="0"/>
      <w:marRight w:val="0"/>
      <w:marTop w:val="0"/>
      <w:marBottom w:val="0"/>
      <w:divBdr>
        <w:top w:val="none" w:sz="0" w:space="0" w:color="auto"/>
        <w:left w:val="none" w:sz="0" w:space="0" w:color="auto"/>
        <w:bottom w:val="none" w:sz="0" w:space="0" w:color="auto"/>
        <w:right w:val="none" w:sz="0" w:space="0" w:color="auto"/>
      </w:divBdr>
    </w:div>
    <w:div w:id="1735614974">
      <w:bodyDiv w:val="1"/>
      <w:marLeft w:val="0"/>
      <w:marRight w:val="0"/>
      <w:marTop w:val="0"/>
      <w:marBottom w:val="0"/>
      <w:divBdr>
        <w:top w:val="none" w:sz="0" w:space="0" w:color="auto"/>
        <w:left w:val="none" w:sz="0" w:space="0" w:color="auto"/>
        <w:bottom w:val="none" w:sz="0" w:space="0" w:color="auto"/>
        <w:right w:val="none" w:sz="0" w:space="0" w:color="auto"/>
      </w:divBdr>
    </w:div>
    <w:div w:id="1757628890">
      <w:bodyDiv w:val="1"/>
      <w:marLeft w:val="0"/>
      <w:marRight w:val="0"/>
      <w:marTop w:val="0"/>
      <w:marBottom w:val="0"/>
      <w:divBdr>
        <w:top w:val="none" w:sz="0" w:space="0" w:color="auto"/>
        <w:left w:val="none" w:sz="0" w:space="0" w:color="auto"/>
        <w:bottom w:val="none" w:sz="0" w:space="0" w:color="auto"/>
        <w:right w:val="none" w:sz="0" w:space="0" w:color="auto"/>
      </w:divBdr>
      <w:divsChild>
        <w:div w:id="339552345">
          <w:marLeft w:val="0"/>
          <w:marRight w:val="0"/>
          <w:marTop w:val="0"/>
          <w:marBottom w:val="0"/>
          <w:divBdr>
            <w:top w:val="none" w:sz="0" w:space="0" w:color="auto"/>
            <w:left w:val="none" w:sz="0" w:space="0" w:color="auto"/>
            <w:bottom w:val="none" w:sz="0" w:space="0" w:color="auto"/>
            <w:right w:val="none" w:sz="0" w:space="0" w:color="auto"/>
          </w:divBdr>
        </w:div>
      </w:divsChild>
    </w:div>
    <w:div w:id="1757630701">
      <w:bodyDiv w:val="1"/>
      <w:marLeft w:val="0"/>
      <w:marRight w:val="0"/>
      <w:marTop w:val="0"/>
      <w:marBottom w:val="0"/>
      <w:divBdr>
        <w:top w:val="none" w:sz="0" w:space="0" w:color="auto"/>
        <w:left w:val="none" w:sz="0" w:space="0" w:color="auto"/>
        <w:bottom w:val="none" w:sz="0" w:space="0" w:color="auto"/>
        <w:right w:val="none" w:sz="0" w:space="0" w:color="auto"/>
      </w:divBdr>
    </w:div>
    <w:div w:id="1772314289">
      <w:bodyDiv w:val="1"/>
      <w:marLeft w:val="0"/>
      <w:marRight w:val="0"/>
      <w:marTop w:val="0"/>
      <w:marBottom w:val="0"/>
      <w:divBdr>
        <w:top w:val="none" w:sz="0" w:space="0" w:color="auto"/>
        <w:left w:val="none" w:sz="0" w:space="0" w:color="auto"/>
        <w:bottom w:val="none" w:sz="0" w:space="0" w:color="auto"/>
        <w:right w:val="none" w:sz="0" w:space="0" w:color="auto"/>
      </w:divBdr>
    </w:div>
    <w:div w:id="1783182846">
      <w:bodyDiv w:val="1"/>
      <w:marLeft w:val="0"/>
      <w:marRight w:val="0"/>
      <w:marTop w:val="0"/>
      <w:marBottom w:val="0"/>
      <w:divBdr>
        <w:top w:val="none" w:sz="0" w:space="0" w:color="auto"/>
        <w:left w:val="none" w:sz="0" w:space="0" w:color="auto"/>
        <w:bottom w:val="none" w:sz="0" w:space="0" w:color="auto"/>
        <w:right w:val="none" w:sz="0" w:space="0" w:color="auto"/>
      </w:divBdr>
    </w:div>
    <w:div w:id="1792239768">
      <w:bodyDiv w:val="1"/>
      <w:marLeft w:val="0"/>
      <w:marRight w:val="0"/>
      <w:marTop w:val="0"/>
      <w:marBottom w:val="0"/>
      <w:divBdr>
        <w:top w:val="none" w:sz="0" w:space="0" w:color="auto"/>
        <w:left w:val="none" w:sz="0" w:space="0" w:color="auto"/>
        <w:bottom w:val="none" w:sz="0" w:space="0" w:color="auto"/>
        <w:right w:val="none" w:sz="0" w:space="0" w:color="auto"/>
      </w:divBdr>
    </w:div>
    <w:div w:id="1793941518">
      <w:bodyDiv w:val="1"/>
      <w:marLeft w:val="0"/>
      <w:marRight w:val="0"/>
      <w:marTop w:val="0"/>
      <w:marBottom w:val="0"/>
      <w:divBdr>
        <w:top w:val="none" w:sz="0" w:space="0" w:color="auto"/>
        <w:left w:val="none" w:sz="0" w:space="0" w:color="auto"/>
        <w:bottom w:val="none" w:sz="0" w:space="0" w:color="auto"/>
        <w:right w:val="none" w:sz="0" w:space="0" w:color="auto"/>
      </w:divBdr>
    </w:div>
    <w:div w:id="1826585986">
      <w:bodyDiv w:val="1"/>
      <w:marLeft w:val="0"/>
      <w:marRight w:val="0"/>
      <w:marTop w:val="0"/>
      <w:marBottom w:val="0"/>
      <w:divBdr>
        <w:top w:val="none" w:sz="0" w:space="0" w:color="auto"/>
        <w:left w:val="none" w:sz="0" w:space="0" w:color="auto"/>
        <w:bottom w:val="none" w:sz="0" w:space="0" w:color="auto"/>
        <w:right w:val="none" w:sz="0" w:space="0" w:color="auto"/>
      </w:divBdr>
    </w:div>
    <w:div w:id="1843662107">
      <w:bodyDiv w:val="1"/>
      <w:marLeft w:val="0"/>
      <w:marRight w:val="0"/>
      <w:marTop w:val="0"/>
      <w:marBottom w:val="0"/>
      <w:divBdr>
        <w:top w:val="none" w:sz="0" w:space="0" w:color="auto"/>
        <w:left w:val="none" w:sz="0" w:space="0" w:color="auto"/>
        <w:bottom w:val="none" w:sz="0" w:space="0" w:color="auto"/>
        <w:right w:val="none" w:sz="0" w:space="0" w:color="auto"/>
      </w:divBdr>
    </w:div>
    <w:div w:id="1845783671">
      <w:bodyDiv w:val="1"/>
      <w:marLeft w:val="0"/>
      <w:marRight w:val="0"/>
      <w:marTop w:val="0"/>
      <w:marBottom w:val="0"/>
      <w:divBdr>
        <w:top w:val="none" w:sz="0" w:space="0" w:color="auto"/>
        <w:left w:val="none" w:sz="0" w:space="0" w:color="auto"/>
        <w:bottom w:val="none" w:sz="0" w:space="0" w:color="auto"/>
        <w:right w:val="none" w:sz="0" w:space="0" w:color="auto"/>
      </w:divBdr>
    </w:div>
    <w:div w:id="1856310613">
      <w:bodyDiv w:val="1"/>
      <w:marLeft w:val="0"/>
      <w:marRight w:val="0"/>
      <w:marTop w:val="0"/>
      <w:marBottom w:val="0"/>
      <w:divBdr>
        <w:top w:val="none" w:sz="0" w:space="0" w:color="auto"/>
        <w:left w:val="none" w:sz="0" w:space="0" w:color="auto"/>
        <w:bottom w:val="none" w:sz="0" w:space="0" w:color="auto"/>
        <w:right w:val="none" w:sz="0" w:space="0" w:color="auto"/>
      </w:divBdr>
    </w:div>
    <w:div w:id="1865632811">
      <w:bodyDiv w:val="1"/>
      <w:marLeft w:val="0"/>
      <w:marRight w:val="0"/>
      <w:marTop w:val="0"/>
      <w:marBottom w:val="0"/>
      <w:divBdr>
        <w:top w:val="none" w:sz="0" w:space="0" w:color="auto"/>
        <w:left w:val="none" w:sz="0" w:space="0" w:color="auto"/>
        <w:bottom w:val="none" w:sz="0" w:space="0" w:color="auto"/>
        <w:right w:val="none" w:sz="0" w:space="0" w:color="auto"/>
      </w:divBdr>
    </w:div>
    <w:div w:id="1872303356">
      <w:bodyDiv w:val="1"/>
      <w:marLeft w:val="0"/>
      <w:marRight w:val="0"/>
      <w:marTop w:val="0"/>
      <w:marBottom w:val="0"/>
      <w:divBdr>
        <w:top w:val="none" w:sz="0" w:space="0" w:color="auto"/>
        <w:left w:val="none" w:sz="0" w:space="0" w:color="auto"/>
        <w:bottom w:val="none" w:sz="0" w:space="0" w:color="auto"/>
        <w:right w:val="none" w:sz="0" w:space="0" w:color="auto"/>
      </w:divBdr>
    </w:div>
    <w:div w:id="1875266203">
      <w:bodyDiv w:val="1"/>
      <w:marLeft w:val="0"/>
      <w:marRight w:val="0"/>
      <w:marTop w:val="0"/>
      <w:marBottom w:val="0"/>
      <w:divBdr>
        <w:top w:val="none" w:sz="0" w:space="0" w:color="auto"/>
        <w:left w:val="none" w:sz="0" w:space="0" w:color="auto"/>
        <w:bottom w:val="none" w:sz="0" w:space="0" w:color="auto"/>
        <w:right w:val="none" w:sz="0" w:space="0" w:color="auto"/>
      </w:divBdr>
    </w:div>
    <w:div w:id="1892232706">
      <w:bodyDiv w:val="1"/>
      <w:marLeft w:val="0"/>
      <w:marRight w:val="0"/>
      <w:marTop w:val="0"/>
      <w:marBottom w:val="0"/>
      <w:divBdr>
        <w:top w:val="none" w:sz="0" w:space="0" w:color="auto"/>
        <w:left w:val="none" w:sz="0" w:space="0" w:color="auto"/>
        <w:bottom w:val="none" w:sz="0" w:space="0" w:color="auto"/>
        <w:right w:val="none" w:sz="0" w:space="0" w:color="auto"/>
      </w:divBdr>
    </w:div>
    <w:div w:id="1894347374">
      <w:bodyDiv w:val="1"/>
      <w:marLeft w:val="0"/>
      <w:marRight w:val="0"/>
      <w:marTop w:val="0"/>
      <w:marBottom w:val="0"/>
      <w:divBdr>
        <w:top w:val="none" w:sz="0" w:space="0" w:color="auto"/>
        <w:left w:val="none" w:sz="0" w:space="0" w:color="auto"/>
        <w:bottom w:val="none" w:sz="0" w:space="0" w:color="auto"/>
        <w:right w:val="none" w:sz="0" w:space="0" w:color="auto"/>
      </w:divBdr>
    </w:div>
    <w:div w:id="1894583879">
      <w:bodyDiv w:val="1"/>
      <w:marLeft w:val="0"/>
      <w:marRight w:val="0"/>
      <w:marTop w:val="0"/>
      <w:marBottom w:val="0"/>
      <w:divBdr>
        <w:top w:val="none" w:sz="0" w:space="0" w:color="auto"/>
        <w:left w:val="none" w:sz="0" w:space="0" w:color="auto"/>
        <w:bottom w:val="none" w:sz="0" w:space="0" w:color="auto"/>
        <w:right w:val="none" w:sz="0" w:space="0" w:color="auto"/>
      </w:divBdr>
    </w:div>
    <w:div w:id="1895044601">
      <w:bodyDiv w:val="1"/>
      <w:marLeft w:val="0"/>
      <w:marRight w:val="0"/>
      <w:marTop w:val="0"/>
      <w:marBottom w:val="0"/>
      <w:divBdr>
        <w:top w:val="none" w:sz="0" w:space="0" w:color="auto"/>
        <w:left w:val="none" w:sz="0" w:space="0" w:color="auto"/>
        <w:bottom w:val="none" w:sz="0" w:space="0" w:color="auto"/>
        <w:right w:val="none" w:sz="0" w:space="0" w:color="auto"/>
      </w:divBdr>
    </w:div>
    <w:div w:id="1901939540">
      <w:bodyDiv w:val="1"/>
      <w:marLeft w:val="0"/>
      <w:marRight w:val="0"/>
      <w:marTop w:val="0"/>
      <w:marBottom w:val="0"/>
      <w:divBdr>
        <w:top w:val="none" w:sz="0" w:space="0" w:color="auto"/>
        <w:left w:val="none" w:sz="0" w:space="0" w:color="auto"/>
        <w:bottom w:val="none" w:sz="0" w:space="0" w:color="auto"/>
        <w:right w:val="none" w:sz="0" w:space="0" w:color="auto"/>
      </w:divBdr>
    </w:div>
    <w:div w:id="1902011926">
      <w:bodyDiv w:val="1"/>
      <w:marLeft w:val="0"/>
      <w:marRight w:val="0"/>
      <w:marTop w:val="0"/>
      <w:marBottom w:val="0"/>
      <w:divBdr>
        <w:top w:val="none" w:sz="0" w:space="0" w:color="auto"/>
        <w:left w:val="none" w:sz="0" w:space="0" w:color="auto"/>
        <w:bottom w:val="none" w:sz="0" w:space="0" w:color="auto"/>
        <w:right w:val="none" w:sz="0" w:space="0" w:color="auto"/>
      </w:divBdr>
    </w:div>
    <w:div w:id="1904759129">
      <w:bodyDiv w:val="1"/>
      <w:marLeft w:val="0"/>
      <w:marRight w:val="0"/>
      <w:marTop w:val="0"/>
      <w:marBottom w:val="0"/>
      <w:divBdr>
        <w:top w:val="none" w:sz="0" w:space="0" w:color="auto"/>
        <w:left w:val="none" w:sz="0" w:space="0" w:color="auto"/>
        <w:bottom w:val="none" w:sz="0" w:space="0" w:color="auto"/>
        <w:right w:val="none" w:sz="0" w:space="0" w:color="auto"/>
      </w:divBdr>
    </w:div>
    <w:div w:id="1905531382">
      <w:bodyDiv w:val="1"/>
      <w:marLeft w:val="0"/>
      <w:marRight w:val="0"/>
      <w:marTop w:val="0"/>
      <w:marBottom w:val="0"/>
      <w:divBdr>
        <w:top w:val="none" w:sz="0" w:space="0" w:color="auto"/>
        <w:left w:val="none" w:sz="0" w:space="0" w:color="auto"/>
        <w:bottom w:val="none" w:sz="0" w:space="0" w:color="auto"/>
        <w:right w:val="none" w:sz="0" w:space="0" w:color="auto"/>
      </w:divBdr>
    </w:div>
    <w:div w:id="1908611823">
      <w:bodyDiv w:val="1"/>
      <w:marLeft w:val="0"/>
      <w:marRight w:val="0"/>
      <w:marTop w:val="0"/>
      <w:marBottom w:val="0"/>
      <w:divBdr>
        <w:top w:val="none" w:sz="0" w:space="0" w:color="auto"/>
        <w:left w:val="none" w:sz="0" w:space="0" w:color="auto"/>
        <w:bottom w:val="none" w:sz="0" w:space="0" w:color="auto"/>
        <w:right w:val="none" w:sz="0" w:space="0" w:color="auto"/>
      </w:divBdr>
    </w:div>
    <w:div w:id="1911228059">
      <w:bodyDiv w:val="1"/>
      <w:marLeft w:val="0"/>
      <w:marRight w:val="0"/>
      <w:marTop w:val="0"/>
      <w:marBottom w:val="0"/>
      <w:divBdr>
        <w:top w:val="none" w:sz="0" w:space="0" w:color="auto"/>
        <w:left w:val="none" w:sz="0" w:space="0" w:color="auto"/>
        <w:bottom w:val="none" w:sz="0" w:space="0" w:color="auto"/>
        <w:right w:val="none" w:sz="0" w:space="0" w:color="auto"/>
      </w:divBdr>
    </w:div>
    <w:div w:id="1915385643">
      <w:bodyDiv w:val="1"/>
      <w:marLeft w:val="0"/>
      <w:marRight w:val="0"/>
      <w:marTop w:val="0"/>
      <w:marBottom w:val="0"/>
      <w:divBdr>
        <w:top w:val="none" w:sz="0" w:space="0" w:color="auto"/>
        <w:left w:val="none" w:sz="0" w:space="0" w:color="auto"/>
        <w:bottom w:val="none" w:sz="0" w:space="0" w:color="auto"/>
        <w:right w:val="none" w:sz="0" w:space="0" w:color="auto"/>
      </w:divBdr>
    </w:div>
    <w:div w:id="1915966153">
      <w:bodyDiv w:val="1"/>
      <w:marLeft w:val="0"/>
      <w:marRight w:val="0"/>
      <w:marTop w:val="0"/>
      <w:marBottom w:val="0"/>
      <w:divBdr>
        <w:top w:val="none" w:sz="0" w:space="0" w:color="auto"/>
        <w:left w:val="none" w:sz="0" w:space="0" w:color="auto"/>
        <w:bottom w:val="none" w:sz="0" w:space="0" w:color="auto"/>
        <w:right w:val="none" w:sz="0" w:space="0" w:color="auto"/>
      </w:divBdr>
    </w:div>
    <w:div w:id="1916739257">
      <w:bodyDiv w:val="1"/>
      <w:marLeft w:val="0"/>
      <w:marRight w:val="0"/>
      <w:marTop w:val="0"/>
      <w:marBottom w:val="0"/>
      <w:divBdr>
        <w:top w:val="none" w:sz="0" w:space="0" w:color="auto"/>
        <w:left w:val="none" w:sz="0" w:space="0" w:color="auto"/>
        <w:bottom w:val="none" w:sz="0" w:space="0" w:color="auto"/>
        <w:right w:val="none" w:sz="0" w:space="0" w:color="auto"/>
      </w:divBdr>
    </w:div>
    <w:div w:id="1929925700">
      <w:bodyDiv w:val="1"/>
      <w:marLeft w:val="0"/>
      <w:marRight w:val="0"/>
      <w:marTop w:val="0"/>
      <w:marBottom w:val="0"/>
      <w:divBdr>
        <w:top w:val="none" w:sz="0" w:space="0" w:color="auto"/>
        <w:left w:val="none" w:sz="0" w:space="0" w:color="auto"/>
        <w:bottom w:val="none" w:sz="0" w:space="0" w:color="auto"/>
        <w:right w:val="none" w:sz="0" w:space="0" w:color="auto"/>
      </w:divBdr>
    </w:div>
    <w:div w:id="1931547227">
      <w:bodyDiv w:val="1"/>
      <w:marLeft w:val="0"/>
      <w:marRight w:val="0"/>
      <w:marTop w:val="0"/>
      <w:marBottom w:val="0"/>
      <w:divBdr>
        <w:top w:val="none" w:sz="0" w:space="0" w:color="auto"/>
        <w:left w:val="none" w:sz="0" w:space="0" w:color="auto"/>
        <w:bottom w:val="none" w:sz="0" w:space="0" w:color="auto"/>
        <w:right w:val="none" w:sz="0" w:space="0" w:color="auto"/>
      </w:divBdr>
    </w:div>
    <w:div w:id="1940944455">
      <w:bodyDiv w:val="1"/>
      <w:marLeft w:val="0"/>
      <w:marRight w:val="0"/>
      <w:marTop w:val="0"/>
      <w:marBottom w:val="0"/>
      <w:divBdr>
        <w:top w:val="none" w:sz="0" w:space="0" w:color="auto"/>
        <w:left w:val="none" w:sz="0" w:space="0" w:color="auto"/>
        <w:bottom w:val="none" w:sz="0" w:space="0" w:color="auto"/>
        <w:right w:val="none" w:sz="0" w:space="0" w:color="auto"/>
      </w:divBdr>
    </w:div>
    <w:div w:id="1945114613">
      <w:bodyDiv w:val="1"/>
      <w:marLeft w:val="0"/>
      <w:marRight w:val="0"/>
      <w:marTop w:val="0"/>
      <w:marBottom w:val="0"/>
      <w:divBdr>
        <w:top w:val="none" w:sz="0" w:space="0" w:color="auto"/>
        <w:left w:val="none" w:sz="0" w:space="0" w:color="auto"/>
        <w:bottom w:val="none" w:sz="0" w:space="0" w:color="auto"/>
        <w:right w:val="none" w:sz="0" w:space="0" w:color="auto"/>
      </w:divBdr>
    </w:div>
    <w:div w:id="1958678824">
      <w:bodyDiv w:val="1"/>
      <w:marLeft w:val="0"/>
      <w:marRight w:val="0"/>
      <w:marTop w:val="0"/>
      <w:marBottom w:val="0"/>
      <w:divBdr>
        <w:top w:val="none" w:sz="0" w:space="0" w:color="auto"/>
        <w:left w:val="none" w:sz="0" w:space="0" w:color="auto"/>
        <w:bottom w:val="none" w:sz="0" w:space="0" w:color="auto"/>
        <w:right w:val="none" w:sz="0" w:space="0" w:color="auto"/>
      </w:divBdr>
    </w:div>
    <w:div w:id="1958826358">
      <w:bodyDiv w:val="1"/>
      <w:marLeft w:val="0"/>
      <w:marRight w:val="0"/>
      <w:marTop w:val="0"/>
      <w:marBottom w:val="0"/>
      <w:divBdr>
        <w:top w:val="none" w:sz="0" w:space="0" w:color="auto"/>
        <w:left w:val="none" w:sz="0" w:space="0" w:color="auto"/>
        <w:bottom w:val="none" w:sz="0" w:space="0" w:color="auto"/>
        <w:right w:val="none" w:sz="0" w:space="0" w:color="auto"/>
      </w:divBdr>
    </w:div>
    <w:div w:id="1968733417">
      <w:bodyDiv w:val="1"/>
      <w:marLeft w:val="0"/>
      <w:marRight w:val="0"/>
      <w:marTop w:val="0"/>
      <w:marBottom w:val="0"/>
      <w:divBdr>
        <w:top w:val="none" w:sz="0" w:space="0" w:color="auto"/>
        <w:left w:val="none" w:sz="0" w:space="0" w:color="auto"/>
        <w:bottom w:val="none" w:sz="0" w:space="0" w:color="auto"/>
        <w:right w:val="none" w:sz="0" w:space="0" w:color="auto"/>
      </w:divBdr>
    </w:div>
    <w:div w:id="1975594802">
      <w:bodyDiv w:val="1"/>
      <w:marLeft w:val="0"/>
      <w:marRight w:val="0"/>
      <w:marTop w:val="0"/>
      <w:marBottom w:val="0"/>
      <w:divBdr>
        <w:top w:val="none" w:sz="0" w:space="0" w:color="auto"/>
        <w:left w:val="none" w:sz="0" w:space="0" w:color="auto"/>
        <w:bottom w:val="none" w:sz="0" w:space="0" w:color="auto"/>
        <w:right w:val="none" w:sz="0" w:space="0" w:color="auto"/>
      </w:divBdr>
    </w:div>
    <w:div w:id="1976984958">
      <w:bodyDiv w:val="1"/>
      <w:marLeft w:val="0"/>
      <w:marRight w:val="0"/>
      <w:marTop w:val="0"/>
      <w:marBottom w:val="0"/>
      <w:divBdr>
        <w:top w:val="none" w:sz="0" w:space="0" w:color="auto"/>
        <w:left w:val="none" w:sz="0" w:space="0" w:color="auto"/>
        <w:bottom w:val="none" w:sz="0" w:space="0" w:color="auto"/>
        <w:right w:val="none" w:sz="0" w:space="0" w:color="auto"/>
      </w:divBdr>
    </w:div>
    <w:div w:id="1980528098">
      <w:bodyDiv w:val="1"/>
      <w:marLeft w:val="0"/>
      <w:marRight w:val="0"/>
      <w:marTop w:val="0"/>
      <w:marBottom w:val="0"/>
      <w:divBdr>
        <w:top w:val="none" w:sz="0" w:space="0" w:color="auto"/>
        <w:left w:val="none" w:sz="0" w:space="0" w:color="auto"/>
        <w:bottom w:val="none" w:sz="0" w:space="0" w:color="auto"/>
        <w:right w:val="none" w:sz="0" w:space="0" w:color="auto"/>
      </w:divBdr>
    </w:div>
    <w:div w:id="1982617061">
      <w:bodyDiv w:val="1"/>
      <w:marLeft w:val="0"/>
      <w:marRight w:val="0"/>
      <w:marTop w:val="0"/>
      <w:marBottom w:val="0"/>
      <w:divBdr>
        <w:top w:val="none" w:sz="0" w:space="0" w:color="auto"/>
        <w:left w:val="none" w:sz="0" w:space="0" w:color="auto"/>
        <w:bottom w:val="none" w:sz="0" w:space="0" w:color="auto"/>
        <w:right w:val="none" w:sz="0" w:space="0" w:color="auto"/>
      </w:divBdr>
    </w:div>
    <w:div w:id="1984652625">
      <w:bodyDiv w:val="1"/>
      <w:marLeft w:val="0"/>
      <w:marRight w:val="0"/>
      <w:marTop w:val="0"/>
      <w:marBottom w:val="0"/>
      <w:divBdr>
        <w:top w:val="none" w:sz="0" w:space="0" w:color="auto"/>
        <w:left w:val="none" w:sz="0" w:space="0" w:color="auto"/>
        <w:bottom w:val="none" w:sz="0" w:space="0" w:color="auto"/>
        <w:right w:val="none" w:sz="0" w:space="0" w:color="auto"/>
      </w:divBdr>
    </w:div>
    <w:div w:id="1989431956">
      <w:bodyDiv w:val="1"/>
      <w:marLeft w:val="0"/>
      <w:marRight w:val="0"/>
      <w:marTop w:val="0"/>
      <w:marBottom w:val="0"/>
      <w:divBdr>
        <w:top w:val="none" w:sz="0" w:space="0" w:color="auto"/>
        <w:left w:val="none" w:sz="0" w:space="0" w:color="auto"/>
        <w:bottom w:val="none" w:sz="0" w:space="0" w:color="auto"/>
        <w:right w:val="none" w:sz="0" w:space="0" w:color="auto"/>
      </w:divBdr>
    </w:div>
    <w:div w:id="2010980882">
      <w:bodyDiv w:val="1"/>
      <w:marLeft w:val="0"/>
      <w:marRight w:val="0"/>
      <w:marTop w:val="0"/>
      <w:marBottom w:val="0"/>
      <w:divBdr>
        <w:top w:val="none" w:sz="0" w:space="0" w:color="auto"/>
        <w:left w:val="none" w:sz="0" w:space="0" w:color="auto"/>
        <w:bottom w:val="none" w:sz="0" w:space="0" w:color="auto"/>
        <w:right w:val="none" w:sz="0" w:space="0" w:color="auto"/>
      </w:divBdr>
    </w:div>
    <w:div w:id="2015258967">
      <w:bodyDiv w:val="1"/>
      <w:marLeft w:val="0"/>
      <w:marRight w:val="0"/>
      <w:marTop w:val="0"/>
      <w:marBottom w:val="0"/>
      <w:divBdr>
        <w:top w:val="none" w:sz="0" w:space="0" w:color="auto"/>
        <w:left w:val="none" w:sz="0" w:space="0" w:color="auto"/>
        <w:bottom w:val="none" w:sz="0" w:space="0" w:color="auto"/>
        <w:right w:val="none" w:sz="0" w:space="0" w:color="auto"/>
      </w:divBdr>
    </w:div>
    <w:div w:id="2020698306">
      <w:bodyDiv w:val="1"/>
      <w:marLeft w:val="0"/>
      <w:marRight w:val="0"/>
      <w:marTop w:val="0"/>
      <w:marBottom w:val="0"/>
      <w:divBdr>
        <w:top w:val="none" w:sz="0" w:space="0" w:color="auto"/>
        <w:left w:val="none" w:sz="0" w:space="0" w:color="auto"/>
        <w:bottom w:val="none" w:sz="0" w:space="0" w:color="auto"/>
        <w:right w:val="none" w:sz="0" w:space="0" w:color="auto"/>
      </w:divBdr>
    </w:div>
    <w:div w:id="2024671118">
      <w:bodyDiv w:val="1"/>
      <w:marLeft w:val="0"/>
      <w:marRight w:val="0"/>
      <w:marTop w:val="0"/>
      <w:marBottom w:val="0"/>
      <w:divBdr>
        <w:top w:val="none" w:sz="0" w:space="0" w:color="auto"/>
        <w:left w:val="none" w:sz="0" w:space="0" w:color="auto"/>
        <w:bottom w:val="none" w:sz="0" w:space="0" w:color="auto"/>
        <w:right w:val="none" w:sz="0" w:space="0" w:color="auto"/>
      </w:divBdr>
    </w:div>
    <w:div w:id="2029597694">
      <w:bodyDiv w:val="1"/>
      <w:marLeft w:val="0"/>
      <w:marRight w:val="0"/>
      <w:marTop w:val="0"/>
      <w:marBottom w:val="0"/>
      <w:divBdr>
        <w:top w:val="none" w:sz="0" w:space="0" w:color="auto"/>
        <w:left w:val="none" w:sz="0" w:space="0" w:color="auto"/>
        <w:bottom w:val="none" w:sz="0" w:space="0" w:color="auto"/>
        <w:right w:val="none" w:sz="0" w:space="0" w:color="auto"/>
      </w:divBdr>
    </w:div>
    <w:div w:id="2033147656">
      <w:bodyDiv w:val="1"/>
      <w:marLeft w:val="0"/>
      <w:marRight w:val="0"/>
      <w:marTop w:val="0"/>
      <w:marBottom w:val="0"/>
      <w:divBdr>
        <w:top w:val="none" w:sz="0" w:space="0" w:color="auto"/>
        <w:left w:val="none" w:sz="0" w:space="0" w:color="auto"/>
        <w:bottom w:val="none" w:sz="0" w:space="0" w:color="auto"/>
        <w:right w:val="none" w:sz="0" w:space="0" w:color="auto"/>
      </w:divBdr>
    </w:div>
    <w:div w:id="2052146644">
      <w:bodyDiv w:val="1"/>
      <w:marLeft w:val="0"/>
      <w:marRight w:val="0"/>
      <w:marTop w:val="0"/>
      <w:marBottom w:val="0"/>
      <w:divBdr>
        <w:top w:val="none" w:sz="0" w:space="0" w:color="auto"/>
        <w:left w:val="none" w:sz="0" w:space="0" w:color="auto"/>
        <w:bottom w:val="none" w:sz="0" w:space="0" w:color="auto"/>
        <w:right w:val="none" w:sz="0" w:space="0" w:color="auto"/>
      </w:divBdr>
    </w:div>
    <w:div w:id="2054037507">
      <w:bodyDiv w:val="1"/>
      <w:marLeft w:val="0"/>
      <w:marRight w:val="0"/>
      <w:marTop w:val="0"/>
      <w:marBottom w:val="0"/>
      <w:divBdr>
        <w:top w:val="none" w:sz="0" w:space="0" w:color="auto"/>
        <w:left w:val="none" w:sz="0" w:space="0" w:color="auto"/>
        <w:bottom w:val="none" w:sz="0" w:space="0" w:color="auto"/>
        <w:right w:val="none" w:sz="0" w:space="0" w:color="auto"/>
      </w:divBdr>
    </w:div>
    <w:div w:id="2057778214">
      <w:bodyDiv w:val="1"/>
      <w:marLeft w:val="0"/>
      <w:marRight w:val="0"/>
      <w:marTop w:val="0"/>
      <w:marBottom w:val="0"/>
      <w:divBdr>
        <w:top w:val="none" w:sz="0" w:space="0" w:color="auto"/>
        <w:left w:val="none" w:sz="0" w:space="0" w:color="auto"/>
        <w:bottom w:val="none" w:sz="0" w:space="0" w:color="auto"/>
        <w:right w:val="none" w:sz="0" w:space="0" w:color="auto"/>
      </w:divBdr>
    </w:div>
    <w:div w:id="2062056229">
      <w:bodyDiv w:val="1"/>
      <w:marLeft w:val="0"/>
      <w:marRight w:val="0"/>
      <w:marTop w:val="0"/>
      <w:marBottom w:val="0"/>
      <w:divBdr>
        <w:top w:val="none" w:sz="0" w:space="0" w:color="auto"/>
        <w:left w:val="none" w:sz="0" w:space="0" w:color="auto"/>
        <w:bottom w:val="none" w:sz="0" w:space="0" w:color="auto"/>
        <w:right w:val="none" w:sz="0" w:space="0" w:color="auto"/>
      </w:divBdr>
    </w:div>
    <w:div w:id="2065987243">
      <w:bodyDiv w:val="1"/>
      <w:marLeft w:val="0"/>
      <w:marRight w:val="0"/>
      <w:marTop w:val="0"/>
      <w:marBottom w:val="0"/>
      <w:divBdr>
        <w:top w:val="none" w:sz="0" w:space="0" w:color="auto"/>
        <w:left w:val="none" w:sz="0" w:space="0" w:color="auto"/>
        <w:bottom w:val="none" w:sz="0" w:space="0" w:color="auto"/>
        <w:right w:val="none" w:sz="0" w:space="0" w:color="auto"/>
      </w:divBdr>
    </w:div>
    <w:div w:id="2067532441">
      <w:bodyDiv w:val="1"/>
      <w:marLeft w:val="0"/>
      <w:marRight w:val="0"/>
      <w:marTop w:val="0"/>
      <w:marBottom w:val="0"/>
      <w:divBdr>
        <w:top w:val="none" w:sz="0" w:space="0" w:color="auto"/>
        <w:left w:val="none" w:sz="0" w:space="0" w:color="auto"/>
        <w:bottom w:val="none" w:sz="0" w:space="0" w:color="auto"/>
        <w:right w:val="none" w:sz="0" w:space="0" w:color="auto"/>
      </w:divBdr>
    </w:div>
    <w:div w:id="2085493817">
      <w:bodyDiv w:val="1"/>
      <w:marLeft w:val="0"/>
      <w:marRight w:val="0"/>
      <w:marTop w:val="0"/>
      <w:marBottom w:val="0"/>
      <w:divBdr>
        <w:top w:val="none" w:sz="0" w:space="0" w:color="auto"/>
        <w:left w:val="none" w:sz="0" w:space="0" w:color="auto"/>
        <w:bottom w:val="none" w:sz="0" w:space="0" w:color="auto"/>
        <w:right w:val="none" w:sz="0" w:space="0" w:color="auto"/>
      </w:divBdr>
    </w:div>
    <w:div w:id="2087145341">
      <w:bodyDiv w:val="1"/>
      <w:marLeft w:val="0"/>
      <w:marRight w:val="0"/>
      <w:marTop w:val="0"/>
      <w:marBottom w:val="0"/>
      <w:divBdr>
        <w:top w:val="none" w:sz="0" w:space="0" w:color="auto"/>
        <w:left w:val="none" w:sz="0" w:space="0" w:color="auto"/>
        <w:bottom w:val="none" w:sz="0" w:space="0" w:color="auto"/>
        <w:right w:val="none" w:sz="0" w:space="0" w:color="auto"/>
      </w:divBdr>
    </w:div>
    <w:div w:id="2089963305">
      <w:bodyDiv w:val="1"/>
      <w:marLeft w:val="0"/>
      <w:marRight w:val="0"/>
      <w:marTop w:val="0"/>
      <w:marBottom w:val="0"/>
      <w:divBdr>
        <w:top w:val="none" w:sz="0" w:space="0" w:color="auto"/>
        <w:left w:val="none" w:sz="0" w:space="0" w:color="auto"/>
        <w:bottom w:val="none" w:sz="0" w:space="0" w:color="auto"/>
        <w:right w:val="none" w:sz="0" w:space="0" w:color="auto"/>
      </w:divBdr>
    </w:div>
    <w:div w:id="2091658219">
      <w:bodyDiv w:val="1"/>
      <w:marLeft w:val="0"/>
      <w:marRight w:val="0"/>
      <w:marTop w:val="0"/>
      <w:marBottom w:val="0"/>
      <w:divBdr>
        <w:top w:val="none" w:sz="0" w:space="0" w:color="auto"/>
        <w:left w:val="none" w:sz="0" w:space="0" w:color="auto"/>
        <w:bottom w:val="none" w:sz="0" w:space="0" w:color="auto"/>
        <w:right w:val="none" w:sz="0" w:space="0" w:color="auto"/>
      </w:divBdr>
    </w:div>
    <w:div w:id="2104297172">
      <w:bodyDiv w:val="1"/>
      <w:marLeft w:val="0"/>
      <w:marRight w:val="0"/>
      <w:marTop w:val="0"/>
      <w:marBottom w:val="0"/>
      <w:divBdr>
        <w:top w:val="none" w:sz="0" w:space="0" w:color="auto"/>
        <w:left w:val="none" w:sz="0" w:space="0" w:color="auto"/>
        <w:bottom w:val="none" w:sz="0" w:space="0" w:color="auto"/>
        <w:right w:val="none" w:sz="0" w:space="0" w:color="auto"/>
      </w:divBdr>
    </w:div>
    <w:div w:id="2109111322">
      <w:bodyDiv w:val="1"/>
      <w:marLeft w:val="0"/>
      <w:marRight w:val="0"/>
      <w:marTop w:val="0"/>
      <w:marBottom w:val="0"/>
      <w:divBdr>
        <w:top w:val="none" w:sz="0" w:space="0" w:color="auto"/>
        <w:left w:val="none" w:sz="0" w:space="0" w:color="auto"/>
        <w:bottom w:val="none" w:sz="0" w:space="0" w:color="auto"/>
        <w:right w:val="none" w:sz="0" w:space="0" w:color="auto"/>
      </w:divBdr>
    </w:div>
    <w:div w:id="2113082394">
      <w:bodyDiv w:val="1"/>
      <w:marLeft w:val="0"/>
      <w:marRight w:val="0"/>
      <w:marTop w:val="0"/>
      <w:marBottom w:val="0"/>
      <w:divBdr>
        <w:top w:val="none" w:sz="0" w:space="0" w:color="auto"/>
        <w:left w:val="none" w:sz="0" w:space="0" w:color="auto"/>
        <w:bottom w:val="none" w:sz="0" w:space="0" w:color="auto"/>
        <w:right w:val="none" w:sz="0" w:space="0" w:color="auto"/>
      </w:divBdr>
    </w:div>
    <w:div w:id="2128505366">
      <w:bodyDiv w:val="1"/>
      <w:marLeft w:val="0"/>
      <w:marRight w:val="0"/>
      <w:marTop w:val="0"/>
      <w:marBottom w:val="0"/>
      <w:divBdr>
        <w:top w:val="none" w:sz="0" w:space="0" w:color="auto"/>
        <w:left w:val="none" w:sz="0" w:space="0" w:color="auto"/>
        <w:bottom w:val="none" w:sz="0" w:space="0" w:color="auto"/>
        <w:right w:val="none" w:sz="0" w:space="0" w:color="auto"/>
      </w:divBdr>
    </w:div>
    <w:div w:id="2135784916">
      <w:bodyDiv w:val="1"/>
      <w:marLeft w:val="0"/>
      <w:marRight w:val="0"/>
      <w:marTop w:val="0"/>
      <w:marBottom w:val="0"/>
      <w:divBdr>
        <w:top w:val="none" w:sz="0" w:space="0" w:color="auto"/>
        <w:left w:val="none" w:sz="0" w:space="0" w:color="auto"/>
        <w:bottom w:val="none" w:sz="0" w:space="0" w:color="auto"/>
        <w:right w:val="none" w:sz="0" w:space="0" w:color="auto"/>
      </w:divBdr>
    </w:div>
    <w:div w:id="2143766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spi.cz/products/lawText/1/40374/1/2?vtextu=v%20podob%C4%9B%20pln%C4%9Bn%C3%AD&amp;timeslice=31.12.2023" TargetMode="External"/><Relationship Id="rId13" Type="http://schemas.openxmlformats.org/officeDocument/2006/relationships/image" Target="media/image3.png"/><Relationship Id="rId18" Type="http://schemas.openxmlformats.org/officeDocument/2006/relationships/hyperlink" Target="https://celnisprava.gov.cz/cz/statistiky/Documents/2024-12-31_Zprava-o-cinnosti-FS-a-CS-2024.pdf"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s://www.zakonyprolidi.cz/cs/1992-586" TargetMode="External"/><Relationship Id="rId2" Type="http://schemas.openxmlformats.org/officeDocument/2006/relationships/numbering" Target="numbering.xml"/><Relationship Id="rId16" Type="http://schemas.openxmlformats.org/officeDocument/2006/relationships/hyperlink" Target="https://www.zakonyprolidi.cz/cs/1992-586"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hyperlink" Target="https://mpo.gov.cz/cz/podnikani/zivnostenske-podnikani/aktualni-informace/dulezite-_-provozovna-versus-automat-v-rezimu-zivnostenskeho-zakona--279282/" TargetMode="External"/><Relationship Id="rId19" Type="http://schemas.openxmlformats.org/officeDocument/2006/relationships/hyperlink" Target="https://mf.gov.cz/cs/ministerstvo/media/tiskove-zpravy/2026/eet-2-0-ministerstvo-financi-predstavuje-moderni-a-62878" TargetMode="External"/><Relationship Id="rId4" Type="http://schemas.openxmlformats.org/officeDocument/2006/relationships/settings" Target="settings.xml"/><Relationship Id="rId9" Type="http://schemas.openxmlformats.org/officeDocument/2006/relationships/hyperlink" Target="https://www.aspi.cz/products/lawText/1/40374/1/2?vtextu=v%20podob%C4%9B%20pln%C4%9Bn%C3%AD&amp;timeslice=31.12.2023" TargetMode="External"/><Relationship Id="rId14" Type="http://schemas.openxmlformats.org/officeDocument/2006/relationships/image" Target="media/image4.png"/><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doi.org/10.1186/s41118-023-00208-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6131\Documents\MP&#344;\MP&#344;%20-%20vzory\Vypo&#345;&#225;dac&#237;%20tabulka-vzor.dotx"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E36E2C-EF7E-43FB-BF1D-869CF94DA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Vypořádací tabulka-vzor</Template>
  <TotalTime>81</TotalTime>
  <Pages>259</Pages>
  <Words>129891</Words>
  <Characters>766359</Characters>
  <Application>Microsoft Office Word</Application>
  <DocSecurity>0</DocSecurity>
  <Lines>6386</Lines>
  <Paragraphs>1788</Paragraphs>
  <ScaleCrop>false</ScaleCrop>
  <HeadingPairs>
    <vt:vector size="2" baseType="variant">
      <vt:variant>
        <vt:lpstr>Název</vt:lpstr>
      </vt:variant>
      <vt:variant>
        <vt:i4>1</vt:i4>
      </vt:variant>
    </vt:vector>
  </HeadingPairs>
  <TitlesOfParts>
    <vt:vector size="1" baseType="lpstr">
      <vt:lpstr>ÚŘAD VLÁDY ČR</vt:lpstr>
    </vt:vector>
  </TitlesOfParts>
  <Company>UVIS</Company>
  <LinksUpToDate>false</LinksUpToDate>
  <CharactersWithSpaces>894462</CharactersWithSpaces>
  <SharedDoc>false</SharedDoc>
  <HLinks>
    <vt:vector size="6" baseType="variant">
      <vt:variant>
        <vt:i4>262148</vt:i4>
      </vt:variant>
      <vt:variant>
        <vt:i4>10</vt:i4>
      </vt:variant>
      <vt:variant>
        <vt:i4>0</vt:i4>
      </vt:variant>
      <vt:variant>
        <vt:i4>5</vt:i4>
      </vt:variant>
      <vt:variant>
        <vt:lpwstr>http://www.celnisprava.cz/cz/aktuality/Stranky/tabakovy-vyrobek-prodavany-pod-nazvem-tabakove-listy.aspx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ÚŘAD VLÁDY ČR</dc:title>
  <dc:creator>Vodičková Markéta Mgr.</dc:creator>
  <cp:lastModifiedBy>Kroupa Jiří JUDr.</cp:lastModifiedBy>
  <cp:revision>26</cp:revision>
  <cp:lastPrinted>2014-06-16T15:55:00Z</cp:lastPrinted>
  <dcterms:created xsi:type="dcterms:W3CDTF">2026-04-13T08:18:00Z</dcterms:created>
  <dcterms:modified xsi:type="dcterms:W3CDTF">2026-04-13T13:19:00Z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